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AD2051">
        <w:trPr>
          <w:trHeight w:val="2880"/>
          <w:jc w:val="center"/>
        </w:trPr>
        <w:tc>
          <w:tcPr>
            <w:tcW w:w="5000" w:type="pct"/>
          </w:tcPr>
          <w:p w:rsidR="00AD2051" w:rsidRDefault="00AD2051" w:rsidP="00683AF5">
            <w:pPr>
              <w:pStyle w:val="Caption"/>
              <w:rPr>
                <w:rFonts w:eastAsiaTheme="majorEastAsia"/>
              </w:rPr>
            </w:pPr>
            <w:bookmarkStart w:id="0" w:name="_Toc366154346"/>
            <w:bookmarkStart w:id="1" w:name="_Toc366409887"/>
            <w:r w:rsidRPr="00AD2051">
              <w:rPr>
                <w:rFonts w:eastAsiaTheme="majorEastAsia"/>
                <w:noProof/>
              </w:rPr>
              <w:drawing>
                <wp:inline distT="0" distB="0" distL="0" distR="0" wp14:anchorId="43D9B25F" wp14:editId="119CC41A">
                  <wp:extent cx="3819525" cy="1047750"/>
                  <wp:effectExtent l="19050" t="0" r="9525" b="0"/>
                  <wp:docPr id="33"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AD2051" w:rsidTr="00A815BF">
        <w:trPr>
          <w:trHeight w:val="2077"/>
          <w:jc w:val="center"/>
        </w:trPr>
        <w:sdt>
          <w:sdtPr>
            <w:rPr>
              <w:rFonts w:asciiTheme="majorHAnsi" w:eastAsiaTheme="majorEastAsia" w:hAnsiTheme="majorHAnsi" w:cstheme="majorBidi"/>
              <w:sz w:val="48"/>
              <w:szCs w:val="48"/>
            </w:rPr>
            <w:alias w:val="Title"/>
            <w:id w:val="15524250"/>
            <w:placeholder>
              <w:docPart w:val="A8399BBB6DD84DFC90C53B33255AF11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AD2051" w:rsidRPr="00AD2051" w:rsidRDefault="00AD2051" w:rsidP="00AD2051">
                <w:pPr>
                  <w:pStyle w:val="NoSpacing"/>
                  <w:jc w:val="center"/>
                  <w:rPr>
                    <w:rFonts w:asciiTheme="majorHAnsi" w:eastAsiaTheme="majorEastAsia" w:hAnsiTheme="majorHAnsi" w:cstheme="majorBidi"/>
                    <w:sz w:val="48"/>
                    <w:szCs w:val="48"/>
                  </w:rPr>
                </w:pPr>
                <w:r w:rsidRPr="00AD2051">
                  <w:rPr>
                    <w:rFonts w:asciiTheme="majorHAnsi" w:eastAsiaTheme="majorEastAsia" w:hAnsiTheme="majorHAnsi" w:cstheme="majorBidi"/>
                    <w:sz w:val="48"/>
                    <w:szCs w:val="48"/>
                  </w:rPr>
                  <w:t>Industrijska strategija Republike Hrvatske 2014. – 2020.</w:t>
                </w:r>
              </w:p>
            </w:tc>
          </w:sdtContent>
        </w:sdt>
      </w:tr>
      <w:tr w:rsidR="00AD2051">
        <w:trPr>
          <w:trHeight w:val="720"/>
          <w:jc w:val="center"/>
        </w:trPr>
        <w:tc>
          <w:tcPr>
            <w:tcW w:w="5000" w:type="pct"/>
            <w:tcBorders>
              <w:top w:val="single" w:sz="4" w:space="0" w:color="4F81BD" w:themeColor="accent1"/>
            </w:tcBorders>
            <w:vAlign w:val="center"/>
          </w:tcPr>
          <w:p w:rsidR="00AD2051" w:rsidRDefault="00AD2051" w:rsidP="00AD2051">
            <w:pPr>
              <w:pStyle w:val="NoSpacing"/>
              <w:jc w:val="center"/>
              <w:rPr>
                <w:rFonts w:asciiTheme="majorHAnsi" w:eastAsiaTheme="majorEastAsia" w:hAnsiTheme="majorHAnsi" w:cstheme="majorBidi"/>
                <w:sz w:val="44"/>
                <w:szCs w:val="44"/>
              </w:rPr>
            </w:pPr>
          </w:p>
        </w:tc>
      </w:tr>
      <w:tr w:rsidR="00AD2051">
        <w:trPr>
          <w:trHeight w:val="360"/>
          <w:jc w:val="center"/>
        </w:trPr>
        <w:tc>
          <w:tcPr>
            <w:tcW w:w="5000" w:type="pct"/>
            <w:vAlign w:val="center"/>
          </w:tcPr>
          <w:p w:rsidR="00AD2051" w:rsidRDefault="00AD2051">
            <w:pPr>
              <w:pStyle w:val="NoSpacing"/>
              <w:jc w:val="center"/>
            </w:pPr>
          </w:p>
        </w:tc>
      </w:tr>
      <w:tr w:rsidR="00AD2051">
        <w:trPr>
          <w:trHeight w:val="360"/>
          <w:jc w:val="center"/>
        </w:trPr>
        <w:tc>
          <w:tcPr>
            <w:tcW w:w="5000" w:type="pct"/>
            <w:vAlign w:val="center"/>
          </w:tcPr>
          <w:p w:rsidR="00AD2051" w:rsidRDefault="00AD2051" w:rsidP="00AD2051">
            <w:pPr>
              <w:pStyle w:val="NoSpacing"/>
              <w:jc w:val="center"/>
              <w:rPr>
                <w:b/>
                <w:bCs/>
              </w:rPr>
            </w:pPr>
          </w:p>
        </w:tc>
      </w:tr>
      <w:tr w:rsidR="00AD2051">
        <w:trPr>
          <w:trHeight w:val="360"/>
          <w:jc w:val="center"/>
        </w:trPr>
        <w:tc>
          <w:tcPr>
            <w:tcW w:w="5000" w:type="pct"/>
            <w:vAlign w:val="center"/>
          </w:tcPr>
          <w:p w:rsidR="00AD2051" w:rsidRDefault="00AD2051">
            <w:pPr>
              <w:pStyle w:val="NoSpacing"/>
              <w:jc w:val="center"/>
              <w:rPr>
                <w:b/>
                <w:bCs/>
              </w:rPr>
            </w:pPr>
          </w:p>
        </w:tc>
      </w:tr>
    </w:tbl>
    <w:p w:rsidR="00AD2051" w:rsidRDefault="00AD2051"/>
    <w:p w:rsidR="00AD2051" w:rsidRDefault="00AD2051"/>
    <w:p w:rsidR="00AD2051" w:rsidRDefault="00AD2051"/>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r>
        <w:t>Zagreb, siječanj 2014.</w:t>
      </w: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Pr="004E6412" w:rsidRDefault="00AD2051" w:rsidP="00AD2051">
      <w:r>
        <w:br w:type="page"/>
      </w:r>
      <w:bookmarkEnd w:id="0"/>
      <w:bookmarkEnd w:id="1"/>
      <w:r w:rsidRPr="004E6412">
        <w:lastRenderedPageBreak/>
        <w:t xml:space="preserve"> </w:t>
      </w:r>
    </w:p>
    <w:p w:rsidR="006E5A97" w:rsidRDefault="00A36B38">
      <w:pPr>
        <w:pStyle w:val="TOC1"/>
        <w:rPr>
          <w:rFonts w:asciiTheme="minorHAnsi" w:eastAsiaTheme="minorEastAsia" w:hAnsiTheme="minorHAnsi" w:cstheme="minorBidi"/>
          <w:b w:val="0"/>
          <w:sz w:val="22"/>
          <w:lang w:eastAsia="hr-HR"/>
        </w:rPr>
      </w:pPr>
      <w:r w:rsidRPr="004E6412">
        <w:rPr>
          <w:noProof w:val="0"/>
          <w:sz w:val="22"/>
        </w:rPr>
        <w:fldChar w:fldCharType="begin"/>
      </w:r>
      <w:r w:rsidR="00A947A0" w:rsidRPr="004E6412">
        <w:rPr>
          <w:noProof w:val="0"/>
          <w:sz w:val="22"/>
        </w:rPr>
        <w:instrText xml:space="preserve"> TOC \o "2-2" \h \z \t "Heading 3;3;Title;1" </w:instrText>
      </w:r>
      <w:r w:rsidRPr="004E6412">
        <w:rPr>
          <w:noProof w:val="0"/>
          <w:sz w:val="22"/>
        </w:rPr>
        <w:fldChar w:fldCharType="separate"/>
      </w:r>
      <w:hyperlink w:anchor="_Toc378069008" w:history="1">
        <w:r w:rsidR="006E5A97" w:rsidRPr="00E50209">
          <w:rPr>
            <w:rStyle w:val="Hyperlink"/>
          </w:rPr>
          <w:t>Popis kratica</w:t>
        </w:r>
        <w:r w:rsidR="006E5A97">
          <w:rPr>
            <w:webHidden/>
          </w:rPr>
          <w:tab/>
        </w:r>
        <w:r>
          <w:rPr>
            <w:webHidden/>
          </w:rPr>
          <w:fldChar w:fldCharType="begin"/>
        </w:r>
        <w:r w:rsidR="006E5A97">
          <w:rPr>
            <w:webHidden/>
          </w:rPr>
          <w:instrText xml:space="preserve"> PAGEREF _Toc378069008 \h </w:instrText>
        </w:r>
        <w:r>
          <w:rPr>
            <w:webHidden/>
          </w:rPr>
        </w:r>
        <w:r>
          <w:rPr>
            <w:webHidden/>
          </w:rPr>
          <w:fldChar w:fldCharType="separate"/>
        </w:r>
        <w:r w:rsidR="00661B08">
          <w:rPr>
            <w:webHidden/>
          </w:rPr>
          <w:t>7</w:t>
        </w:r>
        <w:r>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009" w:history="1">
        <w:r w:rsidR="006E5A97" w:rsidRPr="00E50209">
          <w:rPr>
            <w:rStyle w:val="Hyperlink"/>
          </w:rPr>
          <w:t>Popis tablica</w:t>
        </w:r>
        <w:r w:rsidR="006E5A97">
          <w:rPr>
            <w:webHidden/>
          </w:rPr>
          <w:tab/>
        </w:r>
        <w:r w:rsidR="00A36B38">
          <w:rPr>
            <w:webHidden/>
          </w:rPr>
          <w:fldChar w:fldCharType="begin"/>
        </w:r>
        <w:r w:rsidR="006E5A97">
          <w:rPr>
            <w:webHidden/>
          </w:rPr>
          <w:instrText xml:space="preserve"> PAGEREF _Toc378069009 \h </w:instrText>
        </w:r>
        <w:r w:rsidR="00A36B38">
          <w:rPr>
            <w:webHidden/>
          </w:rPr>
        </w:r>
        <w:r w:rsidR="00A36B38">
          <w:rPr>
            <w:webHidden/>
          </w:rPr>
          <w:fldChar w:fldCharType="separate"/>
        </w:r>
        <w:r w:rsidR="00661B08">
          <w:rPr>
            <w:webHidden/>
          </w:rPr>
          <w:t>8</w:t>
        </w:r>
        <w:r w:rsidR="00A36B38">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010" w:history="1">
        <w:r w:rsidR="006E5A97" w:rsidRPr="00E50209">
          <w:rPr>
            <w:rStyle w:val="Hyperlink"/>
          </w:rPr>
          <w:t>Popis slika</w:t>
        </w:r>
        <w:r w:rsidR="006E5A97">
          <w:rPr>
            <w:webHidden/>
          </w:rPr>
          <w:tab/>
        </w:r>
        <w:r w:rsidR="00A36B38">
          <w:rPr>
            <w:webHidden/>
          </w:rPr>
          <w:fldChar w:fldCharType="begin"/>
        </w:r>
        <w:r w:rsidR="006E5A97">
          <w:rPr>
            <w:webHidden/>
          </w:rPr>
          <w:instrText xml:space="preserve"> PAGEREF _Toc378069010 \h </w:instrText>
        </w:r>
        <w:r w:rsidR="00A36B38">
          <w:rPr>
            <w:webHidden/>
          </w:rPr>
        </w:r>
        <w:r w:rsidR="00A36B38">
          <w:rPr>
            <w:webHidden/>
          </w:rPr>
          <w:fldChar w:fldCharType="separate"/>
        </w:r>
        <w:r w:rsidR="00661B08">
          <w:rPr>
            <w:webHidden/>
          </w:rPr>
          <w:t>12</w:t>
        </w:r>
        <w:r w:rsidR="00A36B38">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011" w:history="1">
        <w:r w:rsidR="006E5A97" w:rsidRPr="00E50209">
          <w:rPr>
            <w:rStyle w:val="Hyperlink"/>
          </w:rPr>
          <w:t>Uvod</w:t>
        </w:r>
        <w:r w:rsidR="006E5A97">
          <w:rPr>
            <w:webHidden/>
          </w:rPr>
          <w:tab/>
        </w:r>
        <w:r w:rsidR="00A36B38">
          <w:rPr>
            <w:webHidden/>
          </w:rPr>
          <w:fldChar w:fldCharType="begin"/>
        </w:r>
        <w:r w:rsidR="006E5A97">
          <w:rPr>
            <w:webHidden/>
          </w:rPr>
          <w:instrText xml:space="preserve"> PAGEREF _Toc378069011 \h </w:instrText>
        </w:r>
        <w:r w:rsidR="00A36B38">
          <w:rPr>
            <w:webHidden/>
          </w:rPr>
        </w:r>
        <w:r w:rsidR="00A36B38">
          <w:rPr>
            <w:webHidden/>
          </w:rPr>
          <w:fldChar w:fldCharType="separate"/>
        </w:r>
        <w:r w:rsidR="00661B08">
          <w:rPr>
            <w:webHidden/>
          </w:rPr>
          <w:t>14</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12" w:history="1">
        <w:r w:rsidR="006E5A97" w:rsidRPr="00E50209">
          <w:rPr>
            <w:rStyle w:val="Hyperlink"/>
          </w:rPr>
          <w:t>Pojmovno razgraničenje industrijske i gospodarske strategije Republike Hrvatske</w:t>
        </w:r>
        <w:r w:rsidR="006E5A97">
          <w:rPr>
            <w:webHidden/>
          </w:rPr>
          <w:tab/>
        </w:r>
        <w:r w:rsidR="00A36B38">
          <w:rPr>
            <w:webHidden/>
          </w:rPr>
          <w:fldChar w:fldCharType="begin"/>
        </w:r>
        <w:r w:rsidR="006E5A97">
          <w:rPr>
            <w:webHidden/>
          </w:rPr>
          <w:instrText xml:space="preserve"> PAGEREF _Toc378069012 \h </w:instrText>
        </w:r>
        <w:r w:rsidR="00A36B38">
          <w:rPr>
            <w:webHidden/>
          </w:rPr>
        </w:r>
        <w:r w:rsidR="00A36B38">
          <w:rPr>
            <w:webHidden/>
          </w:rPr>
          <w:fldChar w:fldCharType="separate"/>
        </w:r>
        <w:r w:rsidR="00661B08">
          <w:rPr>
            <w:webHidden/>
          </w:rPr>
          <w:t>14</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13" w:history="1">
        <w:r w:rsidR="006E5A97" w:rsidRPr="00E50209">
          <w:rPr>
            <w:rStyle w:val="Hyperlink"/>
          </w:rPr>
          <w:t>Konceptualni okvir i sadržaj dokumenta</w:t>
        </w:r>
        <w:r w:rsidR="006E5A97">
          <w:rPr>
            <w:webHidden/>
          </w:rPr>
          <w:tab/>
        </w:r>
        <w:r w:rsidR="00A36B38">
          <w:rPr>
            <w:webHidden/>
          </w:rPr>
          <w:fldChar w:fldCharType="begin"/>
        </w:r>
        <w:r w:rsidR="006E5A97">
          <w:rPr>
            <w:webHidden/>
          </w:rPr>
          <w:instrText xml:space="preserve"> PAGEREF _Toc378069013 \h </w:instrText>
        </w:r>
        <w:r w:rsidR="00A36B38">
          <w:rPr>
            <w:webHidden/>
          </w:rPr>
        </w:r>
        <w:r w:rsidR="00A36B38">
          <w:rPr>
            <w:webHidden/>
          </w:rPr>
          <w:fldChar w:fldCharType="separate"/>
        </w:r>
        <w:r w:rsidR="00661B08">
          <w:rPr>
            <w:webHidden/>
          </w:rPr>
          <w:t>16</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14" w:history="1">
        <w:r w:rsidR="006E5A97" w:rsidRPr="00E50209">
          <w:rPr>
            <w:rStyle w:val="Hyperlink"/>
            <w:noProof/>
          </w:rPr>
          <w:t>Svrha i ciljevi</w:t>
        </w:r>
        <w:r w:rsidR="006E5A97">
          <w:rPr>
            <w:noProof/>
            <w:webHidden/>
          </w:rPr>
          <w:tab/>
        </w:r>
        <w:r w:rsidR="00A36B38">
          <w:rPr>
            <w:noProof/>
            <w:webHidden/>
          </w:rPr>
          <w:fldChar w:fldCharType="begin"/>
        </w:r>
        <w:r w:rsidR="006E5A97">
          <w:rPr>
            <w:noProof/>
            <w:webHidden/>
          </w:rPr>
          <w:instrText xml:space="preserve"> PAGEREF _Toc378069014 \h </w:instrText>
        </w:r>
        <w:r w:rsidR="00A36B38">
          <w:rPr>
            <w:noProof/>
            <w:webHidden/>
          </w:rPr>
        </w:r>
        <w:r w:rsidR="00A36B38">
          <w:rPr>
            <w:noProof/>
            <w:webHidden/>
          </w:rPr>
          <w:fldChar w:fldCharType="separate"/>
        </w:r>
        <w:r w:rsidR="00661B08">
          <w:rPr>
            <w:noProof/>
            <w:webHidden/>
          </w:rPr>
          <w:t>16</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15" w:history="1">
        <w:r w:rsidR="006E5A97" w:rsidRPr="00E50209">
          <w:rPr>
            <w:rStyle w:val="Hyperlink"/>
            <w:noProof/>
          </w:rPr>
          <w:t>Metodologija</w:t>
        </w:r>
        <w:r w:rsidR="006E5A97">
          <w:rPr>
            <w:noProof/>
            <w:webHidden/>
          </w:rPr>
          <w:tab/>
        </w:r>
        <w:r w:rsidR="00A36B38">
          <w:rPr>
            <w:noProof/>
            <w:webHidden/>
          </w:rPr>
          <w:fldChar w:fldCharType="begin"/>
        </w:r>
        <w:r w:rsidR="006E5A97">
          <w:rPr>
            <w:noProof/>
            <w:webHidden/>
          </w:rPr>
          <w:instrText xml:space="preserve"> PAGEREF _Toc378069015 \h </w:instrText>
        </w:r>
        <w:r w:rsidR="00A36B38">
          <w:rPr>
            <w:noProof/>
            <w:webHidden/>
          </w:rPr>
        </w:r>
        <w:r w:rsidR="00A36B38">
          <w:rPr>
            <w:noProof/>
            <w:webHidden/>
          </w:rPr>
          <w:fldChar w:fldCharType="separate"/>
        </w:r>
        <w:r w:rsidR="00661B08">
          <w:rPr>
            <w:noProof/>
            <w:webHidden/>
          </w:rPr>
          <w:t>17</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16" w:history="1">
        <w:r w:rsidR="006E5A97" w:rsidRPr="00E50209">
          <w:rPr>
            <w:rStyle w:val="Hyperlink"/>
          </w:rPr>
          <w:t>Polazišna dokumentacija/okvir</w:t>
        </w:r>
        <w:r w:rsidR="006E5A97">
          <w:rPr>
            <w:webHidden/>
          </w:rPr>
          <w:tab/>
        </w:r>
        <w:r w:rsidR="00A36B38">
          <w:rPr>
            <w:webHidden/>
          </w:rPr>
          <w:fldChar w:fldCharType="begin"/>
        </w:r>
        <w:r w:rsidR="006E5A97">
          <w:rPr>
            <w:webHidden/>
          </w:rPr>
          <w:instrText xml:space="preserve"> PAGEREF _Toc378069016 \h </w:instrText>
        </w:r>
        <w:r w:rsidR="00A36B38">
          <w:rPr>
            <w:webHidden/>
          </w:rPr>
        </w:r>
        <w:r w:rsidR="00A36B38">
          <w:rPr>
            <w:webHidden/>
          </w:rPr>
          <w:fldChar w:fldCharType="separate"/>
        </w:r>
        <w:r w:rsidR="00661B08">
          <w:rPr>
            <w:webHidden/>
          </w:rPr>
          <w:t>23</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17" w:history="1">
        <w:r w:rsidR="006E5A97" w:rsidRPr="00E50209">
          <w:rPr>
            <w:rStyle w:val="Hyperlink"/>
            <w:noProof/>
          </w:rPr>
          <w:t>Makroekonomski uvjeti poslovanja</w:t>
        </w:r>
        <w:r w:rsidR="006E5A97">
          <w:rPr>
            <w:noProof/>
            <w:webHidden/>
          </w:rPr>
          <w:tab/>
        </w:r>
        <w:r w:rsidR="00A36B38">
          <w:rPr>
            <w:noProof/>
            <w:webHidden/>
          </w:rPr>
          <w:fldChar w:fldCharType="begin"/>
        </w:r>
        <w:r w:rsidR="006E5A97">
          <w:rPr>
            <w:noProof/>
            <w:webHidden/>
          </w:rPr>
          <w:instrText xml:space="preserve"> PAGEREF _Toc378069017 \h </w:instrText>
        </w:r>
        <w:r w:rsidR="00A36B38">
          <w:rPr>
            <w:noProof/>
            <w:webHidden/>
          </w:rPr>
        </w:r>
        <w:r w:rsidR="00A36B38">
          <w:rPr>
            <w:noProof/>
            <w:webHidden/>
          </w:rPr>
          <w:fldChar w:fldCharType="separate"/>
        </w:r>
        <w:r w:rsidR="00661B08">
          <w:rPr>
            <w:noProof/>
            <w:webHidden/>
          </w:rPr>
          <w:t>23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18" w:history="1">
        <w:r w:rsidR="006E5A97" w:rsidRPr="00E50209">
          <w:rPr>
            <w:rStyle w:val="Hyperlink"/>
            <w:noProof/>
          </w:rPr>
          <w:t>Ljudi kao ključan čimbenik industrijske politike i tržište rada</w:t>
        </w:r>
        <w:r w:rsidR="006E5A97">
          <w:rPr>
            <w:noProof/>
            <w:webHidden/>
          </w:rPr>
          <w:tab/>
        </w:r>
        <w:r w:rsidR="00A36B38">
          <w:rPr>
            <w:noProof/>
            <w:webHidden/>
          </w:rPr>
          <w:fldChar w:fldCharType="begin"/>
        </w:r>
        <w:r w:rsidR="006E5A97">
          <w:rPr>
            <w:noProof/>
            <w:webHidden/>
          </w:rPr>
          <w:instrText xml:space="preserve"> PAGEREF _Toc378069018 \h </w:instrText>
        </w:r>
        <w:r w:rsidR="00A36B38">
          <w:rPr>
            <w:noProof/>
            <w:webHidden/>
          </w:rPr>
        </w:r>
        <w:r w:rsidR="00A36B38">
          <w:rPr>
            <w:noProof/>
            <w:webHidden/>
          </w:rPr>
          <w:fldChar w:fldCharType="separate"/>
        </w:r>
        <w:r w:rsidR="00661B08">
          <w:rPr>
            <w:noProof/>
            <w:webHidden/>
          </w:rPr>
          <w:t>45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19" w:history="1">
        <w:r w:rsidR="006E5A97" w:rsidRPr="00E50209">
          <w:rPr>
            <w:rStyle w:val="Hyperlink"/>
            <w:noProof/>
          </w:rPr>
          <w:t>Resursi hrvatskog gospodarstva</w:t>
        </w:r>
        <w:r w:rsidR="006E5A97">
          <w:rPr>
            <w:noProof/>
            <w:webHidden/>
          </w:rPr>
          <w:tab/>
        </w:r>
        <w:r w:rsidR="00A36B38">
          <w:rPr>
            <w:noProof/>
            <w:webHidden/>
          </w:rPr>
          <w:fldChar w:fldCharType="begin"/>
        </w:r>
        <w:r w:rsidR="006E5A97">
          <w:rPr>
            <w:noProof/>
            <w:webHidden/>
          </w:rPr>
          <w:instrText xml:space="preserve"> PAGEREF _Toc378069019 \h </w:instrText>
        </w:r>
        <w:r w:rsidR="00A36B38">
          <w:rPr>
            <w:noProof/>
            <w:webHidden/>
          </w:rPr>
        </w:r>
        <w:r w:rsidR="00A36B38">
          <w:rPr>
            <w:noProof/>
            <w:webHidden/>
          </w:rPr>
          <w:fldChar w:fldCharType="separate"/>
        </w:r>
        <w:r w:rsidR="00661B08">
          <w:rPr>
            <w:noProof/>
            <w:webHidden/>
          </w:rPr>
          <w:t>60</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20" w:history="1">
        <w:r w:rsidR="006E5A97" w:rsidRPr="00E50209">
          <w:rPr>
            <w:rStyle w:val="Hyperlink"/>
          </w:rPr>
          <w:t>Pregled strateških smjernica Industrijske politike u Europskoj uniji</w:t>
        </w:r>
        <w:r w:rsidR="006E5A97">
          <w:rPr>
            <w:webHidden/>
          </w:rPr>
          <w:tab/>
        </w:r>
        <w:r w:rsidR="00A36B38">
          <w:rPr>
            <w:webHidden/>
          </w:rPr>
          <w:fldChar w:fldCharType="begin"/>
        </w:r>
        <w:r w:rsidR="006E5A97">
          <w:rPr>
            <w:webHidden/>
          </w:rPr>
          <w:instrText xml:space="preserve"> PAGEREF _Toc378069020 \h </w:instrText>
        </w:r>
        <w:r w:rsidR="00A36B38">
          <w:rPr>
            <w:webHidden/>
          </w:rPr>
        </w:r>
        <w:r w:rsidR="00A36B38">
          <w:rPr>
            <w:webHidden/>
          </w:rPr>
          <w:fldChar w:fldCharType="separate"/>
        </w:r>
        <w:r w:rsidR="00661B08">
          <w:rPr>
            <w:webHidden/>
          </w:rPr>
          <w:t>66</w:t>
        </w:r>
        <w:r w:rsidR="00A36B38">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021" w:history="1">
        <w:r w:rsidR="006E5A97" w:rsidRPr="00E50209">
          <w:rPr>
            <w:rStyle w:val="Hyperlink"/>
          </w:rPr>
          <w:t>C Prerađivačka industrija</w:t>
        </w:r>
        <w:r w:rsidR="006E5A97">
          <w:rPr>
            <w:webHidden/>
          </w:rPr>
          <w:tab/>
        </w:r>
        <w:r w:rsidR="00A36B38">
          <w:rPr>
            <w:webHidden/>
          </w:rPr>
          <w:fldChar w:fldCharType="begin"/>
        </w:r>
        <w:r w:rsidR="006E5A97">
          <w:rPr>
            <w:webHidden/>
          </w:rPr>
          <w:instrText xml:space="preserve"> PAGEREF _Toc378069021 \h </w:instrText>
        </w:r>
        <w:r w:rsidR="00A36B38">
          <w:rPr>
            <w:webHidden/>
          </w:rPr>
        </w:r>
        <w:r w:rsidR="00A36B38">
          <w:rPr>
            <w:webHidden/>
          </w:rPr>
          <w:fldChar w:fldCharType="separate"/>
        </w:r>
        <w:r w:rsidR="00661B08">
          <w:rPr>
            <w:webHidden/>
          </w:rPr>
          <w:t>84</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22" w:history="1">
        <w:r w:rsidR="006E5A97" w:rsidRPr="00E50209">
          <w:rPr>
            <w:rStyle w:val="Hyperlink"/>
          </w:rPr>
          <w:t>Kvantitativna analiza poslovanja prerađivačke industrije 2010. – 2012.</w:t>
        </w:r>
        <w:r w:rsidR="006E5A97">
          <w:rPr>
            <w:webHidden/>
          </w:rPr>
          <w:tab/>
        </w:r>
        <w:r w:rsidR="00A36B38">
          <w:rPr>
            <w:webHidden/>
          </w:rPr>
          <w:fldChar w:fldCharType="begin"/>
        </w:r>
        <w:r w:rsidR="006E5A97">
          <w:rPr>
            <w:webHidden/>
          </w:rPr>
          <w:instrText xml:space="preserve"> PAGEREF _Toc378069022 \h </w:instrText>
        </w:r>
        <w:r w:rsidR="00A36B38">
          <w:rPr>
            <w:webHidden/>
          </w:rPr>
        </w:r>
        <w:r w:rsidR="00A36B38">
          <w:rPr>
            <w:webHidden/>
          </w:rPr>
          <w:fldChar w:fldCharType="separate"/>
        </w:r>
        <w:r w:rsidR="00661B08">
          <w:rPr>
            <w:webHidden/>
          </w:rPr>
          <w:t>84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3" w:history="1">
        <w:r w:rsidR="006E5A97" w:rsidRPr="00E50209">
          <w:rPr>
            <w:rStyle w:val="Hyperlink"/>
            <w:noProof/>
          </w:rPr>
          <w:t>Analiza profitabilnosti prerađivačke industrije 2010. – 2012.</w:t>
        </w:r>
        <w:r w:rsidR="006E5A97">
          <w:rPr>
            <w:noProof/>
            <w:webHidden/>
          </w:rPr>
          <w:tab/>
        </w:r>
        <w:r w:rsidR="00A36B38">
          <w:rPr>
            <w:noProof/>
            <w:webHidden/>
          </w:rPr>
          <w:fldChar w:fldCharType="begin"/>
        </w:r>
        <w:r w:rsidR="006E5A97">
          <w:rPr>
            <w:noProof/>
            <w:webHidden/>
          </w:rPr>
          <w:instrText xml:space="preserve"> PAGEREF _Toc378069023 \h </w:instrText>
        </w:r>
        <w:r w:rsidR="00A36B38">
          <w:rPr>
            <w:noProof/>
            <w:webHidden/>
          </w:rPr>
        </w:r>
        <w:r w:rsidR="00A36B38">
          <w:rPr>
            <w:noProof/>
            <w:webHidden/>
          </w:rPr>
          <w:fldChar w:fldCharType="separate"/>
        </w:r>
        <w:r w:rsidR="00661B08">
          <w:rPr>
            <w:noProof/>
            <w:webHidden/>
          </w:rPr>
          <w:t>85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4" w:history="1">
        <w:r w:rsidR="006E5A97" w:rsidRPr="00E50209">
          <w:rPr>
            <w:rStyle w:val="Hyperlink"/>
            <w:noProof/>
          </w:rPr>
          <w:t>Analiza zaposlenih u prerađivačkoj industriji 2010. – 2012.</w:t>
        </w:r>
        <w:r w:rsidR="006E5A97">
          <w:rPr>
            <w:noProof/>
            <w:webHidden/>
          </w:rPr>
          <w:tab/>
        </w:r>
        <w:r w:rsidR="00A36B38">
          <w:rPr>
            <w:noProof/>
            <w:webHidden/>
          </w:rPr>
          <w:fldChar w:fldCharType="begin"/>
        </w:r>
        <w:r w:rsidR="006E5A97">
          <w:rPr>
            <w:noProof/>
            <w:webHidden/>
          </w:rPr>
          <w:instrText xml:space="preserve"> PAGEREF _Toc378069024 \h </w:instrText>
        </w:r>
        <w:r w:rsidR="00A36B38">
          <w:rPr>
            <w:noProof/>
            <w:webHidden/>
          </w:rPr>
        </w:r>
        <w:r w:rsidR="00A36B38">
          <w:rPr>
            <w:noProof/>
            <w:webHidden/>
          </w:rPr>
          <w:fldChar w:fldCharType="separate"/>
        </w:r>
        <w:r w:rsidR="00661B08">
          <w:rPr>
            <w:noProof/>
            <w:webHidden/>
          </w:rPr>
          <w:t>94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5" w:history="1">
        <w:r w:rsidR="006E5A97" w:rsidRPr="00E50209">
          <w:rPr>
            <w:rStyle w:val="Hyperlink"/>
            <w:noProof/>
          </w:rPr>
          <w:t>Analiza međunarodne razmjene prerađivačke industrije u razdoblju 2010. – 2012.</w:t>
        </w:r>
        <w:r w:rsidR="006E5A97">
          <w:rPr>
            <w:noProof/>
            <w:webHidden/>
          </w:rPr>
          <w:tab/>
        </w:r>
        <w:r w:rsidR="00A36B38">
          <w:rPr>
            <w:noProof/>
            <w:webHidden/>
          </w:rPr>
          <w:fldChar w:fldCharType="begin"/>
        </w:r>
        <w:r w:rsidR="006E5A97">
          <w:rPr>
            <w:noProof/>
            <w:webHidden/>
          </w:rPr>
          <w:instrText xml:space="preserve"> PAGEREF _Toc378069025 \h </w:instrText>
        </w:r>
        <w:r w:rsidR="00A36B38">
          <w:rPr>
            <w:noProof/>
            <w:webHidden/>
          </w:rPr>
        </w:r>
        <w:r w:rsidR="00A36B38">
          <w:rPr>
            <w:noProof/>
            <w:webHidden/>
          </w:rPr>
          <w:fldChar w:fldCharType="separate"/>
        </w:r>
        <w:r w:rsidR="00661B08">
          <w:rPr>
            <w:noProof/>
            <w:webHidden/>
          </w:rPr>
          <w:t>97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6" w:history="1">
        <w:r w:rsidR="006E5A97" w:rsidRPr="00E50209">
          <w:rPr>
            <w:rStyle w:val="Hyperlink"/>
            <w:noProof/>
          </w:rPr>
          <w:t>Struktura prerađivačke industrije prema tehnološkoj intenzivnosti 2012.</w:t>
        </w:r>
        <w:r w:rsidR="006E5A97">
          <w:rPr>
            <w:noProof/>
            <w:webHidden/>
          </w:rPr>
          <w:tab/>
        </w:r>
        <w:r w:rsidR="00A36B38">
          <w:rPr>
            <w:noProof/>
            <w:webHidden/>
          </w:rPr>
          <w:fldChar w:fldCharType="begin"/>
        </w:r>
        <w:r w:rsidR="006E5A97">
          <w:rPr>
            <w:noProof/>
            <w:webHidden/>
          </w:rPr>
          <w:instrText xml:space="preserve"> PAGEREF _Toc378069026 \h </w:instrText>
        </w:r>
        <w:r w:rsidR="00A36B38">
          <w:rPr>
            <w:noProof/>
            <w:webHidden/>
          </w:rPr>
        </w:r>
        <w:r w:rsidR="00A36B38">
          <w:rPr>
            <w:noProof/>
            <w:webHidden/>
          </w:rPr>
          <w:fldChar w:fldCharType="separate"/>
        </w:r>
        <w:r w:rsidR="00661B08">
          <w:rPr>
            <w:noProof/>
            <w:webHidden/>
          </w:rPr>
          <w:t>102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7" w:history="1">
        <w:r w:rsidR="006E5A97" w:rsidRPr="00E50209">
          <w:rPr>
            <w:rStyle w:val="Hyperlink"/>
            <w:noProof/>
          </w:rPr>
          <w:t>Analiza proizvodnosti prerađivačke industrije 2010. – 2012.</w:t>
        </w:r>
        <w:r w:rsidR="006E5A97">
          <w:rPr>
            <w:noProof/>
            <w:webHidden/>
          </w:rPr>
          <w:tab/>
        </w:r>
        <w:r w:rsidR="00A36B38">
          <w:rPr>
            <w:noProof/>
            <w:webHidden/>
          </w:rPr>
          <w:fldChar w:fldCharType="begin"/>
        </w:r>
        <w:r w:rsidR="006E5A97">
          <w:rPr>
            <w:noProof/>
            <w:webHidden/>
          </w:rPr>
          <w:instrText xml:space="preserve"> PAGEREF _Toc378069027 \h </w:instrText>
        </w:r>
        <w:r w:rsidR="00A36B38">
          <w:rPr>
            <w:noProof/>
            <w:webHidden/>
          </w:rPr>
        </w:r>
        <w:r w:rsidR="00A36B38">
          <w:rPr>
            <w:noProof/>
            <w:webHidden/>
          </w:rPr>
          <w:fldChar w:fldCharType="separate"/>
        </w:r>
        <w:r w:rsidR="00661B08">
          <w:rPr>
            <w:noProof/>
            <w:webHidden/>
          </w:rPr>
          <w:t>107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8" w:history="1">
        <w:r w:rsidR="006E5A97" w:rsidRPr="00E50209">
          <w:rPr>
            <w:rStyle w:val="Hyperlink"/>
            <w:noProof/>
          </w:rPr>
          <w:t>Analiza likvidnosti prerađivačke industrije 2010. – 2012.</w:t>
        </w:r>
        <w:r w:rsidR="006E5A97">
          <w:rPr>
            <w:noProof/>
            <w:webHidden/>
          </w:rPr>
          <w:tab/>
        </w:r>
        <w:r w:rsidR="00A36B38">
          <w:rPr>
            <w:noProof/>
            <w:webHidden/>
          </w:rPr>
          <w:fldChar w:fldCharType="begin"/>
        </w:r>
        <w:r w:rsidR="006E5A97">
          <w:rPr>
            <w:noProof/>
            <w:webHidden/>
          </w:rPr>
          <w:instrText xml:space="preserve"> PAGEREF _Toc378069028 \h </w:instrText>
        </w:r>
        <w:r w:rsidR="00A36B38">
          <w:rPr>
            <w:noProof/>
            <w:webHidden/>
          </w:rPr>
        </w:r>
        <w:r w:rsidR="00A36B38">
          <w:rPr>
            <w:noProof/>
            <w:webHidden/>
          </w:rPr>
          <w:fldChar w:fldCharType="separate"/>
        </w:r>
        <w:r w:rsidR="00661B08">
          <w:rPr>
            <w:noProof/>
            <w:webHidden/>
          </w:rPr>
          <w:t>110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29" w:history="1">
        <w:r w:rsidR="006E5A97" w:rsidRPr="00E50209">
          <w:rPr>
            <w:rStyle w:val="Hyperlink"/>
            <w:noProof/>
          </w:rPr>
          <w:t>Analiza zaduženosti prerađivačke industrije 2010. – 2012. godine</w:t>
        </w:r>
        <w:r w:rsidR="006E5A97">
          <w:rPr>
            <w:noProof/>
            <w:webHidden/>
          </w:rPr>
          <w:tab/>
        </w:r>
        <w:r w:rsidR="00A36B38">
          <w:rPr>
            <w:noProof/>
            <w:webHidden/>
          </w:rPr>
          <w:fldChar w:fldCharType="begin"/>
        </w:r>
        <w:r w:rsidR="006E5A97">
          <w:rPr>
            <w:noProof/>
            <w:webHidden/>
          </w:rPr>
          <w:instrText xml:space="preserve"> PAGEREF _Toc378069029 \h </w:instrText>
        </w:r>
        <w:r w:rsidR="00A36B38">
          <w:rPr>
            <w:noProof/>
            <w:webHidden/>
          </w:rPr>
        </w:r>
        <w:r w:rsidR="00A36B38">
          <w:rPr>
            <w:noProof/>
            <w:webHidden/>
          </w:rPr>
          <w:fldChar w:fldCharType="separate"/>
        </w:r>
        <w:r w:rsidR="00661B08">
          <w:rPr>
            <w:noProof/>
            <w:webHidden/>
          </w:rPr>
          <w:t>111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0" w:history="1">
        <w:r w:rsidR="006E5A97" w:rsidRPr="00E50209">
          <w:rPr>
            <w:rStyle w:val="Hyperlink"/>
            <w:noProof/>
          </w:rPr>
          <w:t>Analiza bruto dodane vrijednosti prerađivačke industrije 2004. – 2012. godine</w:t>
        </w:r>
        <w:r w:rsidR="006E5A97">
          <w:rPr>
            <w:noProof/>
            <w:webHidden/>
          </w:rPr>
          <w:tab/>
        </w:r>
        <w:r w:rsidR="00A36B38">
          <w:rPr>
            <w:noProof/>
            <w:webHidden/>
          </w:rPr>
          <w:fldChar w:fldCharType="begin"/>
        </w:r>
        <w:r w:rsidR="006E5A97">
          <w:rPr>
            <w:noProof/>
            <w:webHidden/>
          </w:rPr>
          <w:instrText xml:space="preserve"> PAGEREF _Toc378069030 \h </w:instrText>
        </w:r>
        <w:r w:rsidR="00A36B38">
          <w:rPr>
            <w:noProof/>
            <w:webHidden/>
          </w:rPr>
        </w:r>
        <w:r w:rsidR="00A36B38">
          <w:rPr>
            <w:noProof/>
            <w:webHidden/>
          </w:rPr>
          <w:fldChar w:fldCharType="separate"/>
        </w:r>
        <w:r w:rsidR="00661B08">
          <w:rPr>
            <w:noProof/>
            <w:webHidden/>
          </w:rPr>
          <w:t>114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1" w:history="1">
        <w:r w:rsidR="006E5A97" w:rsidRPr="00E50209">
          <w:rPr>
            <w:rStyle w:val="Hyperlink"/>
            <w:noProof/>
          </w:rPr>
          <w:t>Analiza prerađivačke industrije prema veličini poduzeća i odabranim pokazateljima poslovanja 2012.</w:t>
        </w:r>
        <w:r w:rsidR="006E5A97">
          <w:rPr>
            <w:noProof/>
            <w:webHidden/>
          </w:rPr>
          <w:tab/>
        </w:r>
        <w:r w:rsidR="00A36B38">
          <w:rPr>
            <w:noProof/>
            <w:webHidden/>
          </w:rPr>
          <w:fldChar w:fldCharType="begin"/>
        </w:r>
        <w:r w:rsidR="006E5A97">
          <w:rPr>
            <w:noProof/>
            <w:webHidden/>
          </w:rPr>
          <w:instrText xml:space="preserve"> PAGEREF _Toc378069031 \h </w:instrText>
        </w:r>
        <w:r w:rsidR="00A36B38">
          <w:rPr>
            <w:noProof/>
            <w:webHidden/>
          </w:rPr>
        </w:r>
        <w:r w:rsidR="00A36B38">
          <w:rPr>
            <w:noProof/>
            <w:webHidden/>
          </w:rPr>
          <w:fldChar w:fldCharType="separate"/>
        </w:r>
        <w:r w:rsidR="00661B08">
          <w:rPr>
            <w:noProof/>
            <w:webHidden/>
          </w:rPr>
          <w:t>121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2" w:history="1">
        <w:r w:rsidR="006E5A97" w:rsidRPr="00E50209">
          <w:rPr>
            <w:rStyle w:val="Hyperlink"/>
            <w:noProof/>
          </w:rPr>
          <w:t>Usporedba odabranih pokazatelja poslovanja pojedinih djelatnosti i poddjelatnosti prerađivačke industrije 2012. godine</w:t>
        </w:r>
        <w:r w:rsidR="006E5A97">
          <w:rPr>
            <w:noProof/>
            <w:webHidden/>
          </w:rPr>
          <w:tab/>
        </w:r>
        <w:r w:rsidR="00A36B38">
          <w:rPr>
            <w:noProof/>
            <w:webHidden/>
          </w:rPr>
          <w:fldChar w:fldCharType="begin"/>
        </w:r>
        <w:r w:rsidR="006E5A97">
          <w:rPr>
            <w:noProof/>
            <w:webHidden/>
          </w:rPr>
          <w:instrText xml:space="preserve"> PAGEREF _Toc378069032 \h </w:instrText>
        </w:r>
        <w:r w:rsidR="00A36B38">
          <w:rPr>
            <w:noProof/>
            <w:webHidden/>
          </w:rPr>
        </w:r>
        <w:r w:rsidR="00A36B38">
          <w:rPr>
            <w:noProof/>
            <w:webHidden/>
          </w:rPr>
          <w:fldChar w:fldCharType="separate"/>
        </w:r>
        <w:r w:rsidR="00661B08">
          <w:rPr>
            <w:noProof/>
            <w:webHidden/>
          </w:rPr>
          <w:t>128</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33" w:history="1">
        <w:r w:rsidR="006E5A97" w:rsidRPr="00E50209">
          <w:rPr>
            <w:rStyle w:val="Hyperlink"/>
          </w:rPr>
          <w:t>C10 Proizvodnja prehrambenih proizvoda</w:t>
        </w:r>
        <w:r w:rsidR="006E5A97">
          <w:rPr>
            <w:webHidden/>
          </w:rPr>
          <w:tab/>
        </w:r>
        <w:r w:rsidR="00A36B38">
          <w:rPr>
            <w:webHidden/>
          </w:rPr>
          <w:fldChar w:fldCharType="begin"/>
        </w:r>
        <w:r w:rsidR="006E5A97">
          <w:rPr>
            <w:webHidden/>
          </w:rPr>
          <w:instrText xml:space="preserve"> PAGEREF _Toc378069033 \h </w:instrText>
        </w:r>
        <w:r w:rsidR="00A36B38">
          <w:rPr>
            <w:webHidden/>
          </w:rPr>
        </w:r>
        <w:r w:rsidR="00A36B38">
          <w:rPr>
            <w:webHidden/>
          </w:rPr>
          <w:fldChar w:fldCharType="separate"/>
        </w:r>
        <w:r w:rsidR="00661B08">
          <w:rPr>
            <w:webHidden/>
          </w:rPr>
          <w:t>134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_Toc378069034 \h </w:instrText>
        </w:r>
        <w:r w:rsidR="00A36B38">
          <w:rPr>
            <w:noProof/>
            <w:webHidden/>
          </w:rPr>
        </w:r>
        <w:r w:rsidR="00A36B38">
          <w:rPr>
            <w:noProof/>
            <w:webHidden/>
          </w:rPr>
          <w:fldChar w:fldCharType="separate"/>
        </w:r>
        <w:r w:rsidR="00661B08">
          <w:rPr>
            <w:noProof/>
            <w:webHidden/>
          </w:rPr>
          <w:t>134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_Toc378069035 \h </w:instrText>
        </w:r>
        <w:r w:rsidR="00A36B38">
          <w:rPr>
            <w:noProof/>
            <w:webHidden/>
          </w:rPr>
        </w:r>
        <w:r w:rsidR="00A36B38">
          <w:rPr>
            <w:noProof/>
            <w:webHidden/>
          </w:rPr>
          <w:fldChar w:fldCharType="separate"/>
        </w:r>
        <w:r w:rsidR="00661B08">
          <w:rPr>
            <w:noProof/>
            <w:webHidden/>
          </w:rPr>
          <w:t>134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_Toc378069036 \h </w:instrText>
        </w:r>
        <w:r w:rsidR="00A36B38">
          <w:rPr>
            <w:noProof/>
            <w:webHidden/>
          </w:rPr>
        </w:r>
        <w:r w:rsidR="00A36B38">
          <w:rPr>
            <w:noProof/>
            <w:webHidden/>
          </w:rPr>
          <w:fldChar w:fldCharType="separate"/>
        </w:r>
        <w:r w:rsidR="00661B08">
          <w:rPr>
            <w:noProof/>
            <w:webHidden/>
          </w:rPr>
          <w:t>135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_Toc378069037 \h </w:instrText>
        </w:r>
        <w:r w:rsidR="00A36B38">
          <w:rPr>
            <w:noProof/>
            <w:webHidden/>
          </w:rPr>
        </w:r>
        <w:r w:rsidR="00A36B38">
          <w:rPr>
            <w:noProof/>
            <w:webHidden/>
          </w:rPr>
          <w:fldChar w:fldCharType="separate"/>
        </w:r>
        <w:r w:rsidR="00661B08">
          <w:rPr>
            <w:noProof/>
            <w:webHidden/>
          </w:rPr>
          <w:t>138</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38" w:history="1">
        <w:r w:rsidR="006E5A97" w:rsidRPr="00E50209">
          <w:rPr>
            <w:rStyle w:val="Hyperlink"/>
          </w:rPr>
          <w:t>C11 Proizvodnja pića</w:t>
        </w:r>
        <w:r w:rsidR="006E5A97">
          <w:rPr>
            <w:webHidden/>
          </w:rPr>
          <w:tab/>
        </w:r>
        <w:r w:rsidR="00A36B38">
          <w:rPr>
            <w:webHidden/>
          </w:rPr>
          <w:fldChar w:fldCharType="begin"/>
        </w:r>
        <w:r w:rsidR="006E5A97">
          <w:rPr>
            <w:webHidden/>
          </w:rPr>
          <w:instrText xml:space="preserve"> PAGEREF _Toc378069038 \h </w:instrText>
        </w:r>
        <w:r w:rsidR="00A36B38">
          <w:rPr>
            <w:webHidden/>
          </w:rPr>
        </w:r>
        <w:r w:rsidR="00A36B38">
          <w:rPr>
            <w:webHidden/>
          </w:rPr>
          <w:fldChar w:fldCharType="separate"/>
        </w:r>
        <w:r w:rsidR="00661B08">
          <w:rPr>
            <w:webHidden/>
          </w:rPr>
          <w:t>140</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3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_Toc378069039 \h </w:instrText>
        </w:r>
        <w:r w:rsidR="00A36B38">
          <w:rPr>
            <w:noProof/>
            <w:webHidden/>
          </w:rPr>
        </w:r>
        <w:r w:rsidR="00A36B38">
          <w:rPr>
            <w:noProof/>
            <w:webHidden/>
          </w:rPr>
          <w:fldChar w:fldCharType="separate"/>
        </w:r>
        <w:r w:rsidR="00661B08">
          <w:rPr>
            <w:noProof/>
            <w:webHidden/>
          </w:rPr>
          <w:t>140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0" w:history="1">
        <w:r w:rsidR="006E5A97" w:rsidRPr="00E50209">
          <w:rPr>
            <w:rStyle w:val="Hyperlink"/>
            <w:noProof/>
            <w:lang w:eastAsia="hr-HR"/>
          </w:rPr>
          <w:t>Trendovi razvoja u Europskoj uniji</w:t>
        </w:r>
        <w:r w:rsidR="006E5A97">
          <w:rPr>
            <w:noProof/>
            <w:webHidden/>
          </w:rPr>
          <w:tab/>
        </w:r>
        <w:r w:rsidR="00A36B38">
          <w:rPr>
            <w:noProof/>
            <w:webHidden/>
          </w:rPr>
          <w:fldChar w:fldCharType="begin"/>
        </w:r>
        <w:r w:rsidR="006E5A97">
          <w:rPr>
            <w:noProof/>
            <w:webHidden/>
          </w:rPr>
          <w:instrText xml:space="preserve"> PAGEREF _Toc378069040 \h </w:instrText>
        </w:r>
        <w:r w:rsidR="00A36B38">
          <w:rPr>
            <w:noProof/>
            <w:webHidden/>
          </w:rPr>
        </w:r>
        <w:r w:rsidR="00A36B38">
          <w:rPr>
            <w:noProof/>
            <w:webHidden/>
          </w:rPr>
          <w:fldChar w:fldCharType="separate"/>
        </w:r>
        <w:r w:rsidR="00661B08">
          <w:rPr>
            <w:noProof/>
            <w:webHidden/>
          </w:rPr>
          <w:t>140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1" w:history="1">
        <w:r w:rsidR="006E5A97" w:rsidRPr="00E50209">
          <w:rPr>
            <w:rStyle w:val="Hyperlink"/>
            <w:noProof/>
            <w:lang w:eastAsia="hr-HR"/>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_Toc378069041 \h </w:instrText>
        </w:r>
        <w:r w:rsidR="00A36B38">
          <w:rPr>
            <w:noProof/>
            <w:webHidden/>
          </w:rPr>
        </w:r>
        <w:r w:rsidR="00A36B38">
          <w:rPr>
            <w:noProof/>
            <w:webHidden/>
          </w:rPr>
          <w:fldChar w:fldCharType="separate"/>
        </w:r>
        <w:r w:rsidR="00661B08">
          <w:rPr>
            <w:noProof/>
            <w:webHidden/>
          </w:rPr>
          <w:t>141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_Toc378069042 \h </w:instrText>
        </w:r>
        <w:r w:rsidR="00A36B38">
          <w:rPr>
            <w:noProof/>
            <w:webHidden/>
          </w:rPr>
        </w:r>
        <w:r w:rsidR="00A36B38">
          <w:rPr>
            <w:noProof/>
            <w:webHidden/>
          </w:rPr>
          <w:fldChar w:fldCharType="separate"/>
        </w:r>
        <w:r w:rsidR="00661B08">
          <w:rPr>
            <w:noProof/>
            <w:webHidden/>
          </w:rPr>
          <w:t>143</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43" w:history="1">
        <w:r w:rsidR="006E5A97" w:rsidRPr="00E50209">
          <w:rPr>
            <w:rStyle w:val="Hyperlink"/>
          </w:rPr>
          <w:t>C13 Proizvodnja tekstila</w:t>
        </w:r>
        <w:r w:rsidR="006E5A97">
          <w:rPr>
            <w:webHidden/>
          </w:rPr>
          <w:tab/>
        </w:r>
        <w:r w:rsidR="00A36B38">
          <w:rPr>
            <w:webHidden/>
          </w:rPr>
          <w:fldChar w:fldCharType="begin"/>
        </w:r>
        <w:r w:rsidR="006E5A97">
          <w:rPr>
            <w:webHidden/>
          </w:rPr>
          <w:instrText xml:space="preserve"> PAGEREF _Toc378069043 \h </w:instrText>
        </w:r>
        <w:r w:rsidR="00A36B38">
          <w:rPr>
            <w:webHidden/>
          </w:rPr>
        </w:r>
        <w:r w:rsidR="00A36B38">
          <w:rPr>
            <w:webHidden/>
          </w:rPr>
          <w:fldChar w:fldCharType="separate"/>
        </w:r>
        <w:r w:rsidR="00661B08">
          <w:rPr>
            <w:webHidden/>
          </w:rPr>
          <w:t>145</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_Toc378069044 \h </w:instrText>
        </w:r>
        <w:r w:rsidR="00A36B38">
          <w:rPr>
            <w:noProof/>
            <w:webHidden/>
          </w:rPr>
        </w:r>
        <w:r w:rsidR="00A36B38">
          <w:rPr>
            <w:noProof/>
            <w:webHidden/>
          </w:rPr>
          <w:fldChar w:fldCharType="separate"/>
        </w:r>
        <w:r w:rsidR="00661B08">
          <w:rPr>
            <w:noProof/>
            <w:webHidden/>
          </w:rPr>
          <w:t>145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_Toc378069045 \h </w:instrText>
        </w:r>
        <w:r w:rsidR="00A36B38">
          <w:rPr>
            <w:noProof/>
            <w:webHidden/>
          </w:rPr>
        </w:r>
        <w:r w:rsidR="00A36B38">
          <w:rPr>
            <w:noProof/>
            <w:webHidden/>
          </w:rPr>
          <w:fldChar w:fldCharType="separate"/>
        </w:r>
        <w:r w:rsidR="00661B08">
          <w:rPr>
            <w:noProof/>
            <w:webHidden/>
          </w:rPr>
          <w:t>145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_Toc378069046 \h </w:instrText>
        </w:r>
        <w:r w:rsidR="00A36B38">
          <w:rPr>
            <w:noProof/>
            <w:webHidden/>
          </w:rPr>
        </w:r>
        <w:r w:rsidR="00A36B38">
          <w:rPr>
            <w:noProof/>
            <w:webHidden/>
          </w:rPr>
          <w:fldChar w:fldCharType="separate"/>
        </w:r>
        <w:r w:rsidR="00661B08">
          <w:rPr>
            <w:noProof/>
            <w:webHidden/>
          </w:rPr>
          <w:t>146</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_Toc378069047 \h </w:instrText>
        </w:r>
        <w:r w:rsidR="00A36B38">
          <w:rPr>
            <w:noProof/>
            <w:webHidden/>
          </w:rPr>
        </w:r>
        <w:r w:rsidR="00A36B38">
          <w:rPr>
            <w:noProof/>
            <w:webHidden/>
          </w:rPr>
          <w:fldChar w:fldCharType="separate"/>
        </w:r>
        <w:r w:rsidR="00661B08">
          <w:rPr>
            <w:noProof/>
            <w:webHidden/>
          </w:rPr>
          <w:t>149</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48" w:history="1">
        <w:r w:rsidR="006E5A97" w:rsidRPr="00E50209">
          <w:rPr>
            <w:rStyle w:val="Hyperlink"/>
          </w:rPr>
          <w:t>C14 Proizvodnja odjeće</w:t>
        </w:r>
        <w:r w:rsidR="006E5A97">
          <w:rPr>
            <w:webHidden/>
          </w:rPr>
          <w:tab/>
        </w:r>
        <w:r w:rsidR="00A36B38">
          <w:rPr>
            <w:webHidden/>
          </w:rPr>
          <w:fldChar w:fldCharType="begin"/>
        </w:r>
        <w:r w:rsidR="006E5A97">
          <w:rPr>
            <w:webHidden/>
          </w:rPr>
          <w:instrText xml:space="preserve"> PAGEREF _Toc378069048 \h </w:instrText>
        </w:r>
        <w:r w:rsidR="00A36B38">
          <w:rPr>
            <w:webHidden/>
          </w:rPr>
        </w:r>
        <w:r w:rsidR="00A36B38">
          <w:rPr>
            <w:webHidden/>
          </w:rPr>
          <w:fldChar w:fldCharType="separate"/>
        </w:r>
        <w:r w:rsidR="00661B08">
          <w:rPr>
            <w:webHidden/>
          </w:rPr>
          <w:t>151</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4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_Toc378069049 \h </w:instrText>
        </w:r>
        <w:r w:rsidR="00A36B38">
          <w:rPr>
            <w:noProof/>
            <w:webHidden/>
          </w:rPr>
        </w:r>
        <w:r w:rsidR="00A36B38">
          <w:rPr>
            <w:noProof/>
            <w:webHidden/>
          </w:rPr>
          <w:fldChar w:fldCharType="separate"/>
        </w:r>
        <w:r w:rsidR="00661B08">
          <w:rPr>
            <w:noProof/>
            <w:webHidden/>
          </w:rPr>
          <w:t>151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_Toc378069050 \h </w:instrText>
        </w:r>
        <w:r w:rsidR="00A36B38">
          <w:rPr>
            <w:noProof/>
            <w:webHidden/>
          </w:rPr>
        </w:r>
        <w:r w:rsidR="00A36B38">
          <w:rPr>
            <w:noProof/>
            <w:webHidden/>
          </w:rPr>
          <w:fldChar w:fldCharType="separate"/>
        </w:r>
        <w:r w:rsidR="00661B08">
          <w:rPr>
            <w:noProof/>
            <w:webHidden/>
          </w:rPr>
          <w:t>151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_Toc378069051 \h </w:instrText>
        </w:r>
        <w:r w:rsidR="00A36B38">
          <w:rPr>
            <w:noProof/>
            <w:webHidden/>
          </w:rPr>
        </w:r>
        <w:r w:rsidR="00A36B38">
          <w:rPr>
            <w:noProof/>
            <w:webHidden/>
          </w:rPr>
          <w:fldChar w:fldCharType="separate"/>
        </w:r>
        <w:r w:rsidR="00661B08">
          <w:rPr>
            <w:noProof/>
            <w:webHidden/>
          </w:rPr>
          <w:t>152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_Toc378069052 \h </w:instrText>
        </w:r>
        <w:r w:rsidR="00A36B38">
          <w:rPr>
            <w:noProof/>
            <w:webHidden/>
          </w:rPr>
        </w:r>
        <w:r w:rsidR="00A36B38">
          <w:rPr>
            <w:noProof/>
            <w:webHidden/>
          </w:rPr>
          <w:fldChar w:fldCharType="separate"/>
        </w:r>
        <w:r w:rsidR="00661B08">
          <w:rPr>
            <w:noProof/>
            <w:webHidden/>
          </w:rPr>
          <w:t>155</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53" w:history="1">
        <w:r w:rsidR="006E5A97" w:rsidRPr="00E50209">
          <w:rPr>
            <w:rStyle w:val="Hyperlink"/>
          </w:rPr>
          <w:t>C15 Proizvodnja kože i srodnih proizvoda</w:t>
        </w:r>
        <w:r w:rsidR="006E5A97">
          <w:rPr>
            <w:webHidden/>
          </w:rPr>
          <w:tab/>
        </w:r>
        <w:r w:rsidR="00A36B38">
          <w:rPr>
            <w:webHidden/>
          </w:rPr>
          <w:fldChar w:fldCharType="begin"/>
        </w:r>
        <w:r w:rsidR="006E5A97">
          <w:rPr>
            <w:webHidden/>
          </w:rPr>
          <w:instrText xml:space="preserve"> PAGEREF _Toc378069053 \h </w:instrText>
        </w:r>
        <w:r w:rsidR="00A36B38">
          <w:rPr>
            <w:webHidden/>
          </w:rPr>
        </w:r>
        <w:r w:rsidR="00A36B38">
          <w:rPr>
            <w:webHidden/>
          </w:rPr>
          <w:fldChar w:fldCharType="separate"/>
        </w:r>
        <w:r w:rsidR="00661B08">
          <w:rPr>
            <w:webHidden/>
          </w:rPr>
          <w:t>157</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_Toc378069054 \h </w:instrText>
        </w:r>
        <w:r w:rsidR="00A36B38">
          <w:rPr>
            <w:noProof/>
            <w:webHidden/>
          </w:rPr>
        </w:r>
        <w:r w:rsidR="00A36B38">
          <w:rPr>
            <w:noProof/>
            <w:webHidden/>
          </w:rPr>
          <w:fldChar w:fldCharType="separate"/>
        </w:r>
        <w:r w:rsidR="00661B08">
          <w:rPr>
            <w:noProof/>
            <w:webHidden/>
          </w:rPr>
          <w:t>157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_Toc378069055 \h </w:instrText>
        </w:r>
        <w:r w:rsidR="00A36B38">
          <w:rPr>
            <w:noProof/>
            <w:webHidden/>
          </w:rPr>
        </w:r>
        <w:r w:rsidR="00A36B38">
          <w:rPr>
            <w:noProof/>
            <w:webHidden/>
          </w:rPr>
          <w:fldChar w:fldCharType="separate"/>
        </w:r>
        <w:r w:rsidR="00661B08">
          <w:rPr>
            <w:noProof/>
            <w:webHidden/>
          </w:rPr>
          <w:t>157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_Toc378069056 \h </w:instrText>
        </w:r>
        <w:r w:rsidR="00A36B38">
          <w:rPr>
            <w:noProof/>
            <w:webHidden/>
          </w:rPr>
        </w:r>
        <w:r w:rsidR="00A36B38">
          <w:rPr>
            <w:noProof/>
            <w:webHidden/>
          </w:rPr>
          <w:fldChar w:fldCharType="separate"/>
        </w:r>
        <w:r w:rsidR="00661B08">
          <w:rPr>
            <w:noProof/>
            <w:webHidden/>
          </w:rPr>
          <w:t>158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_Toc378069057 \h </w:instrText>
        </w:r>
        <w:r w:rsidR="00A36B38">
          <w:rPr>
            <w:noProof/>
            <w:webHidden/>
          </w:rPr>
        </w:r>
        <w:r w:rsidR="00A36B38">
          <w:rPr>
            <w:noProof/>
            <w:webHidden/>
          </w:rPr>
          <w:fldChar w:fldCharType="separate"/>
        </w:r>
        <w:r w:rsidR="00661B08">
          <w:rPr>
            <w:noProof/>
            <w:webHidden/>
          </w:rPr>
          <w:t>161</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58" w:history="1">
        <w:r w:rsidR="006E5A97" w:rsidRPr="00E50209">
          <w:rPr>
            <w:rStyle w:val="Hyperlink"/>
          </w:rPr>
          <w:t>C16 Prerada drva i proizvoda od drva i pluta, osim namještaja; proizvodnja proizvoda od slame i pletarskih materijala</w:t>
        </w:r>
        <w:r w:rsidR="006E5A97">
          <w:rPr>
            <w:webHidden/>
          </w:rPr>
          <w:tab/>
        </w:r>
        <w:r w:rsidR="00A36B38">
          <w:rPr>
            <w:webHidden/>
          </w:rPr>
          <w:fldChar w:fldCharType="begin"/>
        </w:r>
        <w:r w:rsidR="006E5A97">
          <w:rPr>
            <w:webHidden/>
          </w:rPr>
          <w:instrText xml:space="preserve"> PAGEREF _Toc378069058 \h </w:instrText>
        </w:r>
        <w:r w:rsidR="00A36B38">
          <w:rPr>
            <w:webHidden/>
          </w:rPr>
        </w:r>
        <w:r w:rsidR="00A36B38">
          <w:rPr>
            <w:webHidden/>
          </w:rPr>
          <w:fldChar w:fldCharType="separate"/>
        </w:r>
        <w:r w:rsidR="00661B08">
          <w:rPr>
            <w:webHidden/>
          </w:rPr>
          <w:t>163</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5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_Toc378069059 \h </w:instrText>
        </w:r>
        <w:r w:rsidR="00A36B38">
          <w:rPr>
            <w:noProof/>
            <w:webHidden/>
          </w:rPr>
        </w:r>
        <w:r w:rsidR="00A36B38">
          <w:rPr>
            <w:noProof/>
            <w:webHidden/>
          </w:rPr>
          <w:fldChar w:fldCharType="separate"/>
        </w:r>
        <w:r w:rsidR="00661B08">
          <w:rPr>
            <w:noProof/>
            <w:webHidden/>
          </w:rPr>
          <w:t>163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_Toc378069060 \h </w:instrText>
        </w:r>
        <w:r w:rsidR="00A36B38">
          <w:rPr>
            <w:noProof/>
            <w:webHidden/>
          </w:rPr>
        </w:r>
        <w:r w:rsidR="00A36B38">
          <w:rPr>
            <w:noProof/>
            <w:webHidden/>
          </w:rPr>
          <w:fldChar w:fldCharType="separate"/>
        </w:r>
        <w:r w:rsidR="00661B08">
          <w:rPr>
            <w:noProof/>
            <w:webHidden/>
          </w:rPr>
          <w:t>163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_Toc378069061 \h </w:instrText>
        </w:r>
        <w:r w:rsidR="00A36B38">
          <w:rPr>
            <w:noProof/>
            <w:webHidden/>
          </w:rPr>
        </w:r>
        <w:r w:rsidR="00A36B38">
          <w:rPr>
            <w:noProof/>
            <w:webHidden/>
          </w:rPr>
          <w:fldChar w:fldCharType="separate"/>
        </w:r>
        <w:r w:rsidR="00661B08">
          <w:rPr>
            <w:noProof/>
            <w:webHidden/>
          </w:rPr>
          <w:t>164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_Toc378069062 \h </w:instrText>
        </w:r>
        <w:r w:rsidR="00A36B38">
          <w:rPr>
            <w:noProof/>
            <w:webHidden/>
          </w:rPr>
        </w:r>
        <w:r w:rsidR="00A36B38">
          <w:rPr>
            <w:noProof/>
            <w:webHidden/>
          </w:rPr>
          <w:fldChar w:fldCharType="separate"/>
        </w:r>
        <w:r w:rsidR="00661B08">
          <w:rPr>
            <w:noProof/>
            <w:webHidden/>
          </w:rPr>
          <w:t>167</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63" w:history="1">
        <w:r w:rsidR="006E5A97" w:rsidRPr="00E50209">
          <w:rPr>
            <w:rStyle w:val="Hyperlink"/>
          </w:rPr>
          <w:t>C17 Proizvodnja papira i proizvoda od papira</w:t>
        </w:r>
        <w:r w:rsidR="006E5A97">
          <w:rPr>
            <w:webHidden/>
          </w:rPr>
          <w:tab/>
        </w:r>
        <w:r w:rsidR="00A36B38">
          <w:rPr>
            <w:webHidden/>
          </w:rPr>
          <w:fldChar w:fldCharType="begin"/>
        </w:r>
        <w:r w:rsidR="006E5A97">
          <w:rPr>
            <w:webHidden/>
          </w:rPr>
          <w:instrText xml:space="preserve"> PAGEREF _Toc378069063 \h </w:instrText>
        </w:r>
        <w:r w:rsidR="00A36B38">
          <w:rPr>
            <w:webHidden/>
          </w:rPr>
        </w:r>
        <w:r w:rsidR="00A36B38">
          <w:rPr>
            <w:webHidden/>
          </w:rPr>
          <w:fldChar w:fldCharType="separate"/>
        </w:r>
        <w:r w:rsidR="00661B08">
          <w:rPr>
            <w:webHidden/>
          </w:rPr>
          <w:t>169</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_Toc378069064 \h </w:instrText>
        </w:r>
        <w:r w:rsidR="00A36B38">
          <w:rPr>
            <w:noProof/>
            <w:webHidden/>
          </w:rPr>
        </w:r>
        <w:r w:rsidR="00A36B38">
          <w:rPr>
            <w:noProof/>
            <w:webHidden/>
          </w:rPr>
          <w:fldChar w:fldCharType="separate"/>
        </w:r>
        <w:r w:rsidR="00661B08">
          <w:rPr>
            <w:noProof/>
            <w:webHidden/>
          </w:rPr>
          <w:t>169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_Toc378069065 \h </w:instrText>
        </w:r>
        <w:r w:rsidR="00A36B38">
          <w:rPr>
            <w:noProof/>
            <w:webHidden/>
          </w:rPr>
        </w:r>
        <w:r w:rsidR="00A36B38">
          <w:rPr>
            <w:noProof/>
            <w:webHidden/>
          </w:rPr>
          <w:fldChar w:fldCharType="separate"/>
        </w:r>
        <w:r w:rsidR="00661B08">
          <w:rPr>
            <w:noProof/>
            <w:webHidden/>
          </w:rPr>
          <w:t>169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_Toc378069066 \h </w:instrText>
        </w:r>
        <w:r w:rsidR="00A36B38">
          <w:rPr>
            <w:noProof/>
            <w:webHidden/>
          </w:rPr>
        </w:r>
        <w:r w:rsidR="00A36B38">
          <w:rPr>
            <w:noProof/>
            <w:webHidden/>
          </w:rPr>
          <w:fldChar w:fldCharType="separate"/>
        </w:r>
        <w:r w:rsidR="00661B08">
          <w:rPr>
            <w:noProof/>
            <w:webHidden/>
          </w:rPr>
          <w:t>169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_Toc378069067 \h </w:instrText>
        </w:r>
        <w:r w:rsidR="00A36B38">
          <w:rPr>
            <w:noProof/>
            <w:webHidden/>
          </w:rPr>
        </w:r>
        <w:r w:rsidR="00A36B38">
          <w:rPr>
            <w:noProof/>
            <w:webHidden/>
          </w:rPr>
          <w:fldChar w:fldCharType="separate"/>
        </w:r>
        <w:r w:rsidR="00661B08">
          <w:rPr>
            <w:noProof/>
            <w:webHidden/>
          </w:rPr>
          <w:t>172</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68" w:history="1">
        <w:r w:rsidR="006E5A97" w:rsidRPr="00E50209">
          <w:rPr>
            <w:rStyle w:val="Hyperlink"/>
          </w:rPr>
          <w:t>C18 Tiskanje i umnožavanje snimljenih zapisa</w:t>
        </w:r>
        <w:r w:rsidR="006E5A97">
          <w:rPr>
            <w:webHidden/>
          </w:rPr>
          <w:tab/>
        </w:r>
        <w:r w:rsidR="00A36B38">
          <w:rPr>
            <w:webHidden/>
          </w:rPr>
          <w:fldChar w:fldCharType="begin"/>
        </w:r>
        <w:r w:rsidR="006E5A97">
          <w:rPr>
            <w:webHidden/>
          </w:rPr>
          <w:instrText xml:space="preserve"> PAGEREF _Toc378069068 \h </w:instrText>
        </w:r>
        <w:r w:rsidR="00A36B38">
          <w:rPr>
            <w:webHidden/>
          </w:rPr>
        </w:r>
        <w:r w:rsidR="00A36B38">
          <w:rPr>
            <w:webHidden/>
          </w:rPr>
          <w:fldChar w:fldCharType="separate"/>
        </w:r>
        <w:r w:rsidR="00661B08">
          <w:rPr>
            <w:webHidden/>
          </w:rPr>
          <w:t>174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6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_Toc378069069 \h </w:instrText>
        </w:r>
        <w:r w:rsidR="00A36B38">
          <w:rPr>
            <w:noProof/>
            <w:webHidden/>
          </w:rPr>
        </w:r>
        <w:r w:rsidR="00A36B38">
          <w:rPr>
            <w:noProof/>
            <w:webHidden/>
          </w:rPr>
          <w:fldChar w:fldCharType="separate"/>
        </w:r>
        <w:r w:rsidR="00661B08">
          <w:rPr>
            <w:noProof/>
            <w:webHidden/>
          </w:rPr>
          <w:t>174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_Toc378069070 \h </w:instrText>
        </w:r>
        <w:r w:rsidR="00A36B38">
          <w:rPr>
            <w:noProof/>
            <w:webHidden/>
          </w:rPr>
        </w:r>
        <w:r w:rsidR="00A36B38">
          <w:rPr>
            <w:noProof/>
            <w:webHidden/>
          </w:rPr>
          <w:fldChar w:fldCharType="separate"/>
        </w:r>
        <w:r w:rsidR="00661B08">
          <w:rPr>
            <w:noProof/>
            <w:webHidden/>
          </w:rPr>
          <w:t>174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_Toc378069071 \h </w:instrText>
        </w:r>
        <w:r w:rsidR="00A36B38">
          <w:rPr>
            <w:noProof/>
            <w:webHidden/>
          </w:rPr>
        </w:r>
        <w:r w:rsidR="00A36B38">
          <w:rPr>
            <w:noProof/>
            <w:webHidden/>
          </w:rPr>
          <w:fldChar w:fldCharType="separate"/>
        </w:r>
        <w:r w:rsidR="00661B08">
          <w:rPr>
            <w:noProof/>
            <w:webHidden/>
          </w:rPr>
          <w:t>174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_Toc378069072 \h </w:instrText>
        </w:r>
        <w:r w:rsidR="00A36B38">
          <w:rPr>
            <w:noProof/>
            <w:webHidden/>
          </w:rPr>
        </w:r>
        <w:r w:rsidR="00A36B38">
          <w:rPr>
            <w:noProof/>
            <w:webHidden/>
          </w:rPr>
          <w:fldChar w:fldCharType="separate"/>
        </w:r>
        <w:r w:rsidR="00661B08">
          <w:rPr>
            <w:noProof/>
            <w:webHidden/>
          </w:rPr>
          <w:t>177</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73" w:history="1">
        <w:r w:rsidR="006E5A97" w:rsidRPr="00E50209">
          <w:rPr>
            <w:rStyle w:val="Hyperlink"/>
          </w:rPr>
          <w:t>C19 Proizvodnja koksa i rafiniranih naftnih proizvoda</w:t>
        </w:r>
        <w:r w:rsidR="006E5A97">
          <w:rPr>
            <w:webHidden/>
          </w:rPr>
          <w:tab/>
        </w:r>
        <w:r w:rsidR="00A36B38">
          <w:rPr>
            <w:webHidden/>
          </w:rPr>
          <w:fldChar w:fldCharType="begin"/>
        </w:r>
        <w:r w:rsidR="006E5A97">
          <w:rPr>
            <w:webHidden/>
          </w:rPr>
          <w:instrText xml:space="preserve"> PAGEREF _Toc378069073 \h </w:instrText>
        </w:r>
        <w:r w:rsidR="00A36B38">
          <w:rPr>
            <w:webHidden/>
          </w:rPr>
        </w:r>
        <w:r w:rsidR="00A36B38">
          <w:rPr>
            <w:webHidden/>
          </w:rPr>
          <w:fldChar w:fldCharType="separate"/>
        </w:r>
        <w:r w:rsidR="00661B08">
          <w:rPr>
            <w:webHidden/>
          </w:rPr>
          <w:t>179</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_Toc378069074 \h </w:instrText>
        </w:r>
        <w:r w:rsidR="00A36B38">
          <w:rPr>
            <w:noProof/>
            <w:webHidden/>
          </w:rPr>
        </w:r>
        <w:r w:rsidR="00A36B38">
          <w:rPr>
            <w:noProof/>
            <w:webHidden/>
          </w:rPr>
          <w:fldChar w:fldCharType="separate"/>
        </w:r>
        <w:r w:rsidR="00661B08">
          <w:rPr>
            <w:noProof/>
            <w:webHidden/>
          </w:rPr>
          <w:t>179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_Toc378069075 \h </w:instrText>
        </w:r>
        <w:r w:rsidR="00A36B38">
          <w:rPr>
            <w:noProof/>
            <w:webHidden/>
          </w:rPr>
        </w:r>
        <w:r w:rsidR="00A36B38">
          <w:rPr>
            <w:noProof/>
            <w:webHidden/>
          </w:rPr>
          <w:fldChar w:fldCharType="separate"/>
        </w:r>
        <w:r w:rsidR="00661B08">
          <w:rPr>
            <w:noProof/>
            <w:webHidden/>
          </w:rPr>
          <w:t>180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_Toc378069076 \h </w:instrText>
        </w:r>
        <w:r w:rsidR="00A36B38">
          <w:rPr>
            <w:noProof/>
            <w:webHidden/>
          </w:rPr>
        </w:r>
        <w:r w:rsidR="00A36B38">
          <w:rPr>
            <w:noProof/>
            <w:webHidden/>
          </w:rPr>
          <w:fldChar w:fldCharType="separate"/>
        </w:r>
        <w:r w:rsidR="00661B08">
          <w:rPr>
            <w:noProof/>
            <w:webHidden/>
          </w:rPr>
          <w:t>180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_Toc378069077 \h </w:instrText>
        </w:r>
        <w:r w:rsidR="00A36B38">
          <w:rPr>
            <w:noProof/>
            <w:webHidden/>
          </w:rPr>
        </w:r>
        <w:r w:rsidR="00A36B38">
          <w:rPr>
            <w:noProof/>
            <w:webHidden/>
          </w:rPr>
          <w:fldChar w:fldCharType="separate"/>
        </w:r>
        <w:r w:rsidR="00661B08">
          <w:rPr>
            <w:noProof/>
            <w:webHidden/>
          </w:rPr>
          <w:t>183</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78" w:history="1">
        <w:r w:rsidR="006E5A97" w:rsidRPr="00E50209">
          <w:rPr>
            <w:rStyle w:val="Hyperlink"/>
          </w:rPr>
          <w:t>C20 Proizvodnja kemikalija i kemijskih proizvoda</w:t>
        </w:r>
        <w:r w:rsidR="006E5A97">
          <w:rPr>
            <w:webHidden/>
          </w:rPr>
          <w:tab/>
        </w:r>
        <w:r w:rsidR="00A36B38">
          <w:rPr>
            <w:webHidden/>
          </w:rPr>
          <w:fldChar w:fldCharType="begin"/>
        </w:r>
        <w:r w:rsidR="006E5A97">
          <w:rPr>
            <w:webHidden/>
          </w:rPr>
          <w:instrText xml:space="preserve"> PAGEREF _Toc378069078 \h </w:instrText>
        </w:r>
        <w:r w:rsidR="00A36B38">
          <w:rPr>
            <w:webHidden/>
          </w:rPr>
        </w:r>
        <w:r w:rsidR="00A36B38">
          <w:rPr>
            <w:webHidden/>
          </w:rPr>
          <w:fldChar w:fldCharType="separate"/>
        </w:r>
        <w:r w:rsidR="00661B08">
          <w:rPr>
            <w:webHidden/>
          </w:rPr>
          <w:t>185</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7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_Toc378069079 \h </w:instrText>
        </w:r>
        <w:r w:rsidR="00A36B38">
          <w:rPr>
            <w:noProof/>
            <w:webHidden/>
          </w:rPr>
        </w:r>
        <w:r w:rsidR="00A36B38">
          <w:rPr>
            <w:noProof/>
            <w:webHidden/>
          </w:rPr>
          <w:fldChar w:fldCharType="separate"/>
        </w:r>
        <w:r w:rsidR="00661B08">
          <w:rPr>
            <w:noProof/>
            <w:webHidden/>
          </w:rPr>
          <w:t>185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_Toc378069080 \h </w:instrText>
        </w:r>
        <w:r w:rsidR="00A36B38">
          <w:rPr>
            <w:noProof/>
            <w:webHidden/>
          </w:rPr>
        </w:r>
        <w:r w:rsidR="00A36B38">
          <w:rPr>
            <w:noProof/>
            <w:webHidden/>
          </w:rPr>
          <w:fldChar w:fldCharType="separate"/>
        </w:r>
        <w:r w:rsidR="00661B08">
          <w:rPr>
            <w:noProof/>
            <w:webHidden/>
          </w:rPr>
          <w:t>185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_Toc378069081 \h </w:instrText>
        </w:r>
        <w:r w:rsidR="00A36B38">
          <w:rPr>
            <w:noProof/>
            <w:webHidden/>
          </w:rPr>
        </w:r>
        <w:r w:rsidR="00A36B38">
          <w:rPr>
            <w:noProof/>
            <w:webHidden/>
          </w:rPr>
          <w:fldChar w:fldCharType="separate"/>
        </w:r>
        <w:r w:rsidR="00661B08">
          <w:rPr>
            <w:noProof/>
            <w:webHidden/>
          </w:rPr>
          <w:t>187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_Toc378069082 \h </w:instrText>
        </w:r>
        <w:r w:rsidR="00A36B38">
          <w:rPr>
            <w:noProof/>
            <w:webHidden/>
          </w:rPr>
        </w:r>
        <w:r w:rsidR="00A36B38">
          <w:rPr>
            <w:noProof/>
            <w:webHidden/>
          </w:rPr>
          <w:fldChar w:fldCharType="separate"/>
        </w:r>
        <w:r w:rsidR="00661B08">
          <w:rPr>
            <w:noProof/>
            <w:webHidden/>
          </w:rPr>
          <w:t>191</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83" w:history="1">
        <w:r w:rsidR="006E5A97" w:rsidRPr="00E50209">
          <w:rPr>
            <w:rStyle w:val="Hyperlink"/>
          </w:rPr>
          <w:t>C21 Proizvodnja osnovnih farmaceutskih proizvoda i farmaceutskih pripravaka</w:t>
        </w:r>
        <w:r w:rsidR="006E5A97">
          <w:rPr>
            <w:webHidden/>
          </w:rPr>
          <w:tab/>
        </w:r>
        <w:r w:rsidR="00A36B38">
          <w:rPr>
            <w:webHidden/>
          </w:rPr>
          <w:fldChar w:fldCharType="begin"/>
        </w:r>
        <w:r w:rsidR="006E5A97">
          <w:rPr>
            <w:webHidden/>
          </w:rPr>
          <w:instrText xml:space="preserve"> PAGEREF _Toc378069083 \h </w:instrText>
        </w:r>
        <w:r w:rsidR="00A36B38">
          <w:rPr>
            <w:webHidden/>
          </w:rPr>
        </w:r>
        <w:r w:rsidR="00A36B38">
          <w:rPr>
            <w:webHidden/>
          </w:rPr>
          <w:fldChar w:fldCharType="separate"/>
        </w:r>
        <w:r w:rsidR="00661B08">
          <w:rPr>
            <w:webHidden/>
          </w:rPr>
          <w:t>193</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_Toc378069084 \h </w:instrText>
        </w:r>
        <w:r w:rsidR="00A36B38">
          <w:rPr>
            <w:noProof/>
            <w:webHidden/>
          </w:rPr>
        </w:r>
        <w:r w:rsidR="00A36B38">
          <w:rPr>
            <w:noProof/>
            <w:webHidden/>
          </w:rPr>
          <w:fldChar w:fldCharType="separate"/>
        </w:r>
        <w:r w:rsidR="00661B08">
          <w:rPr>
            <w:noProof/>
            <w:webHidden/>
          </w:rPr>
          <w:t>193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_Toc378069085 \h </w:instrText>
        </w:r>
        <w:r w:rsidR="00A36B38">
          <w:rPr>
            <w:noProof/>
            <w:webHidden/>
          </w:rPr>
        </w:r>
        <w:r w:rsidR="00A36B38">
          <w:rPr>
            <w:noProof/>
            <w:webHidden/>
          </w:rPr>
          <w:fldChar w:fldCharType="separate"/>
        </w:r>
        <w:r w:rsidR="00661B08">
          <w:rPr>
            <w:noProof/>
            <w:webHidden/>
          </w:rPr>
          <w:t>193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_Toc378069086 \h </w:instrText>
        </w:r>
        <w:r w:rsidR="00A36B38">
          <w:rPr>
            <w:noProof/>
            <w:webHidden/>
          </w:rPr>
        </w:r>
        <w:r w:rsidR="00A36B38">
          <w:rPr>
            <w:noProof/>
            <w:webHidden/>
          </w:rPr>
          <w:fldChar w:fldCharType="separate"/>
        </w:r>
        <w:r w:rsidR="00661B08">
          <w:rPr>
            <w:noProof/>
            <w:webHidden/>
          </w:rPr>
          <w:t>194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_Toc378069087 \h </w:instrText>
        </w:r>
        <w:r w:rsidR="00A36B38">
          <w:rPr>
            <w:noProof/>
            <w:webHidden/>
          </w:rPr>
        </w:r>
        <w:r w:rsidR="00A36B38">
          <w:rPr>
            <w:noProof/>
            <w:webHidden/>
          </w:rPr>
          <w:fldChar w:fldCharType="separate"/>
        </w:r>
        <w:r w:rsidR="00661B08">
          <w:rPr>
            <w:noProof/>
            <w:webHidden/>
          </w:rPr>
          <w:t>198</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88" w:history="1">
        <w:r w:rsidR="006E5A97" w:rsidRPr="00E50209">
          <w:rPr>
            <w:rStyle w:val="Hyperlink"/>
          </w:rPr>
          <w:t>C22 Proizvodnja proizvoda od gume i plastike</w:t>
        </w:r>
        <w:r w:rsidR="006E5A97">
          <w:rPr>
            <w:webHidden/>
          </w:rPr>
          <w:tab/>
        </w:r>
        <w:r w:rsidR="00A36B38">
          <w:rPr>
            <w:webHidden/>
          </w:rPr>
          <w:fldChar w:fldCharType="begin"/>
        </w:r>
        <w:r w:rsidR="006E5A97">
          <w:rPr>
            <w:webHidden/>
          </w:rPr>
          <w:instrText xml:space="preserve"> PAGEREF _Toc378069088 \h </w:instrText>
        </w:r>
        <w:r w:rsidR="00A36B38">
          <w:rPr>
            <w:webHidden/>
          </w:rPr>
        </w:r>
        <w:r w:rsidR="00A36B38">
          <w:rPr>
            <w:webHidden/>
          </w:rPr>
          <w:fldChar w:fldCharType="separate"/>
        </w:r>
        <w:r w:rsidR="00661B08">
          <w:rPr>
            <w:webHidden/>
          </w:rPr>
          <w:t>200</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8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_Toc378069089 \h </w:instrText>
        </w:r>
        <w:r w:rsidR="00A36B38">
          <w:rPr>
            <w:noProof/>
            <w:webHidden/>
          </w:rPr>
        </w:r>
        <w:r w:rsidR="00A36B38">
          <w:rPr>
            <w:noProof/>
            <w:webHidden/>
          </w:rPr>
          <w:fldChar w:fldCharType="separate"/>
        </w:r>
        <w:r w:rsidR="00661B08">
          <w:rPr>
            <w:noProof/>
            <w:webHidden/>
          </w:rPr>
          <w:t>200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_Toc378069090 \h </w:instrText>
        </w:r>
        <w:r w:rsidR="00A36B38">
          <w:rPr>
            <w:noProof/>
            <w:webHidden/>
          </w:rPr>
        </w:r>
        <w:r w:rsidR="00A36B38">
          <w:rPr>
            <w:noProof/>
            <w:webHidden/>
          </w:rPr>
          <w:fldChar w:fldCharType="separate"/>
        </w:r>
        <w:r w:rsidR="00661B08">
          <w:rPr>
            <w:noProof/>
            <w:webHidden/>
          </w:rPr>
          <w:t>201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_Toc378069091 \h </w:instrText>
        </w:r>
        <w:r w:rsidR="00A36B38">
          <w:rPr>
            <w:noProof/>
            <w:webHidden/>
          </w:rPr>
        </w:r>
        <w:r w:rsidR="00A36B38">
          <w:rPr>
            <w:noProof/>
            <w:webHidden/>
          </w:rPr>
          <w:fldChar w:fldCharType="separate"/>
        </w:r>
        <w:r w:rsidR="00661B08">
          <w:rPr>
            <w:noProof/>
            <w:webHidden/>
          </w:rPr>
          <w:t>201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_Toc378069092 \h </w:instrText>
        </w:r>
        <w:r w:rsidR="00A36B38">
          <w:rPr>
            <w:noProof/>
            <w:webHidden/>
          </w:rPr>
        </w:r>
        <w:r w:rsidR="00A36B38">
          <w:rPr>
            <w:noProof/>
            <w:webHidden/>
          </w:rPr>
          <w:fldChar w:fldCharType="separate"/>
        </w:r>
        <w:r w:rsidR="00661B08">
          <w:rPr>
            <w:noProof/>
            <w:webHidden/>
          </w:rPr>
          <w:t>205</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93" w:history="1">
        <w:r w:rsidR="006E5A97" w:rsidRPr="00E50209">
          <w:rPr>
            <w:rStyle w:val="Hyperlink"/>
          </w:rPr>
          <w:t>C23 Proizvodnja ostalih nemetalnih mineralnih proizvoda</w:t>
        </w:r>
        <w:r w:rsidR="006E5A97">
          <w:rPr>
            <w:webHidden/>
          </w:rPr>
          <w:tab/>
        </w:r>
        <w:r w:rsidR="00A36B38">
          <w:rPr>
            <w:webHidden/>
          </w:rPr>
          <w:fldChar w:fldCharType="begin"/>
        </w:r>
        <w:r w:rsidR="006E5A97">
          <w:rPr>
            <w:webHidden/>
          </w:rPr>
          <w:instrText xml:space="preserve"> PAGEREF _Toc378069093 \h </w:instrText>
        </w:r>
        <w:r w:rsidR="00A36B38">
          <w:rPr>
            <w:webHidden/>
          </w:rPr>
        </w:r>
        <w:r w:rsidR="00A36B38">
          <w:rPr>
            <w:webHidden/>
          </w:rPr>
          <w:fldChar w:fldCharType="separate"/>
        </w:r>
        <w:r w:rsidR="00661B08">
          <w:rPr>
            <w:webHidden/>
          </w:rPr>
          <w:t>207</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_Toc378069094 \h </w:instrText>
        </w:r>
        <w:r w:rsidR="00A36B38">
          <w:rPr>
            <w:noProof/>
            <w:webHidden/>
          </w:rPr>
        </w:r>
        <w:r w:rsidR="00A36B38">
          <w:rPr>
            <w:noProof/>
            <w:webHidden/>
          </w:rPr>
          <w:fldChar w:fldCharType="separate"/>
        </w:r>
        <w:r w:rsidR="00661B08">
          <w:rPr>
            <w:noProof/>
            <w:webHidden/>
          </w:rPr>
          <w:t>207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_Toc378069095 \h </w:instrText>
        </w:r>
        <w:r w:rsidR="00A36B38">
          <w:rPr>
            <w:noProof/>
            <w:webHidden/>
          </w:rPr>
        </w:r>
        <w:r w:rsidR="00A36B38">
          <w:rPr>
            <w:noProof/>
            <w:webHidden/>
          </w:rPr>
          <w:fldChar w:fldCharType="separate"/>
        </w:r>
        <w:r w:rsidR="00661B08">
          <w:rPr>
            <w:noProof/>
            <w:webHidden/>
          </w:rPr>
          <w:t>208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_Toc378069096 \h </w:instrText>
        </w:r>
        <w:r w:rsidR="00A36B38">
          <w:rPr>
            <w:noProof/>
            <w:webHidden/>
          </w:rPr>
        </w:r>
        <w:r w:rsidR="00A36B38">
          <w:rPr>
            <w:noProof/>
            <w:webHidden/>
          </w:rPr>
          <w:fldChar w:fldCharType="separate"/>
        </w:r>
        <w:r w:rsidR="00661B08">
          <w:rPr>
            <w:noProof/>
            <w:webHidden/>
          </w:rPr>
          <w:t>208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_Toc378069097 \h </w:instrText>
        </w:r>
        <w:r w:rsidR="00A36B38">
          <w:rPr>
            <w:noProof/>
            <w:webHidden/>
          </w:rPr>
        </w:r>
        <w:r w:rsidR="00A36B38">
          <w:rPr>
            <w:noProof/>
            <w:webHidden/>
          </w:rPr>
          <w:fldChar w:fldCharType="separate"/>
        </w:r>
        <w:r w:rsidR="00661B08">
          <w:rPr>
            <w:noProof/>
            <w:webHidden/>
          </w:rPr>
          <w:t>212</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098" w:history="1">
        <w:r w:rsidR="006E5A97" w:rsidRPr="00E50209">
          <w:rPr>
            <w:rStyle w:val="Hyperlink"/>
          </w:rPr>
          <w:t>C24 Proizvodnja metala</w:t>
        </w:r>
        <w:r w:rsidR="006E5A97">
          <w:rPr>
            <w:webHidden/>
          </w:rPr>
          <w:tab/>
        </w:r>
        <w:r w:rsidR="00A36B38">
          <w:rPr>
            <w:webHidden/>
          </w:rPr>
          <w:fldChar w:fldCharType="begin"/>
        </w:r>
        <w:r w:rsidR="006E5A97">
          <w:rPr>
            <w:webHidden/>
          </w:rPr>
          <w:instrText xml:space="preserve"> PAGEREF _Toc378069098 \h </w:instrText>
        </w:r>
        <w:r w:rsidR="00A36B38">
          <w:rPr>
            <w:webHidden/>
          </w:rPr>
        </w:r>
        <w:r w:rsidR="00A36B38">
          <w:rPr>
            <w:webHidden/>
          </w:rPr>
          <w:fldChar w:fldCharType="separate"/>
        </w:r>
        <w:r w:rsidR="00661B08">
          <w:rPr>
            <w:webHidden/>
          </w:rPr>
          <w:t>214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09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_Toc378069099 \h </w:instrText>
        </w:r>
        <w:r w:rsidR="00A36B38">
          <w:rPr>
            <w:noProof/>
            <w:webHidden/>
          </w:rPr>
        </w:r>
        <w:r w:rsidR="00A36B38">
          <w:rPr>
            <w:noProof/>
            <w:webHidden/>
          </w:rPr>
          <w:fldChar w:fldCharType="separate"/>
        </w:r>
        <w:r w:rsidR="00661B08">
          <w:rPr>
            <w:noProof/>
            <w:webHidden/>
          </w:rPr>
          <w:t>214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_Toc378069100 \h </w:instrText>
        </w:r>
        <w:r w:rsidR="00A36B38">
          <w:rPr>
            <w:noProof/>
            <w:webHidden/>
          </w:rPr>
        </w:r>
        <w:r w:rsidR="00A36B38">
          <w:rPr>
            <w:noProof/>
            <w:webHidden/>
          </w:rPr>
          <w:fldChar w:fldCharType="separate"/>
        </w:r>
        <w:r w:rsidR="00661B08">
          <w:rPr>
            <w:noProof/>
            <w:webHidden/>
          </w:rPr>
          <w:t>214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_Toc378069101 \h </w:instrText>
        </w:r>
        <w:r w:rsidR="00A36B38">
          <w:rPr>
            <w:noProof/>
            <w:webHidden/>
          </w:rPr>
        </w:r>
        <w:r w:rsidR="00A36B38">
          <w:rPr>
            <w:noProof/>
            <w:webHidden/>
          </w:rPr>
          <w:fldChar w:fldCharType="separate"/>
        </w:r>
        <w:r w:rsidR="00661B08">
          <w:rPr>
            <w:noProof/>
            <w:webHidden/>
          </w:rPr>
          <w:t>215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_Toc378069102 \h </w:instrText>
        </w:r>
        <w:r w:rsidR="00A36B38">
          <w:rPr>
            <w:noProof/>
            <w:webHidden/>
          </w:rPr>
        </w:r>
        <w:r w:rsidR="00A36B38">
          <w:rPr>
            <w:noProof/>
            <w:webHidden/>
          </w:rPr>
          <w:fldChar w:fldCharType="separate"/>
        </w:r>
        <w:r w:rsidR="00661B08">
          <w:rPr>
            <w:noProof/>
            <w:webHidden/>
          </w:rPr>
          <w:t>219</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03" w:history="1">
        <w:r w:rsidR="006E5A97" w:rsidRPr="00E50209">
          <w:rPr>
            <w:rStyle w:val="Hyperlink"/>
          </w:rPr>
          <w:t>C25 Proizvodnja gotovih metalnih proizvoda osim strojeva i opreme</w:t>
        </w:r>
        <w:r w:rsidR="006E5A97">
          <w:rPr>
            <w:webHidden/>
          </w:rPr>
          <w:tab/>
        </w:r>
        <w:r w:rsidR="00A36B38">
          <w:rPr>
            <w:webHidden/>
          </w:rPr>
          <w:fldChar w:fldCharType="begin"/>
        </w:r>
        <w:r w:rsidR="006E5A97">
          <w:rPr>
            <w:webHidden/>
          </w:rPr>
          <w:instrText xml:space="preserve"> PAGEREF _Toc378069103 \h </w:instrText>
        </w:r>
        <w:r w:rsidR="00A36B38">
          <w:rPr>
            <w:webHidden/>
          </w:rPr>
        </w:r>
        <w:r w:rsidR="00A36B38">
          <w:rPr>
            <w:webHidden/>
          </w:rPr>
          <w:fldChar w:fldCharType="separate"/>
        </w:r>
        <w:r w:rsidR="00661B08">
          <w:rPr>
            <w:webHidden/>
          </w:rPr>
          <w:t>221</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_Toc378069104 \h </w:instrText>
        </w:r>
        <w:r w:rsidR="00A36B38">
          <w:rPr>
            <w:noProof/>
            <w:webHidden/>
          </w:rPr>
        </w:r>
        <w:r w:rsidR="00A36B38">
          <w:rPr>
            <w:noProof/>
            <w:webHidden/>
          </w:rPr>
          <w:fldChar w:fldCharType="separate"/>
        </w:r>
        <w:r w:rsidR="00661B08">
          <w:rPr>
            <w:noProof/>
            <w:webHidden/>
          </w:rPr>
          <w:t>221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_Toc378069105 \h </w:instrText>
        </w:r>
        <w:r w:rsidR="00A36B38">
          <w:rPr>
            <w:noProof/>
            <w:webHidden/>
          </w:rPr>
        </w:r>
        <w:r w:rsidR="00A36B38">
          <w:rPr>
            <w:noProof/>
            <w:webHidden/>
          </w:rPr>
          <w:fldChar w:fldCharType="separate"/>
        </w:r>
        <w:r w:rsidR="00661B08">
          <w:rPr>
            <w:noProof/>
            <w:webHidden/>
          </w:rPr>
          <w:t>222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_Toc378069106 \h </w:instrText>
        </w:r>
        <w:r w:rsidR="00A36B38">
          <w:rPr>
            <w:noProof/>
            <w:webHidden/>
          </w:rPr>
        </w:r>
        <w:r w:rsidR="00A36B38">
          <w:rPr>
            <w:noProof/>
            <w:webHidden/>
          </w:rPr>
          <w:fldChar w:fldCharType="separate"/>
        </w:r>
        <w:r w:rsidR="00661B08">
          <w:rPr>
            <w:noProof/>
            <w:webHidden/>
          </w:rPr>
          <w:t>222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_Toc378069107 \h </w:instrText>
        </w:r>
        <w:r w:rsidR="00A36B38">
          <w:rPr>
            <w:noProof/>
            <w:webHidden/>
          </w:rPr>
        </w:r>
        <w:r w:rsidR="00A36B38">
          <w:rPr>
            <w:noProof/>
            <w:webHidden/>
          </w:rPr>
          <w:fldChar w:fldCharType="separate"/>
        </w:r>
        <w:r w:rsidR="00661B08">
          <w:rPr>
            <w:noProof/>
            <w:webHidden/>
          </w:rPr>
          <w:t>225</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08" w:history="1">
        <w:r w:rsidR="006E5A97" w:rsidRPr="00E50209">
          <w:rPr>
            <w:rStyle w:val="Hyperlink"/>
          </w:rPr>
          <w:t>C26 Proizvodnja računala te elektroničkih i optičkih proizvoda</w:t>
        </w:r>
        <w:r w:rsidR="006E5A97">
          <w:rPr>
            <w:webHidden/>
          </w:rPr>
          <w:tab/>
        </w:r>
        <w:r w:rsidR="00A36B38">
          <w:rPr>
            <w:webHidden/>
          </w:rPr>
          <w:fldChar w:fldCharType="begin"/>
        </w:r>
        <w:r w:rsidR="006E5A97">
          <w:rPr>
            <w:webHidden/>
          </w:rPr>
          <w:instrText xml:space="preserve"> PAGEREF _Toc378069108 \h </w:instrText>
        </w:r>
        <w:r w:rsidR="00A36B38">
          <w:rPr>
            <w:webHidden/>
          </w:rPr>
        </w:r>
        <w:r w:rsidR="00A36B38">
          <w:rPr>
            <w:webHidden/>
          </w:rPr>
          <w:fldChar w:fldCharType="separate"/>
        </w:r>
        <w:r w:rsidR="00661B08">
          <w:rPr>
            <w:webHidden/>
          </w:rPr>
          <w:t>227</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0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_Toc378069109 \h </w:instrText>
        </w:r>
        <w:r w:rsidR="00A36B38">
          <w:rPr>
            <w:noProof/>
            <w:webHidden/>
          </w:rPr>
        </w:r>
        <w:r w:rsidR="00A36B38">
          <w:rPr>
            <w:noProof/>
            <w:webHidden/>
          </w:rPr>
          <w:fldChar w:fldCharType="separate"/>
        </w:r>
        <w:r w:rsidR="00661B08">
          <w:rPr>
            <w:noProof/>
            <w:webHidden/>
          </w:rPr>
          <w:t>227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_Toc378069110 \h </w:instrText>
        </w:r>
        <w:r w:rsidR="00A36B38">
          <w:rPr>
            <w:noProof/>
            <w:webHidden/>
          </w:rPr>
        </w:r>
        <w:r w:rsidR="00A36B38">
          <w:rPr>
            <w:noProof/>
            <w:webHidden/>
          </w:rPr>
          <w:fldChar w:fldCharType="separate"/>
        </w:r>
        <w:r w:rsidR="00661B08">
          <w:rPr>
            <w:noProof/>
            <w:webHidden/>
          </w:rPr>
          <w:t>227</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_Toc378069111 \h </w:instrText>
        </w:r>
        <w:r w:rsidR="00A36B38">
          <w:rPr>
            <w:noProof/>
            <w:webHidden/>
          </w:rPr>
        </w:r>
        <w:r w:rsidR="00A36B38">
          <w:rPr>
            <w:noProof/>
            <w:webHidden/>
          </w:rPr>
          <w:fldChar w:fldCharType="separate"/>
        </w:r>
        <w:r w:rsidR="00661B08">
          <w:rPr>
            <w:noProof/>
            <w:webHidden/>
          </w:rPr>
          <w:t>228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_Toc378069112 \h </w:instrText>
        </w:r>
        <w:r w:rsidR="00A36B38">
          <w:rPr>
            <w:noProof/>
            <w:webHidden/>
          </w:rPr>
        </w:r>
        <w:r w:rsidR="00A36B38">
          <w:rPr>
            <w:noProof/>
            <w:webHidden/>
          </w:rPr>
          <w:fldChar w:fldCharType="separate"/>
        </w:r>
        <w:r w:rsidR="00661B08">
          <w:rPr>
            <w:noProof/>
            <w:webHidden/>
          </w:rPr>
          <w:t>231</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13" w:history="1">
        <w:r w:rsidR="006E5A97" w:rsidRPr="00E50209">
          <w:rPr>
            <w:rStyle w:val="Hyperlink"/>
          </w:rPr>
          <w:t>C27 Proizvodnja električne opreme</w:t>
        </w:r>
        <w:r w:rsidR="006E5A97">
          <w:rPr>
            <w:webHidden/>
          </w:rPr>
          <w:tab/>
        </w:r>
        <w:r w:rsidR="00A36B38">
          <w:rPr>
            <w:webHidden/>
          </w:rPr>
          <w:fldChar w:fldCharType="begin"/>
        </w:r>
        <w:r w:rsidR="006E5A97">
          <w:rPr>
            <w:webHidden/>
          </w:rPr>
          <w:instrText xml:space="preserve"> PAGEREF _Toc378069113 \h </w:instrText>
        </w:r>
        <w:r w:rsidR="00A36B38">
          <w:rPr>
            <w:webHidden/>
          </w:rPr>
        </w:r>
        <w:r w:rsidR="00A36B38">
          <w:rPr>
            <w:webHidden/>
          </w:rPr>
          <w:fldChar w:fldCharType="separate"/>
        </w:r>
        <w:r w:rsidR="00661B08">
          <w:rPr>
            <w:webHidden/>
          </w:rPr>
          <w:t>233</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4"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_Toc378069114 \h </w:instrText>
        </w:r>
        <w:r w:rsidR="00A36B38">
          <w:rPr>
            <w:noProof/>
            <w:webHidden/>
          </w:rPr>
        </w:r>
        <w:r w:rsidR="00A36B38">
          <w:rPr>
            <w:noProof/>
            <w:webHidden/>
          </w:rPr>
          <w:fldChar w:fldCharType="separate"/>
        </w:r>
        <w:r w:rsidR="00661B08">
          <w:rPr>
            <w:noProof/>
            <w:webHidden/>
          </w:rPr>
          <w:t>233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_Toc378069115 \h </w:instrText>
        </w:r>
        <w:r w:rsidR="00A36B38">
          <w:rPr>
            <w:noProof/>
            <w:webHidden/>
          </w:rPr>
        </w:r>
        <w:r w:rsidR="00A36B38">
          <w:rPr>
            <w:noProof/>
            <w:webHidden/>
          </w:rPr>
          <w:fldChar w:fldCharType="separate"/>
        </w:r>
        <w:r w:rsidR="00661B08">
          <w:rPr>
            <w:noProof/>
            <w:webHidden/>
          </w:rPr>
          <w:t>233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_Toc378069116 \h </w:instrText>
        </w:r>
        <w:r w:rsidR="00A36B38">
          <w:rPr>
            <w:noProof/>
            <w:webHidden/>
          </w:rPr>
        </w:r>
        <w:r w:rsidR="00A36B38">
          <w:rPr>
            <w:noProof/>
            <w:webHidden/>
          </w:rPr>
          <w:fldChar w:fldCharType="separate"/>
        </w:r>
        <w:r w:rsidR="00661B08">
          <w:rPr>
            <w:noProof/>
            <w:webHidden/>
          </w:rPr>
          <w:t>234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_Toc378069117 \h </w:instrText>
        </w:r>
        <w:r w:rsidR="00A36B38">
          <w:rPr>
            <w:noProof/>
            <w:webHidden/>
          </w:rPr>
        </w:r>
        <w:r w:rsidR="00A36B38">
          <w:rPr>
            <w:noProof/>
            <w:webHidden/>
          </w:rPr>
          <w:fldChar w:fldCharType="separate"/>
        </w:r>
        <w:r w:rsidR="00661B08">
          <w:rPr>
            <w:noProof/>
            <w:webHidden/>
          </w:rPr>
          <w:t>237</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18" w:history="1">
        <w:r w:rsidR="006E5A97" w:rsidRPr="00E50209">
          <w:rPr>
            <w:rStyle w:val="Hyperlink"/>
          </w:rPr>
          <w:t>C28 Proizvodnja strojeva i uređaja, d.n.</w:t>
        </w:r>
        <w:r w:rsidR="006E5A97">
          <w:rPr>
            <w:webHidden/>
          </w:rPr>
          <w:tab/>
        </w:r>
        <w:r w:rsidR="00A36B38">
          <w:rPr>
            <w:webHidden/>
          </w:rPr>
          <w:fldChar w:fldCharType="begin"/>
        </w:r>
        <w:r w:rsidR="006E5A97">
          <w:rPr>
            <w:webHidden/>
          </w:rPr>
          <w:instrText xml:space="preserve"> PAGEREF _Toc378069118 \h </w:instrText>
        </w:r>
        <w:r w:rsidR="00A36B38">
          <w:rPr>
            <w:webHidden/>
          </w:rPr>
        </w:r>
        <w:r w:rsidR="00A36B38">
          <w:rPr>
            <w:webHidden/>
          </w:rPr>
          <w:fldChar w:fldCharType="separate"/>
        </w:r>
        <w:r w:rsidR="00661B08">
          <w:rPr>
            <w:webHidden/>
          </w:rPr>
          <w:t>239</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1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_Toc378069119 \h </w:instrText>
        </w:r>
        <w:r w:rsidR="00A36B38">
          <w:rPr>
            <w:noProof/>
            <w:webHidden/>
          </w:rPr>
        </w:r>
        <w:r w:rsidR="00A36B38">
          <w:rPr>
            <w:noProof/>
            <w:webHidden/>
          </w:rPr>
          <w:fldChar w:fldCharType="separate"/>
        </w:r>
        <w:r w:rsidR="00661B08">
          <w:rPr>
            <w:noProof/>
            <w:webHidden/>
          </w:rPr>
          <w:t>239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_Toc378069120 \h </w:instrText>
        </w:r>
        <w:r w:rsidR="00A36B38">
          <w:rPr>
            <w:noProof/>
            <w:webHidden/>
          </w:rPr>
        </w:r>
        <w:r w:rsidR="00A36B38">
          <w:rPr>
            <w:noProof/>
            <w:webHidden/>
          </w:rPr>
          <w:fldChar w:fldCharType="separate"/>
        </w:r>
        <w:r w:rsidR="00661B08">
          <w:rPr>
            <w:noProof/>
            <w:webHidden/>
          </w:rPr>
          <w:t>239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_Toc378069121 \h </w:instrText>
        </w:r>
        <w:r w:rsidR="00A36B38">
          <w:rPr>
            <w:noProof/>
            <w:webHidden/>
          </w:rPr>
        </w:r>
        <w:r w:rsidR="00A36B38">
          <w:rPr>
            <w:noProof/>
            <w:webHidden/>
          </w:rPr>
          <w:fldChar w:fldCharType="separate"/>
        </w:r>
        <w:r w:rsidR="00661B08">
          <w:rPr>
            <w:noProof/>
            <w:webHidden/>
          </w:rPr>
          <w:t>240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_Toc378069122 \h </w:instrText>
        </w:r>
        <w:r w:rsidR="00A36B38">
          <w:rPr>
            <w:noProof/>
            <w:webHidden/>
          </w:rPr>
        </w:r>
        <w:r w:rsidR="00A36B38">
          <w:rPr>
            <w:noProof/>
            <w:webHidden/>
          </w:rPr>
          <w:fldChar w:fldCharType="separate"/>
        </w:r>
        <w:r w:rsidR="00661B08">
          <w:rPr>
            <w:noProof/>
            <w:webHidden/>
          </w:rPr>
          <w:t>242</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23" w:history="1">
        <w:r w:rsidR="006E5A97" w:rsidRPr="00E50209">
          <w:rPr>
            <w:rStyle w:val="Hyperlink"/>
          </w:rPr>
          <w:t>C29 Proizvodnja motornih vozila, prikolica i poluprikolica</w:t>
        </w:r>
        <w:r w:rsidR="006E5A97">
          <w:rPr>
            <w:webHidden/>
          </w:rPr>
          <w:tab/>
        </w:r>
        <w:r w:rsidR="00A36B38">
          <w:rPr>
            <w:webHidden/>
          </w:rPr>
          <w:fldChar w:fldCharType="begin"/>
        </w:r>
        <w:r w:rsidR="006E5A97">
          <w:rPr>
            <w:webHidden/>
          </w:rPr>
          <w:instrText xml:space="preserve"> PAGEREF _Toc378069123 \h </w:instrText>
        </w:r>
        <w:r w:rsidR="00A36B38">
          <w:rPr>
            <w:webHidden/>
          </w:rPr>
        </w:r>
        <w:r w:rsidR="00A36B38">
          <w:rPr>
            <w:webHidden/>
          </w:rPr>
          <w:fldChar w:fldCharType="separate"/>
        </w:r>
        <w:r w:rsidR="00661B08">
          <w:rPr>
            <w:webHidden/>
          </w:rPr>
          <w:t>244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_Toc378069124 \h </w:instrText>
        </w:r>
        <w:r w:rsidR="00A36B38">
          <w:rPr>
            <w:noProof/>
            <w:webHidden/>
          </w:rPr>
        </w:r>
        <w:r w:rsidR="00A36B38">
          <w:rPr>
            <w:noProof/>
            <w:webHidden/>
          </w:rPr>
          <w:fldChar w:fldCharType="separate"/>
        </w:r>
        <w:r w:rsidR="00661B08">
          <w:rPr>
            <w:noProof/>
            <w:webHidden/>
          </w:rPr>
          <w:t>244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_Toc378069125 \h </w:instrText>
        </w:r>
        <w:r w:rsidR="00A36B38">
          <w:rPr>
            <w:noProof/>
            <w:webHidden/>
          </w:rPr>
        </w:r>
        <w:r w:rsidR="00A36B38">
          <w:rPr>
            <w:noProof/>
            <w:webHidden/>
          </w:rPr>
          <w:fldChar w:fldCharType="separate"/>
        </w:r>
        <w:r w:rsidR="00661B08">
          <w:rPr>
            <w:noProof/>
            <w:webHidden/>
          </w:rPr>
          <w:t>245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_Toc378069126 \h </w:instrText>
        </w:r>
        <w:r w:rsidR="00A36B38">
          <w:rPr>
            <w:noProof/>
            <w:webHidden/>
          </w:rPr>
        </w:r>
        <w:r w:rsidR="00A36B38">
          <w:rPr>
            <w:noProof/>
            <w:webHidden/>
          </w:rPr>
          <w:fldChar w:fldCharType="separate"/>
        </w:r>
        <w:r w:rsidR="00661B08">
          <w:rPr>
            <w:noProof/>
            <w:webHidden/>
          </w:rPr>
          <w:t>245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_Toc378069127 \h </w:instrText>
        </w:r>
        <w:r w:rsidR="00A36B38">
          <w:rPr>
            <w:noProof/>
            <w:webHidden/>
          </w:rPr>
        </w:r>
        <w:r w:rsidR="00A36B38">
          <w:rPr>
            <w:noProof/>
            <w:webHidden/>
          </w:rPr>
          <w:fldChar w:fldCharType="separate"/>
        </w:r>
        <w:r w:rsidR="00661B08">
          <w:rPr>
            <w:noProof/>
            <w:webHidden/>
          </w:rPr>
          <w:t>248</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28" w:history="1">
        <w:r w:rsidR="006E5A97" w:rsidRPr="00E50209">
          <w:rPr>
            <w:rStyle w:val="Hyperlink"/>
          </w:rPr>
          <w:t>C30 Proizvodnja ostalih prijevoznih sredstava</w:t>
        </w:r>
        <w:r w:rsidR="006E5A97">
          <w:rPr>
            <w:webHidden/>
          </w:rPr>
          <w:tab/>
        </w:r>
        <w:r w:rsidR="00A36B38">
          <w:rPr>
            <w:webHidden/>
          </w:rPr>
          <w:fldChar w:fldCharType="begin"/>
        </w:r>
        <w:r w:rsidR="006E5A97">
          <w:rPr>
            <w:webHidden/>
          </w:rPr>
          <w:instrText xml:space="preserve"> PAGEREF _Toc378069128 \h </w:instrText>
        </w:r>
        <w:r w:rsidR="00A36B38">
          <w:rPr>
            <w:webHidden/>
          </w:rPr>
        </w:r>
        <w:r w:rsidR="00A36B38">
          <w:rPr>
            <w:webHidden/>
          </w:rPr>
          <w:fldChar w:fldCharType="separate"/>
        </w:r>
        <w:r w:rsidR="00661B08">
          <w:rPr>
            <w:webHidden/>
          </w:rPr>
          <w:t>250</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2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_Toc378069129 \h </w:instrText>
        </w:r>
        <w:r w:rsidR="00A36B38">
          <w:rPr>
            <w:noProof/>
            <w:webHidden/>
          </w:rPr>
        </w:r>
        <w:r w:rsidR="00A36B38">
          <w:rPr>
            <w:noProof/>
            <w:webHidden/>
          </w:rPr>
          <w:fldChar w:fldCharType="separate"/>
        </w:r>
        <w:r w:rsidR="00661B08">
          <w:rPr>
            <w:noProof/>
            <w:webHidden/>
          </w:rPr>
          <w:t>250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_Toc378069130 \h </w:instrText>
        </w:r>
        <w:r w:rsidR="00A36B38">
          <w:rPr>
            <w:noProof/>
            <w:webHidden/>
          </w:rPr>
        </w:r>
        <w:r w:rsidR="00A36B38">
          <w:rPr>
            <w:noProof/>
            <w:webHidden/>
          </w:rPr>
          <w:fldChar w:fldCharType="separate"/>
        </w:r>
        <w:r w:rsidR="00661B08">
          <w:rPr>
            <w:noProof/>
            <w:webHidden/>
          </w:rPr>
          <w:t>251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_Toc378069131 \h </w:instrText>
        </w:r>
        <w:r w:rsidR="00A36B38">
          <w:rPr>
            <w:noProof/>
            <w:webHidden/>
          </w:rPr>
        </w:r>
        <w:r w:rsidR="00A36B38">
          <w:rPr>
            <w:noProof/>
            <w:webHidden/>
          </w:rPr>
          <w:fldChar w:fldCharType="separate"/>
        </w:r>
        <w:r w:rsidR="00661B08">
          <w:rPr>
            <w:noProof/>
            <w:webHidden/>
          </w:rPr>
          <w:t>251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_Toc378069132 \h </w:instrText>
        </w:r>
        <w:r w:rsidR="00A36B38">
          <w:rPr>
            <w:noProof/>
            <w:webHidden/>
          </w:rPr>
        </w:r>
        <w:r w:rsidR="00A36B38">
          <w:rPr>
            <w:noProof/>
            <w:webHidden/>
          </w:rPr>
          <w:fldChar w:fldCharType="separate"/>
        </w:r>
        <w:r w:rsidR="00661B08">
          <w:rPr>
            <w:noProof/>
            <w:webHidden/>
          </w:rPr>
          <w:t>256</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33" w:history="1">
        <w:r w:rsidR="006E5A97" w:rsidRPr="00E50209">
          <w:rPr>
            <w:rStyle w:val="Hyperlink"/>
          </w:rPr>
          <w:t>C31 Proizvodnja namještaja</w:t>
        </w:r>
        <w:r w:rsidR="006E5A97">
          <w:rPr>
            <w:webHidden/>
          </w:rPr>
          <w:tab/>
        </w:r>
        <w:r w:rsidR="00A36B38">
          <w:rPr>
            <w:webHidden/>
          </w:rPr>
          <w:fldChar w:fldCharType="begin"/>
        </w:r>
        <w:r w:rsidR="006E5A97">
          <w:rPr>
            <w:webHidden/>
          </w:rPr>
          <w:instrText xml:space="preserve"> PAGEREF _Toc378069133 \h </w:instrText>
        </w:r>
        <w:r w:rsidR="00A36B38">
          <w:rPr>
            <w:webHidden/>
          </w:rPr>
        </w:r>
        <w:r w:rsidR="00A36B38">
          <w:rPr>
            <w:webHidden/>
          </w:rPr>
          <w:fldChar w:fldCharType="separate"/>
        </w:r>
        <w:r w:rsidR="00661B08">
          <w:rPr>
            <w:webHidden/>
          </w:rPr>
          <w:t>258</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_Toc378069134 \h </w:instrText>
        </w:r>
        <w:r w:rsidR="00A36B38">
          <w:rPr>
            <w:noProof/>
            <w:webHidden/>
          </w:rPr>
        </w:r>
        <w:r w:rsidR="00A36B38">
          <w:rPr>
            <w:noProof/>
            <w:webHidden/>
          </w:rPr>
          <w:fldChar w:fldCharType="separate"/>
        </w:r>
        <w:r w:rsidR="00661B08">
          <w:rPr>
            <w:noProof/>
            <w:webHidden/>
          </w:rPr>
          <w:t>258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_Toc378069135 \h </w:instrText>
        </w:r>
        <w:r w:rsidR="00A36B38">
          <w:rPr>
            <w:noProof/>
            <w:webHidden/>
          </w:rPr>
        </w:r>
        <w:r w:rsidR="00A36B38">
          <w:rPr>
            <w:noProof/>
            <w:webHidden/>
          </w:rPr>
          <w:fldChar w:fldCharType="separate"/>
        </w:r>
        <w:r w:rsidR="00661B08">
          <w:rPr>
            <w:noProof/>
            <w:webHidden/>
          </w:rPr>
          <w:t>258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_Toc378069136 \h </w:instrText>
        </w:r>
        <w:r w:rsidR="00A36B38">
          <w:rPr>
            <w:noProof/>
            <w:webHidden/>
          </w:rPr>
        </w:r>
        <w:r w:rsidR="00A36B38">
          <w:rPr>
            <w:noProof/>
            <w:webHidden/>
          </w:rPr>
          <w:fldChar w:fldCharType="separate"/>
        </w:r>
        <w:r w:rsidR="00661B08">
          <w:rPr>
            <w:noProof/>
            <w:webHidden/>
          </w:rPr>
          <w:t>259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_Toc378069137 \h </w:instrText>
        </w:r>
        <w:r w:rsidR="00A36B38">
          <w:rPr>
            <w:noProof/>
            <w:webHidden/>
          </w:rPr>
        </w:r>
        <w:r w:rsidR="00A36B38">
          <w:rPr>
            <w:noProof/>
            <w:webHidden/>
          </w:rPr>
          <w:fldChar w:fldCharType="separate"/>
        </w:r>
        <w:r w:rsidR="00661B08">
          <w:rPr>
            <w:noProof/>
            <w:webHidden/>
          </w:rPr>
          <w:t>262</w:t>
        </w:r>
        <w:r w:rsidR="00A36B38">
          <w:rPr>
            <w:noProof/>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38" w:history="1">
        <w:r w:rsidR="006E5A97" w:rsidRPr="00E50209">
          <w:rPr>
            <w:rStyle w:val="Hyperlink"/>
          </w:rPr>
          <w:t>C33 Popravak i instaliranje strojeva i opreme</w:t>
        </w:r>
        <w:r w:rsidR="006E5A97">
          <w:rPr>
            <w:webHidden/>
          </w:rPr>
          <w:tab/>
        </w:r>
        <w:r w:rsidR="00A36B38">
          <w:rPr>
            <w:webHidden/>
          </w:rPr>
          <w:fldChar w:fldCharType="begin"/>
        </w:r>
        <w:r w:rsidR="006E5A97">
          <w:rPr>
            <w:webHidden/>
          </w:rPr>
          <w:instrText xml:space="preserve"> PAGEREF _Toc378069138 \h </w:instrText>
        </w:r>
        <w:r w:rsidR="00A36B38">
          <w:rPr>
            <w:webHidden/>
          </w:rPr>
        </w:r>
        <w:r w:rsidR="00A36B38">
          <w:rPr>
            <w:webHidden/>
          </w:rPr>
          <w:fldChar w:fldCharType="separate"/>
        </w:r>
        <w:r w:rsidR="00661B08">
          <w:rPr>
            <w:webHidden/>
          </w:rPr>
          <w:t>264</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39" w:history="1">
        <w:r w:rsidR="006E5A97" w:rsidRPr="00E50209">
          <w:rPr>
            <w:rStyle w:val="Hyperlink"/>
            <w:noProof/>
            <w:lang w:eastAsia="hr-HR"/>
          </w:rPr>
          <w:t>Globalni trendovi razvoja</w:t>
        </w:r>
        <w:r w:rsidR="006E5A97">
          <w:rPr>
            <w:noProof/>
            <w:webHidden/>
          </w:rPr>
          <w:tab/>
        </w:r>
        <w:r w:rsidR="00A36B38">
          <w:rPr>
            <w:noProof/>
            <w:webHidden/>
          </w:rPr>
          <w:fldChar w:fldCharType="begin"/>
        </w:r>
        <w:r w:rsidR="006E5A97">
          <w:rPr>
            <w:noProof/>
            <w:webHidden/>
          </w:rPr>
          <w:instrText xml:space="preserve"> PAGEREF _Toc378069139 \h </w:instrText>
        </w:r>
        <w:r w:rsidR="00A36B38">
          <w:rPr>
            <w:noProof/>
            <w:webHidden/>
          </w:rPr>
        </w:r>
        <w:r w:rsidR="00A36B38">
          <w:rPr>
            <w:noProof/>
            <w:webHidden/>
          </w:rPr>
          <w:fldChar w:fldCharType="separate"/>
        </w:r>
        <w:r w:rsidR="00661B08">
          <w:rPr>
            <w:noProof/>
            <w:webHidden/>
          </w:rPr>
          <w:t>264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0" w:history="1">
        <w:r w:rsidR="006E5A97" w:rsidRPr="00E50209">
          <w:rPr>
            <w:rStyle w:val="Hyperlink"/>
            <w:noProof/>
            <w:lang w:eastAsia="hr-HR"/>
          </w:rPr>
          <w:t>Trendovi razvoja u Europskoj uniji</w:t>
        </w:r>
        <w:r w:rsidR="006E5A97">
          <w:rPr>
            <w:noProof/>
            <w:webHidden/>
          </w:rPr>
          <w:tab/>
        </w:r>
        <w:r w:rsidR="00A36B38">
          <w:rPr>
            <w:noProof/>
            <w:webHidden/>
          </w:rPr>
          <w:fldChar w:fldCharType="begin"/>
        </w:r>
        <w:r w:rsidR="006E5A97">
          <w:rPr>
            <w:noProof/>
            <w:webHidden/>
          </w:rPr>
          <w:instrText xml:space="preserve"> PAGEREF _Toc378069140 \h </w:instrText>
        </w:r>
        <w:r w:rsidR="00A36B38">
          <w:rPr>
            <w:noProof/>
            <w:webHidden/>
          </w:rPr>
        </w:r>
        <w:r w:rsidR="00A36B38">
          <w:rPr>
            <w:noProof/>
            <w:webHidden/>
          </w:rPr>
          <w:fldChar w:fldCharType="separate"/>
        </w:r>
        <w:r w:rsidR="00661B08">
          <w:rPr>
            <w:noProof/>
            <w:webHidden/>
          </w:rPr>
          <w:t>264</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1" w:history="1">
        <w:r w:rsidR="006E5A97" w:rsidRPr="00E50209">
          <w:rPr>
            <w:rStyle w:val="Hyperlink"/>
            <w:noProof/>
            <w:lang w:eastAsia="hr-HR"/>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_Toc378069141 \h </w:instrText>
        </w:r>
        <w:r w:rsidR="00A36B38">
          <w:rPr>
            <w:noProof/>
            <w:webHidden/>
          </w:rPr>
        </w:r>
        <w:r w:rsidR="00A36B38">
          <w:rPr>
            <w:noProof/>
            <w:webHidden/>
          </w:rPr>
          <w:fldChar w:fldCharType="separate"/>
        </w:r>
        <w:r w:rsidR="00661B08">
          <w:rPr>
            <w:noProof/>
            <w:webHidden/>
          </w:rPr>
          <w:t>265</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_Toc378069142 \h </w:instrText>
        </w:r>
        <w:r w:rsidR="00A36B38">
          <w:rPr>
            <w:noProof/>
            <w:webHidden/>
          </w:rPr>
        </w:r>
        <w:r w:rsidR="00A36B38">
          <w:rPr>
            <w:noProof/>
            <w:webHidden/>
          </w:rPr>
          <w:fldChar w:fldCharType="separate"/>
        </w:r>
        <w:r w:rsidR="00661B08">
          <w:rPr>
            <w:noProof/>
            <w:webHidden/>
          </w:rPr>
          <w:t>268</w:t>
        </w:r>
        <w:r w:rsidR="00A36B38">
          <w:rPr>
            <w:noProof/>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43" w:history="1">
        <w:r w:rsidR="006E5A97" w:rsidRPr="00E50209">
          <w:rPr>
            <w:rStyle w:val="Hyperlink"/>
          </w:rPr>
          <w:t>F Građevinarstvo</w:t>
        </w:r>
        <w:r w:rsidR="006E5A97">
          <w:rPr>
            <w:webHidden/>
          </w:rPr>
          <w:tab/>
        </w:r>
        <w:r w:rsidR="00A36B38">
          <w:rPr>
            <w:webHidden/>
          </w:rPr>
          <w:fldChar w:fldCharType="begin"/>
        </w:r>
        <w:r w:rsidR="006E5A97">
          <w:rPr>
            <w:webHidden/>
          </w:rPr>
          <w:instrText xml:space="preserve"> PAGEREF _Toc378069143 \h </w:instrText>
        </w:r>
        <w:r w:rsidR="00A36B38">
          <w:rPr>
            <w:webHidden/>
          </w:rPr>
        </w:r>
        <w:r w:rsidR="00A36B38">
          <w:rPr>
            <w:webHidden/>
          </w:rPr>
          <w:fldChar w:fldCharType="separate"/>
        </w:r>
        <w:r w:rsidR="00661B08">
          <w:rPr>
            <w:webHidden/>
          </w:rPr>
          <w:t>270</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4"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_Toc378069144 \h </w:instrText>
        </w:r>
        <w:r w:rsidR="00A36B38">
          <w:rPr>
            <w:noProof/>
            <w:webHidden/>
          </w:rPr>
        </w:r>
        <w:r w:rsidR="00A36B38">
          <w:rPr>
            <w:noProof/>
            <w:webHidden/>
          </w:rPr>
          <w:fldChar w:fldCharType="separate"/>
        </w:r>
        <w:r w:rsidR="00661B08">
          <w:rPr>
            <w:noProof/>
            <w:webHidden/>
          </w:rPr>
          <w:t>270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5"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_Toc378069145 \h </w:instrText>
        </w:r>
        <w:r w:rsidR="00A36B38">
          <w:rPr>
            <w:noProof/>
            <w:webHidden/>
          </w:rPr>
        </w:r>
        <w:r w:rsidR="00A36B38">
          <w:rPr>
            <w:noProof/>
            <w:webHidden/>
          </w:rPr>
          <w:fldChar w:fldCharType="separate"/>
        </w:r>
        <w:r w:rsidR="00661B08">
          <w:rPr>
            <w:noProof/>
            <w:webHidden/>
          </w:rPr>
          <w:t>270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6"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_Toc378069146 \h </w:instrText>
        </w:r>
        <w:r w:rsidR="00A36B38">
          <w:rPr>
            <w:noProof/>
            <w:webHidden/>
          </w:rPr>
        </w:r>
        <w:r w:rsidR="00A36B38">
          <w:rPr>
            <w:noProof/>
            <w:webHidden/>
          </w:rPr>
          <w:fldChar w:fldCharType="separate"/>
        </w:r>
        <w:r w:rsidR="00661B08">
          <w:rPr>
            <w:noProof/>
            <w:webHidden/>
          </w:rPr>
          <w:t>271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7"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_Toc378069147 \h </w:instrText>
        </w:r>
        <w:r w:rsidR="00A36B38">
          <w:rPr>
            <w:noProof/>
            <w:webHidden/>
          </w:rPr>
        </w:r>
        <w:r w:rsidR="00A36B38">
          <w:rPr>
            <w:noProof/>
            <w:webHidden/>
          </w:rPr>
          <w:fldChar w:fldCharType="separate"/>
        </w:r>
        <w:r w:rsidR="00661B08">
          <w:rPr>
            <w:noProof/>
            <w:webHidden/>
          </w:rPr>
          <w:t>274</w:t>
        </w:r>
        <w:r w:rsidR="00A36B38">
          <w:rPr>
            <w:noProof/>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48" w:history="1">
        <w:r w:rsidR="006E5A97" w:rsidRPr="00E50209">
          <w:rPr>
            <w:rStyle w:val="Hyperlink"/>
          </w:rPr>
          <w:t>J Informacije i komunikacije</w:t>
        </w:r>
        <w:r w:rsidR="006E5A97">
          <w:rPr>
            <w:webHidden/>
          </w:rPr>
          <w:tab/>
        </w:r>
        <w:r w:rsidR="00A36B38">
          <w:rPr>
            <w:webHidden/>
          </w:rPr>
          <w:fldChar w:fldCharType="begin"/>
        </w:r>
        <w:r w:rsidR="006E5A97">
          <w:rPr>
            <w:webHidden/>
          </w:rPr>
          <w:instrText xml:space="preserve"> PAGEREF _Toc378069148 \h </w:instrText>
        </w:r>
        <w:r w:rsidR="00A36B38">
          <w:rPr>
            <w:webHidden/>
          </w:rPr>
        </w:r>
        <w:r w:rsidR="00A36B38">
          <w:rPr>
            <w:webHidden/>
          </w:rPr>
          <w:fldChar w:fldCharType="separate"/>
        </w:r>
        <w:r w:rsidR="00661B08">
          <w:rPr>
            <w:webHidden/>
          </w:rPr>
          <w:t>276</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49" w:history="1">
        <w:r w:rsidR="006E5A97" w:rsidRPr="00E50209">
          <w:rPr>
            <w:rStyle w:val="Hyperlink"/>
            <w:noProof/>
          </w:rPr>
          <w:t>Globalni trendovi razvoja</w:t>
        </w:r>
        <w:r w:rsidR="006E5A97">
          <w:rPr>
            <w:noProof/>
            <w:webHidden/>
          </w:rPr>
          <w:tab/>
        </w:r>
        <w:r w:rsidR="00A36B38">
          <w:rPr>
            <w:noProof/>
            <w:webHidden/>
          </w:rPr>
          <w:fldChar w:fldCharType="begin"/>
        </w:r>
        <w:r w:rsidR="006E5A97">
          <w:rPr>
            <w:noProof/>
            <w:webHidden/>
          </w:rPr>
          <w:instrText xml:space="preserve"> PAGEREF _Toc378069149 \h </w:instrText>
        </w:r>
        <w:r w:rsidR="00A36B38">
          <w:rPr>
            <w:noProof/>
            <w:webHidden/>
          </w:rPr>
        </w:r>
        <w:r w:rsidR="00A36B38">
          <w:rPr>
            <w:noProof/>
            <w:webHidden/>
          </w:rPr>
          <w:fldChar w:fldCharType="separate"/>
        </w:r>
        <w:r w:rsidR="00661B08">
          <w:rPr>
            <w:noProof/>
            <w:webHidden/>
          </w:rPr>
          <w:t>276</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50" w:history="1">
        <w:r w:rsidR="006E5A97" w:rsidRPr="00E50209">
          <w:rPr>
            <w:rStyle w:val="Hyperlink"/>
            <w:noProof/>
          </w:rPr>
          <w:t>Trendovi razvoja u Europskoj uniji</w:t>
        </w:r>
        <w:r w:rsidR="006E5A97">
          <w:rPr>
            <w:noProof/>
            <w:webHidden/>
          </w:rPr>
          <w:tab/>
        </w:r>
        <w:r w:rsidR="00A36B38">
          <w:rPr>
            <w:noProof/>
            <w:webHidden/>
          </w:rPr>
          <w:fldChar w:fldCharType="begin"/>
        </w:r>
        <w:r w:rsidR="006E5A97">
          <w:rPr>
            <w:noProof/>
            <w:webHidden/>
          </w:rPr>
          <w:instrText xml:space="preserve"> PAGEREF _Toc378069150 \h </w:instrText>
        </w:r>
        <w:r w:rsidR="00A36B38">
          <w:rPr>
            <w:noProof/>
            <w:webHidden/>
          </w:rPr>
        </w:r>
        <w:r w:rsidR="00A36B38">
          <w:rPr>
            <w:noProof/>
            <w:webHidden/>
          </w:rPr>
          <w:fldChar w:fldCharType="separate"/>
        </w:r>
        <w:r w:rsidR="00661B08">
          <w:rPr>
            <w:noProof/>
            <w:webHidden/>
          </w:rPr>
          <w:t>276</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51" w:history="1">
        <w:r w:rsidR="006E5A97" w:rsidRPr="00E50209">
          <w:rPr>
            <w:rStyle w:val="Hyperlink"/>
            <w:noProof/>
          </w:rPr>
          <w:t>Stanje i perspektive razvoja u Republici Hrvatskoj</w:t>
        </w:r>
        <w:r w:rsidR="006E5A97">
          <w:rPr>
            <w:noProof/>
            <w:webHidden/>
          </w:rPr>
          <w:tab/>
        </w:r>
        <w:r w:rsidR="00A36B38">
          <w:rPr>
            <w:noProof/>
            <w:webHidden/>
          </w:rPr>
          <w:fldChar w:fldCharType="begin"/>
        </w:r>
        <w:r w:rsidR="006E5A97">
          <w:rPr>
            <w:noProof/>
            <w:webHidden/>
          </w:rPr>
          <w:instrText xml:space="preserve"> PAGEREF _Toc378069151 \h </w:instrText>
        </w:r>
        <w:r w:rsidR="00A36B38">
          <w:rPr>
            <w:noProof/>
            <w:webHidden/>
          </w:rPr>
        </w:r>
        <w:r w:rsidR="00A36B38">
          <w:rPr>
            <w:noProof/>
            <w:webHidden/>
          </w:rPr>
          <w:fldChar w:fldCharType="separate"/>
        </w:r>
        <w:r w:rsidR="00661B08">
          <w:rPr>
            <w:noProof/>
            <w:webHidden/>
          </w:rPr>
          <w:t>276</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52" w:history="1">
        <w:r w:rsidR="006E5A97" w:rsidRPr="00E50209">
          <w:rPr>
            <w:rStyle w:val="Hyperlink"/>
            <w:noProof/>
          </w:rPr>
          <w:t>Zaključni prikaz pokazatelja</w:t>
        </w:r>
        <w:r w:rsidR="006E5A97">
          <w:rPr>
            <w:noProof/>
            <w:webHidden/>
          </w:rPr>
          <w:tab/>
        </w:r>
        <w:r w:rsidR="00A36B38">
          <w:rPr>
            <w:noProof/>
            <w:webHidden/>
          </w:rPr>
          <w:fldChar w:fldCharType="begin"/>
        </w:r>
        <w:r w:rsidR="006E5A97">
          <w:rPr>
            <w:noProof/>
            <w:webHidden/>
          </w:rPr>
          <w:instrText xml:space="preserve"> PAGEREF _Toc378069152 \h </w:instrText>
        </w:r>
        <w:r w:rsidR="00A36B38">
          <w:rPr>
            <w:noProof/>
            <w:webHidden/>
          </w:rPr>
        </w:r>
        <w:r w:rsidR="00A36B38">
          <w:rPr>
            <w:noProof/>
            <w:webHidden/>
          </w:rPr>
          <w:fldChar w:fldCharType="separate"/>
        </w:r>
        <w:r w:rsidR="00661B08">
          <w:rPr>
            <w:noProof/>
            <w:webHidden/>
          </w:rPr>
          <w:t>280</w:t>
        </w:r>
        <w:r w:rsidR="00A36B38">
          <w:rPr>
            <w:noProof/>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53" w:history="1">
        <w:r w:rsidR="006E5A97" w:rsidRPr="00E50209">
          <w:rPr>
            <w:rStyle w:val="Hyperlink"/>
          </w:rPr>
          <w:t>Model vrednovanja i grupiranja ključnih poddjelatnosti</w:t>
        </w:r>
        <w:r w:rsidR="006E5A97">
          <w:rPr>
            <w:webHidden/>
          </w:rPr>
          <w:tab/>
        </w:r>
        <w:r w:rsidR="00A36B38">
          <w:rPr>
            <w:webHidden/>
          </w:rPr>
          <w:fldChar w:fldCharType="begin"/>
        </w:r>
        <w:r w:rsidR="006E5A97">
          <w:rPr>
            <w:webHidden/>
          </w:rPr>
          <w:instrText xml:space="preserve"> PAGEREF _Toc378069153 \h </w:instrText>
        </w:r>
        <w:r w:rsidR="00A36B38">
          <w:rPr>
            <w:webHidden/>
          </w:rPr>
        </w:r>
        <w:r w:rsidR="00A36B38">
          <w:rPr>
            <w:webHidden/>
          </w:rPr>
          <w:fldChar w:fldCharType="separate"/>
        </w:r>
        <w:r w:rsidR="00661B08">
          <w:rPr>
            <w:webHidden/>
          </w:rPr>
          <w:t>282</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54" w:history="1">
        <w:r w:rsidR="006E5A97" w:rsidRPr="00E50209">
          <w:rPr>
            <w:rStyle w:val="Hyperlink"/>
          </w:rPr>
          <w:t>Kriteriji vrednovanja industrijskih poddjelatnosti</w:t>
        </w:r>
        <w:r w:rsidR="006E5A97">
          <w:rPr>
            <w:webHidden/>
          </w:rPr>
          <w:tab/>
        </w:r>
        <w:r w:rsidR="00A36B38">
          <w:rPr>
            <w:webHidden/>
          </w:rPr>
          <w:fldChar w:fldCharType="begin"/>
        </w:r>
        <w:r w:rsidR="006E5A97">
          <w:rPr>
            <w:webHidden/>
          </w:rPr>
          <w:instrText xml:space="preserve"> PAGEREF _Toc378069154 \h </w:instrText>
        </w:r>
        <w:r w:rsidR="00A36B38">
          <w:rPr>
            <w:webHidden/>
          </w:rPr>
        </w:r>
        <w:r w:rsidR="00A36B38">
          <w:rPr>
            <w:webHidden/>
          </w:rPr>
          <w:fldChar w:fldCharType="separate"/>
        </w:r>
        <w:r w:rsidR="00661B08">
          <w:rPr>
            <w:webHidden/>
          </w:rPr>
          <w:t>282</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55" w:history="1">
        <w:r w:rsidR="006E5A97" w:rsidRPr="00E50209">
          <w:rPr>
            <w:rStyle w:val="Hyperlink"/>
          </w:rPr>
          <w:t>Rangiranje i podjela industrijskih poddjelatnosti u skupine</w:t>
        </w:r>
        <w:r w:rsidR="006E5A97">
          <w:rPr>
            <w:webHidden/>
          </w:rPr>
          <w:tab/>
        </w:r>
        <w:r w:rsidR="00A36B38">
          <w:rPr>
            <w:webHidden/>
          </w:rPr>
          <w:fldChar w:fldCharType="begin"/>
        </w:r>
        <w:r w:rsidR="006E5A97">
          <w:rPr>
            <w:webHidden/>
          </w:rPr>
          <w:instrText xml:space="preserve"> PAGEREF _Toc378069155 \h </w:instrText>
        </w:r>
        <w:r w:rsidR="00A36B38">
          <w:rPr>
            <w:webHidden/>
          </w:rPr>
        </w:r>
        <w:r w:rsidR="00A36B38">
          <w:rPr>
            <w:webHidden/>
          </w:rPr>
          <w:fldChar w:fldCharType="separate"/>
        </w:r>
        <w:r w:rsidR="00661B08">
          <w:rPr>
            <w:webHidden/>
          </w:rPr>
          <w:t>284</w:t>
        </w:r>
        <w:r w:rsidR="00A36B38">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56" w:history="1">
        <w:r w:rsidR="006E5A97" w:rsidRPr="00E50209">
          <w:rPr>
            <w:rStyle w:val="Hyperlink"/>
          </w:rPr>
          <w:t>Strateški ciljevi hrvatske industrije 2014.-2020.</w:t>
        </w:r>
        <w:r w:rsidR="006E5A97">
          <w:rPr>
            <w:webHidden/>
          </w:rPr>
          <w:tab/>
        </w:r>
        <w:r w:rsidR="00A36B38">
          <w:rPr>
            <w:webHidden/>
          </w:rPr>
          <w:fldChar w:fldCharType="begin"/>
        </w:r>
        <w:r w:rsidR="006E5A97">
          <w:rPr>
            <w:webHidden/>
          </w:rPr>
          <w:instrText xml:space="preserve"> PAGEREF _Toc378069156 \h </w:instrText>
        </w:r>
        <w:r w:rsidR="00A36B38">
          <w:rPr>
            <w:webHidden/>
          </w:rPr>
        </w:r>
        <w:r w:rsidR="00A36B38">
          <w:rPr>
            <w:webHidden/>
          </w:rPr>
          <w:fldChar w:fldCharType="separate"/>
        </w:r>
        <w:r w:rsidR="00661B08">
          <w:rPr>
            <w:webHidden/>
          </w:rPr>
          <w:t>289</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57" w:history="1">
        <w:r w:rsidR="006E5A97" w:rsidRPr="00E50209">
          <w:rPr>
            <w:rStyle w:val="Hyperlink"/>
          </w:rPr>
          <w:t>Promjene u globalnom okruženju</w:t>
        </w:r>
        <w:r w:rsidR="006E5A97">
          <w:rPr>
            <w:webHidden/>
          </w:rPr>
          <w:tab/>
        </w:r>
        <w:r w:rsidR="00A36B38">
          <w:rPr>
            <w:webHidden/>
          </w:rPr>
          <w:fldChar w:fldCharType="begin"/>
        </w:r>
        <w:r w:rsidR="006E5A97">
          <w:rPr>
            <w:webHidden/>
          </w:rPr>
          <w:instrText xml:space="preserve"> PAGEREF _Toc378069157 \h </w:instrText>
        </w:r>
        <w:r w:rsidR="00A36B38">
          <w:rPr>
            <w:webHidden/>
          </w:rPr>
        </w:r>
        <w:r w:rsidR="00A36B38">
          <w:rPr>
            <w:webHidden/>
          </w:rPr>
          <w:fldChar w:fldCharType="separate"/>
        </w:r>
        <w:r w:rsidR="00661B08">
          <w:rPr>
            <w:webHidden/>
          </w:rPr>
          <w:t>289</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58" w:history="1">
        <w:r w:rsidR="006E5A97" w:rsidRPr="00E50209">
          <w:rPr>
            <w:rStyle w:val="Hyperlink"/>
          </w:rPr>
          <w:t>Odrednice industrijskog rasta</w:t>
        </w:r>
        <w:r w:rsidR="006E5A97">
          <w:rPr>
            <w:webHidden/>
          </w:rPr>
          <w:tab/>
        </w:r>
        <w:r w:rsidR="00A36B38">
          <w:rPr>
            <w:webHidden/>
          </w:rPr>
          <w:fldChar w:fldCharType="begin"/>
        </w:r>
        <w:r w:rsidR="006E5A97">
          <w:rPr>
            <w:webHidden/>
          </w:rPr>
          <w:instrText xml:space="preserve"> PAGEREF _Toc378069158 \h </w:instrText>
        </w:r>
        <w:r w:rsidR="00A36B38">
          <w:rPr>
            <w:webHidden/>
          </w:rPr>
        </w:r>
        <w:r w:rsidR="00A36B38">
          <w:rPr>
            <w:webHidden/>
          </w:rPr>
          <w:fldChar w:fldCharType="separate"/>
        </w:r>
        <w:r w:rsidR="00661B08">
          <w:rPr>
            <w:webHidden/>
          </w:rPr>
          <w:t>292</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59" w:history="1">
        <w:r w:rsidR="006E5A97" w:rsidRPr="00E50209">
          <w:rPr>
            <w:rStyle w:val="Hyperlink"/>
          </w:rPr>
          <w:t>Ključni pokazatelji hrvatske industrije</w:t>
        </w:r>
        <w:r w:rsidR="006E5A97">
          <w:rPr>
            <w:webHidden/>
          </w:rPr>
          <w:tab/>
        </w:r>
        <w:r w:rsidR="00A36B38">
          <w:rPr>
            <w:webHidden/>
          </w:rPr>
          <w:fldChar w:fldCharType="begin"/>
        </w:r>
        <w:r w:rsidR="006E5A97">
          <w:rPr>
            <w:webHidden/>
          </w:rPr>
          <w:instrText xml:space="preserve"> PAGEREF _Toc378069159 \h </w:instrText>
        </w:r>
        <w:r w:rsidR="00A36B38">
          <w:rPr>
            <w:webHidden/>
          </w:rPr>
        </w:r>
        <w:r w:rsidR="00A36B38">
          <w:rPr>
            <w:webHidden/>
          </w:rPr>
          <w:fldChar w:fldCharType="separate"/>
        </w:r>
        <w:r w:rsidR="00661B08">
          <w:rPr>
            <w:webHidden/>
          </w:rPr>
          <w:t>294</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60" w:history="1">
        <w:r w:rsidR="006E5A97" w:rsidRPr="00E50209">
          <w:rPr>
            <w:rStyle w:val="Hyperlink"/>
          </w:rPr>
          <w:t>Strateški ciljevi industrije za razdoblje 2014.-2020.</w:t>
        </w:r>
        <w:r w:rsidR="006E5A97">
          <w:rPr>
            <w:webHidden/>
          </w:rPr>
          <w:tab/>
        </w:r>
        <w:r w:rsidR="00A36B38">
          <w:rPr>
            <w:webHidden/>
          </w:rPr>
          <w:fldChar w:fldCharType="begin"/>
        </w:r>
        <w:r w:rsidR="006E5A97">
          <w:rPr>
            <w:webHidden/>
          </w:rPr>
          <w:instrText xml:space="preserve"> PAGEREF _Toc378069160 \h </w:instrText>
        </w:r>
        <w:r w:rsidR="00A36B38">
          <w:rPr>
            <w:webHidden/>
          </w:rPr>
        </w:r>
        <w:r w:rsidR="00A36B38">
          <w:rPr>
            <w:webHidden/>
          </w:rPr>
          <w:fldChar w:fldCharType="separate"/>
        </w:r>
        <w:r w:rsidR="00661B08">
          <w:rPr>
            <w:webHidden/>
          </w:rPr>
          <w:t>299</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61" w:history="1">
        <w:r w:rsidR="006E5A97" w:rsidRPr="00E50209">
          <w:rPr>
            <w:rStyle w:val="Hyperlink"/>
          </w:rPr>
          <w:t>Ovisnost (povezanost) industrijske strategije i drugih strateških dokumenata</w:t>
        </w:r>
        <w:r w:rsidR="006E5A97">
          <w:rPr>
            <w:webHidden/>
          </w:rPr>
          <w:tab/>
        </w:r>
        <w:r w:rsidR="00A36B38">
          <w:rPr>
            <w:webHidden/>
          </w:rPr>
          <w:fldChar w:fldCharType="begin"/>
        </w:r>
        <w:r w:rsidR="006E5A97">
          <w:rPr>
            <w:webHidden/>
          </w:rPr>
          <w:instrText xml:space="preserve"> PAGEREF _Toc378069161 \h </w:instrText>
        </w:r>
        <w:r w:rsidR="00A36B38">
          <w:rPr>
            <w:webHidden/>
          </w:rPr>
        </w:r>
        <w:r w:rsidR="00A36B38">
          <w:rPr>
            <w:webHidden/>
          </w:rPr>
          <w:fldChar w:fldCharType="separate"/>
        </w:r>
        <w:r w:rsidR="00661B08">
          <w:rPr>
            <w:webHidden/>
          </w:rPr>
          <w:t>302</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62" w:history="1">
        <w:r w:rsidR="006E5A97" w:rsidRPr="00E50209">
          <w:rPr>
            <w:rStyle w:val="Hyperlink"/>
          </w:rPr>
          <w:t>Analiza scenarija razvoja industrije za razdoblje 2014. - 2020.</w:t>
        </w:r>
        <w:r w:rsidR="006E5A97">
          <w:rPr>
            <w:webHidden/>
          </w:rPr>
          <w:tab/>
        </w:r>
        <w:r w:rsidR="00A36B38">
          <w:rPr>
            <w:webHidden/>
          </w:rPr>
          <w:fldChar w:fldCharType="begin"/>
        </w:r>
        <w:r w:rsidR="006E5A97">
          <w:rPr>
            <w:webHidden/>
          </w:rPr>
          <w:instrText xml:space="preserve"> PAGEREF _Toc378069162 \h </w:instrText>
        </w:r>
        <w:r w:rsidR="00A36B38">
          <w:rPr>
            <w:webHidden/>
          </w:rPr>
        </w:r>
        <w:r w:rsidR="00A36B38">
          <w:rPr>
            <w:webHidden/>
          </w:rPr>
          <w:fldChar w:fldCharType="separate"/>
        </w:r>
        <w:r w:rsidR="00661B08">
          <w:rPr>
            <w:webHidden/>
          </w:rPr>
          <w:t>306</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63" w:history="1">
        <w:r w:rsidR="006E5A97" w:rsidRPr="00E50209">
          <w:rPr>
            <w:rStyle w:val="Hyperlink"/>
            <w:noProof/>
          </w:rPr>
          <w:t>Scenarij 1 -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_Toc378069163 \h </w:instrText>
        </w:r>
        <w:r w:rsidR="00A36B38">
          <w:rPr>
            <w:noProof/>
            <w:webHidden/>
          </w:rPr>
        </w:r>
        <w:r w:rsidR="00A36B38">
          <w:rPr>
            <w:noProof/>
            <w:webHidden/>
          </w:rPr>
          <w:fldChar w:fldCharType="separate"/>
        </w:r>
        <w:r w:rsidR="00661B08">
          <w:rPr>
            <w:noProof/>
            <w:webHidden/>
          </w:rPr>
          <w:t>308</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64" w:history="1">
        <w:r w:rsidR="006E5A97" w:rsidRPr="00E50209">
          <w:rPr>
            <w:rStyle w:val="Hyperlink"/>
            <w:noProof/>
          </w:rPr>
          <w:t>Scenarij 2 -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_Toc378069164 \h </w:instrText>
        </w:r>
        <w:r w:rsidR="00A36B38">
          <w:rPr>
            <w:noProof/>
            <w:webHidden/>
          </w:rPr>
        </w:r>
        <w:r w:rsidR="00A36B38">
          <w:rPr>
            <w:noProof/>
            <w:webHidden/>
          </w:rPr>
          <w:fldChar w:fldCharType="separate"/>
        </w:r>
        <w:r w:rsidR="00661B08">
          <w:rPr>
            <w:noProof/>
            <w:webHidden/>
          </w:rPr>
          <w:t>309</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65" w:history="1">
        <w:r w:rsidR="006E5A97" w:rsidRPr="00E50209">
          <w:rPr>
            <w:rStyle w:val="Hyperlink"/>
            <w:noProof/>
          </w:rPr>
          <w:t>Scenarij 3 - Projekcija kretanja odabranih pokazatelja industrije (C+F+J) u razdoblju 2014.-2020.</w:t>
        </w:r>
        <w:r w:rsidR="006E5A97">
          <w:rPr>
            <w:noProof/>
            <w:webHidden/>
          </w:rPr>
          <w:tab/>
        </w:r>
        <w:r w:rsidR="00A36B38">
          <w:rPr>
            <w:noProof/>
            <w:webHidden/>
          </w:rPr>
          <w:fldChar w:fldCharType="begin"/>
        </w:r>
        <w:r w:rsidR="006E5A97">
          <w:rPr>
            <w:noProof/>
            <w:webHidden/>
          </w:rPr>
          <w:instrText xml:space="preserve"> PAGEREF _Toc378069165 \h </w:instrText>
        </w:r>
        <w:r w:rsidR="00A36B38">
          <w:rPr>
            <w:noProof/>
            <w:webHidden/>
          </w:rPr>
        </w:r>
        <w:r w:rsidR="00A36B38">
          <w:rPr>
            <w:noProof/>
            <w:webHidden/>
          </w:rPr>
          <w:fldChar w:fldCharType="separate"/>
        </w:r>
        <w:r w:rsidR="00661B08">
          <w:rPr>
            <w:noProof/>
            <w:webHidden/>
          </w:rPr>
          <w:t>310</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66" w:history="1">
        <w:r w:rsidR="006E5A97" w:rsidRPr="00E50209">
          <w:rPr>
            <w:rStyle w:val="Hyperlink"/>
            <w:noProof/>
          </w:rPr>
          <w:t>Projekcija kretanja odabranih pokazatelja za skupinu „pokretači“ u razdoblju 2014.-2020. za Scenarij 2</w:t>
        </w:r>
        <w:r w:rsidR="006E5A97">
          <w:rPr>
            <w:noProof/>
            <w:webHidden/>
          </w:rPr>
          <w:tab/>
        </w:r>
        <w:r w:rsidR="00A36B38">
          <w:rPr>
            <w:noProof/>
            <w:webHidden/>
          </w:rPr>
          <w:fldChar w:fldCharType="begin"/>
        </w:r>
        <w:r w:rsidR="006E5A97">
          <w:rPr>
            <w:noProof/>
            <w:webHidden/>
          </w:rPr>
          <w:instrText xml:space="preserve"> PAGEREF _Toc378069166 \h </w:instrText>
        </w:r>
        <w:r w:rsidR="00A36B38">
          <w:rPr>
            <w:noProof/>
            <w:webHidden/>
          </w:rPr>
        </w:r>
        <w:r w:rsidR="00A36B38">
          <w:rPr>
            <w:noProof/>
            <w:webHidden/>
          </w:rPr>
          <w:fldChar w:fldCharType="separate"/>
        </w:r>
        <w:r w:rsidR="00661B08">
          <w:rPr>
            <w:noProof/>
            <w:webHidden/>
          </w:rPr>
          <w:t>313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67" w:history="1">
        <w:r w:rsidR="006E5A97" w:rsidRPr="00E50209">
          <w:rPr>
            <w:rStyle w:val="Hyperlink"/>
            <w:noProof/>
          </w:rPr>
          <w:t>Projekcija kretanja odabranih pokazatelja za skupinu „čuvari“ u razdoblju 2014.-2020. za Scenarij 2</w:t>
        </w:r>
        <w:r w:rsidR="006E5A97">
          <w:rPr>
            <w:noProof/>
            <w:webHidden/>
          </w:rPr>
          <w:tab/>
        </w:r>
        <w:r w:rsidR="00A36B38">
          <w:rPr>
            <w:noProof/>
            <w:webHidden/>
          </w:rPr>
          <w:fldChar w:fldCharType="begin"/>
        </w:r>
        <w:r w:rsidR="006E5A97">
          <w:rPr>
            <w:noProof/>
            <w:webHidden/>
          </w:rPr>
          <w:instrText xml:space="preserve"> PAGEREF _Toc378069167 \h </w:instrText>
        </w:r>
        <w:r w:rsidR="00A36B38">
          <w:rPr>
            <w:noProof/>
            <w:webHidden/>
          </w:rPr>
        </w:r>
        <w:r w:rsidR="00A36B38">
          <w:rPr>
            <w:noProof/>
            <w:webHidden/>
          </w:rPr>
          <w:fldChar w:fldCharType="separate"/>
        </w:r>
        <w:r w:rsidR="00661B08">
          <w:rPr>
            <w:noProof/>
            <w:webHidden/>
          </w:rPr>
          <w:t>313</w:t>
        </w:r>
        <w:r w:rsidR="00A36B38">
          <w:rPr>
            <w:noProof/>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68" w:history="1">
        <w:r w:rsidR="006E5A97" w:rsidRPr="00E50209">
          <w:rPr>
            <w:rStyle w:val="Hyperlink"/>
          </w:rPr>
          <w:t>Prioritetna područja i mjere realizacije strateških ciljeva</w:t>
        </w:r>
        <w:r w:rsidR="006E5A97">
          <w:rPr>
            <w:webHidden/>
          </w:rPr>
          <w:tab/>
        </w:r>
        <w:r w:rsidR="00A36B38">
          <w:rPr>
            <w:webHidden/>
          </w:rPr>
          <w:fldChar w:fldCharType="begin"/>
        </w:r>
        <w:r w:rsidR="006E5A97">
          <w:rPr>
            <w:webHidden/>
          </w:rPr>
          <w:instrText xml:space="preserve"> PAGEREF _Toc378069168 \h </w:instrText>
        </w:r>
        <w:r w:rsidR="00A36B38">
          <w:rPr>
            <w:webHidden/>
          </w:rPr>
        </w:r>
        <w:r w:rsidR="00A36B38">
          <w:rPr>
            <w:webHidden/>
          </w:rPr>
          <w:fldChar w:fldCharType="separate"/>
        </w:r>
        <w:r w:rsidR="00661B08">
          <w:rPr>
            <w:webHidden/>
          </w:rPr>
          <w:t>314</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69" w:history="1">
        <w:r w:rsidR="006E5A97" w:rsidRPr="00E50209">
          <w:rPr>
            <w:rStyle w:val="Hyperlink"/>
          </w:rPr>
          <w:t>Prioritet 1: Stvaranje stabilnog investicijskog okruženja</w:t>
        </w:r>
        <w:r w:rsidR="006E5A97">
          <w:rPr>
            <w:webHidden/>
          </w:rPr>
          <w:tab/>
        </w:r>
        <w:r w:rsidR="00A36B38">
          <w:rPr>
            <w:webHidden/>
          </w:rPr>
          <w:fldChar w:fldCharType="begin"/>
        </w:r>
        <w:r w:rsidR="006E5A97">
          <w:rPr>
            <w:webHidden/>
          </w:rPr>
          <w:instrText xml:space="preserve"> PAGEREF _Toc378069169 \h </w:instrText>
        </w:r>
        <w:r w:rsidR="00A36B38">
          <w:rPr>
            <w:webHidden/>
          </w:rPr>
        </w:r>
        <w:r w:rsidR="00A36B38">
          <w:rPr>
            <w:webHidden/>
          </w:rPr>
          <w:fldChar w:fldCharType="separate"/>
        </w:r>
        <w:r w:rsidR="00661B08">
          <w:rPr>
            <w:webHidden/>
          </w:rPr>
          <w:t>315</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70" w:history="1">
        <w:r w:rsidR="006E5A97" w:rsidRPr="00E50209">
          <w:rPr>
            <w:rStyle w:val="Hyperlink"/>
          </w:rPr>
          <w:t>Prioritet 2: Poticanje strateške suradnje industrije i obrazovnog sustava</w:t>
        </w:r>
        <w:r w:rsidR="006E5A97">
          <w:rPr>
            <w:webHidden/>
          </w:rPr>
          <w:tab/>
        </w:r>
        <w:r w:rsidR="00A36B38">
          <w:rPr>
            <w:webHidden/>
          </w:rPr>
          <w:fldChar w:fldCharType="begin"/>
        </w:r>
        <w:r w:rsidR="006E5A97">
          <w:rPr>
            <w:webHidden/>
          </w:rPr>
          <w:instrText xml:space="preserve"> PAGEREF _Toc378069170 \h </w:instrText>
        </w:r>
        <w:r w:rsidR="00A36B38">
          <w:rPr>
            <w:webHidden/>
          </w:rPr>
        </w:r>
        <w:r w:rsidR="00A36B38">
          <w:rPr>
            <w:webHidden/>
          </w:rPr>
          <w:fldChar w:fldCharType="separate"/>
        </w:r>
        <w:r w:rsidR="00661B08">
          <w:rPr>
            <w:webHidden/>
          </w:rPr>
          <w:t>316</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71" w:history="1">
        <w:r w:rsidR="006E5A97" w:rsidRPr="00E50209">
          <w:rPr>
            <w:rStyle w:val="Hyperlink"/>
          </w:rPr>
          <w:t>Prioritet 3: Restrukturiranje javne uprave i administracije</w:t>
        </w:r>
        <w:r w:rsidR="006E5A97">
          <w:rPr>
            <w:webHidden/>
          </w:rPr>
          <w:tab/>
        </w:r>
        <w:r w:rsidR="00A36B38">
          <w:rPr>
            <w:webHidden/>
          </w:rPr>
          <w:fldChar w:fldCharType="begin"/>
        </w:r>
        <w:r w:rsidR="006E5A97">
          <w:rPr>
            <w:webHidden/>
          </w:rPr>
          <w:instrText xml:space="preserve"> PAGEREF _Toc378069171 \h </w:instrText>
        </w:r>
        <w:r w:rsidR="00A36B38">
          <w:rPr>
            <w:webHidden/>
          </w:rPr>
        </w:r>
        <w:r w:rsidR="00A36B38">
          <w:rPr>
            <w:webHidden/>
          </w:rPr>
          <w:fldChar w:fldCharType="separate"/>
        </w:r>
        <w:r w:rsidR="00661B08">
          <w:rPr>
            <w:webHidden/>
          </w:rPr>
          <w:t>317</w:t>
        </w:r>
        <w:r w:rsidR="00A36B38">
          <w:rPr>
            <w:webHidden/>
          </w:rPr>
          <w:fldChar w:fldCharType="end"/>
        </w:r>
      </w:hyperlink>
    </w:p>
    <w:p w:rsidR="006E5A97" w:rsidRDefault="00BF13E1">
      <w:pPr>
        <w:pStyle w:val="TOC2"/>
        <w:rPr>
          <w:rFonts w:asciiTheme="minorHAnsi" w:eastAsiaTheme="minorEastAsia" w:hAnsiTheme="minorHAnsi" w:cstheme="minorBidi"/>
          <w:sz w:val="22"/>
          <w:lang w:eastAsia="hr-HR"/>
        </w:rPr>
      </w:pPr>
      <w:hyperlink w:anchor="_Toc378069172" w:history="1">
        <w:r w:rsidR="006E5A97" w:rsidRPr="00E50209">
          <w:rPr>
            <w:rStyle w:val="Hyperlink"/>
          </w:rPr>
          <w:t>Prioritet 4: Razvoj tržišta kapitala – alternativni izvori financiranja</w:t>
        </w:r>
        <w:r w:rsidR="006E5A97">
          <w:rPr>
            <w:webHidden/>
          </w:rPr>
          <w:tab/>
        </w:r>
        <w:r w:rsidR="00A36B38">
          <w:rPr>
            <w:webHidden/>
          </w:rPr>
          <w:fldChar w:fldCharType="begin"/>
        </w:r>
        <w:r w:rsidR="006E5A97">
          <w:rPr>
            <w:webHidden/>
          </w:rPr>
          <w:instrText xml:space="preserve"> PAGEREF _Toc378069172 \h </w:instrText>
        </w:r>
        <w:r w:rsidR="00A36B38">
          <w:rPr>
            <w:webHidden/>
          </w:rPr>
        </w:r>
        <w:r w:rsidR="00A36B38">
          <w:rPr>
            <w:webHidden/>
          </w:rPr>
          <w:fldChar w:fldCharType="separate"/>
        </w:r>
        <w:r w:rsidR="00661B08">
          <w:rPr>
            <w:webHidden/>
          </w:rPr>
          <w:t>318</w:t>
        </w:r>
        <w:r w:rsidR="00A36B38">
          <w:rPr>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73" w:history="1">
        <w:r w:rsidR="006E5A97" w:rsidRPr="00E50209">
          <w:rPr>
            <w:rStyle w:val="Hyperlink"/>
          </w:rPr>
          <w:t>Provedba strategije</w:t>
        </w:r>
        <w:r w:rsidR="006E5A97">
          <w:rPr>
            <w:webHidden/>
          </w:rPr>
          <w:tab/>
        </w:r>
        <w:r w:rsidR="00A36B38">
          <w:rPr>
            <w:webHidden/>
          </w:rPr>
          <w:fldChar w:fldCharType="begin"/>
        </w:r>
        <w:r w:rsidR="006E5A97">
          <w:rPr>
            <w:webHidden/>
          </w:rPr>
          <w:instrText xml:space="preserve"> PAGEREF _Toc378069173 \h </w:instrText>
        </w:r>
        <w:r w:rsidR="00A36B38">
          <w:rPr>
            <w:webHidden/>
          </w:rPr>
        </w:r>
        <w:r w:rsidR="00A36B38">
          <w:rPr>
            <w:webHidden/>
          </w:rPr>
          <w:fldChar w:fldCharType="separate"/>
        </w:r>
        <w:r w:rsidR="00661B08">
          <w:rPr>
            <w:webHidden/>
          </w:rPr>
          <w:t>320</w:t>
        </w:r>
        <w:r w:rsidR="00A36B38">
          <w:rPr>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74" w:history="1">
        <w:r w:rsidR="006E5A97" w:rsidRPr="00E50209">
          <w:rPr>
            <w:rStyle w:val="Hyperlink"/>
            <w:noProof/>
          </w:rPr>
          <w:t>Komunikacija strategije</w:t>
        </w:r>
        <w:r w:rsidR="006E5A97">
          <w:rPr>
            <w:noProof/>
            <w:webHidden/>
          </w:rPr>
          <w:tab/>
        </w:r>
        <w:r w:rsidR="00A36B38">
          <w:rPr>
            <w:noProof/>
            <w:webHidden/>
          </w:rPr>
          <w:fldChar w:fldCharType="begin"/>
        </w:r>
        <w:r w:rsidR="006E5A97">
          <w:rPr>
            <w:noProof/>
            <w:webHidden/>
          </w:rPr>
          <w:instrText xml:space="preserve"> PAGEREF _Toc378069174 \h </w:instrText>
        </w:r>
        <w:r w:rsidR="00A36B38">
          <w:rPr>
            <w:noProof/>
            <w:webHidden/>
          </w:rPr>
        </w:r>
        <w:r w:rsidR="00A36B38">
          <w:rPr>
            <w:noProof/>
            <w:webHidden/>
          </w:rPr>
          <w:fldChar w:fldCharType="separate"/>
        </w:r>
        <w:r w:rsidR="00661B08">
          <w:rPr>
            <w:noProof/>
            <w:webHidden/>
          </w:rPr>
          <w:t>321</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75" w:history="1">
        <w:r w:rsidR="006E5A97" w:rsidRPr="00E50209">
          <w:rPr>
            <w:rStyle w:val="Hyperlink"/>
            <w:noProof/>
          </w:rPr>
          <w:t>Prikaz Strategije kroz sustav operativnih planova</w:t>
        </w:r>
        <w:r w:rsidR="006E5A97">
          <w:rPr>
            <w:noProof/>
            <w:webHidden/>
          </w:rPr>
          <w:tab/>
        </w:r>
        <w:r w:rsidR="00A36B38">
          <w:rPr>
            <w:noProof/>
            <w:webHidden/>
          </w:rPr>
          <w:fldChar w:fldCharType="begin"/>
        </w:r>
        <w:r w:rsidR="006E5A97">
          <w:rPr>
            <w:noProof/>
            <w:webHidden/>
          </w:rPr>
          <w:instrText xml:space="preserve"> PAGEREF _Toc378069175 \h </w:instrText>
        </w:r>
        <w:r w:rsidR="00A36B38">
          <w:rPr>
            <w:noProof/>
            <w:webHidden/>
          </w:rPr>
        </w:r>
        <w:r w:rsidR="00A36B38">
          <w:rPr>
            <w:noProof/>
            <w:webHidden/>
          </w:rPr>
          <w:fldChar w:fldCharType="separate"/>
        </w:r>
        <w:r w:rsidR="00661B08">
          <w:rPr>
            <w:noProof/>
            <w:webHidden/>
          </w:rPr>
          <w:t>322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76" w:history="1">
        <w:r w:rsidR="006E5A97" w:rsidRPr="00E50209">
          <w:rPr>
            <w:rStyle w:val="Hyperlink"/>
            <w:noProof/>
          </w:rPr>
          <w:t>Usklađivanje strategije i strukture</w:t>
        </w:r>
        <w:r w:rsidR="006E5A97">
          <w:rPr>
            <w:noProof/>
            <w:webHidden/>
          </w:rPr>
          <w:tab/>
        </w:r>
        <w:r w:rsidR="00A36B38">
          <w:rPr>
            <w:noProof/>
            <w:webHidden/>
          </w:rPr>
          <w:fldChar w:fldCharType="begin"/>
        </w:r>
        <w:r w:rsidR="006E5A97">
          <w:rPr>
            <w:noProof/>
            <w:webHidden/>
          </w:rPr>
          <w:instrText xml:space="preserve"> PAGEREF _Toc378069176 \h </w:instrText>
        </w:r>
        <w:r w:rsidR="00A36B38">
          <w:rPr>
            <w:noProof/>
            <w:webHidden/>
          </w:rPr>
        </w:r>
        <w:r w:rsidR="00A36B38">
          <w:rPr>
            <w:noProof/>
            <w:webHidden/>
          </w:rPr>
          <w:fldChar w:fldCharType="separate"/>
        </w:r>
        <w:r w:rsidR="00661B08">
          <w:rPr>
            <w:noProof/>
            <w:webHidden/>
          </w:rPr>
          <w:t>322</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77" w:history="1">
        <w:r w:rsidR="006E5A97" w:rsidRPr="00E50209">
          <w:rPr>
            <w:rStyle w:val="Hyperlink"/>
            <w:noProof/>
          </w:rPr>
          <w:t>Delegiranje odgovornosti i ovlaštenja</w:t>
        </w:r>
        <w:r w:rsidR="006E5A97">
          <w:rPr>
            <w:noProof/>
            <w:webHidden/>
          </w:rPr>
          <w:tab/>
        </w:r>
        <w:r w:rsidR="00A36B38">
          <w:rPr>
            <w:noProof/>
            <w:webHidden/>
          </w:rPr>
          <w:fldChar w:fldCharType="begin"/>
        </w:r>
        <w:r w:rsidR="006E5A97">
          <w:rPr>
            <w:noProof/>
            <w:webHidden/>
          </w:rPr>
          <w:instrText xml:space="preserve"> PAGEREF _Toc378069177 \h </w:instrText>
        </w:r>
        <w:r w:rsidR="00A36B38">
          <w:rPr>
            <w:noProof/>
            <w:webHidden/>
          </w:rPr>
        </w:r>
        <w:r w:rsidR="00A36B38">
          <w:rPr>
            <w:noProof/>
            <w:webHidden/>
          </w:rPr>
          <w:fldChar w:fldCharType="separate"/>
        </w:r>
        <w:r w:rsidR="00661B08">
          <w:rPr>
            <w:noProof/>
            <w:webHidden/>
          </w:rPr>
          <w:t>323</w:t>
        </w:r>
        <w:r w:rsidR="00A36B38">
          <w:rPr>
            <w:noProof/>
            <w:webHidden/>
          </w:rPr>
          <w:fldChar w:fldCharType="end"/>
        </w:r>
      </w:hyperlink>
    </w:p>
    <w:p w:rsidR="006E5A97" w:rsidRDefault="00BF13E1">
      <w:pPr>
        <w:pStyle w:val="TOC3"/>
        <w:rPr>
          <w:rFonts w:asciiTheme="minorHAnsi" w:eastAsiaTheme="minorEastAsia" w:hAnsiTheme="minorHAnsi" w:cstheme="minorBidi"/>
          <w:noProof/>
          <w:sz w:val="22"/>
          <w:lang w:eastAsia="hr-HR"/>
        </w:rPr>
      </w:pPr>
      <w:hyperlink w:anchor="_Toc378069178" w:history="1">
        <w:r w:rsidR="006E5A97" w:rsidRPr="00E50209">
          <w:rPr>
            <w:rStyle w:val="Hyperlink"/>
            <w:noProof/>
          </w:rPr>
          <w:t>Oblikovanje sustava izvještavanja i stalna prilagodba Strategije</w:t>
        </w:r>
        <w:r w:rsidR="006E5A97">
          <w:rPr>
            <w:noProof/>
            <w:webHidden/>
          </w:rPr>
          <w:tab/>
        </w:r>
        <w:r w:rsidR="00A36B38">
          <w:rPr>
            <w:noProof/>
            <w:webHidden/>
          </w:rPr>
          <w:fldChar w:fldCharType="begin"/>
        </w:r>
        <w:r w:rsidR="006E5A97">
          <w:rPr>
            <w:noProof/>
            <w:webHidden/>
          </w:rPr>
          <w:instrText xml:space="preserve"> PAGEREF _Toc378069178 \h </w:instrText>
        </w:r>
        <w:r w:rsidR="00A36B38">
          <w:rPr>
            <w:noProof/>
            <w:webHidden/>
          </w:rPr>
        </w:r>
        <w:r w:rsidR="00A36B38">
          <w:rPr>
            <w:noProof/>
            <w:webHidden/>
          </w:rPr>
          <w:fldChar w:fldCharType="separate"/>
        </w:r>
        <w:r w:rsidR="00661B08">
          <w:rPr>
            <w:noProof/>
            <w:webHidden/>
          </w:rPr>
          <w:t>323</w:t>
        </w:r>
        <w:r w:rsidR="00A36B38">
          <w:rPr>
            <w:noProof/>
            <w:webHidden/>
          </w:rPr>
          <w:fldChar w:fldCharType="end"/>
        </w:r>
      </w:hyperlink>
    </w:p>
    <w:p w:rsidR="006E5A97" w:rsidRDefault="00BF13E1">
      <w:pPr>
        <w:pStyle w:val="TOC1"/>
        <w:rPr>
          <w:rFonts w:asciiTheme="minorHAnsi" w:eastAsiaTheme="minorEastAsia" w:hAnsiTheme="minorHAnsi" w:cstheme="minorBidi"/>
          <w:b w:val="0"/>
          <w:sz w:val="22"/>
          <w:lang w:eastAsia="hr-HR"/>
        </w:rPr>
      </w:pPr>
      <w:hyperlink w:anchor="_Toc378069179" w:history="1">
        <w:r w:rsidR="006E5A97" w:rsidRPr="00E50209">
          <w:rPr>
            <w:rStyle w:val="Hyperlink"/>
            <w:lang w:eastAsia="hr-HR"/>
          </w:rPr>
          <w:t>Literatura</w:t>
        </w:r>
        <w:r w:rsidR="006E5A97">
          <w:rPr>
            <w:webHidden/>
          </w:rPr>
          <w:tab/>
        </w:r>
        <w:r w:rsidR="00A36B38">
          <w:rPr>
            <w:webHidden/>
          </w:rPr>
          <w:fldChar w:fldCharType="begin"/>
        </w:r>
        <w:r w:rsidR="006E5A97">
          <w:rPr>
            <w:webHidden/>
          </w:rPr>
          <w:instrText xml:space="preserve"> PAGEREF _Toc378069179 \h </w:instrText>
        </w:r>
        <w:r w:rsidR="00A36B38">
          <w:rPr>
            <w:webHidden/>
          </w:rPr>
        </w:r>
        <w:r w:rsidR="00A36B38">
          <w:rPr>
            <w:webHidden/>
          </w:rPr>
          <w:fldChar w:fldCharType="separate"/>
        </w:r>
        <w:r w:rsidR="00661B08">
          <w:rPr>
            <w:webHidden/>
          </w:rPr>
          <w:t>325</w:t>
        </w:r>
        <w:r w:rsidR="00A36B38">
          <w:rPr>
            <w:webHidden/>
          </w:rPr>
          <w:fldChar w:fldCharType="end"/>
        </w:r>
      </w:hyperlink>
    </w:p>
    <w:p w:rsidR="001C4E0C" w:rsidRPr="004E6412" w:rsidRDefault="00A36B38" w:rsidP="002F2140">
      <w:pPr>
        <w:spacing w:line="240" w:lineRule="auto"/>
      </w:pPr>
      <w:r w:rsidRPr="004E6412">
        <w:rPr>
          <w:sz w:val="22"/>
        </w:rPr>
        <w:fldChar w:fldCharType="end"/>
      </w:r>
      <w:bookmarkStart w:id="2" w:name="_Toc366154347"/>
    </w:p>
    <w:p w:rsidR="00B577FF" w:rsidRPr="004E6412" w:rsidRDefault="00B577FF" w:rsidP="00BA5C3B">
      <w:pPr>
        <w:pStyle w:val="Title"/>
        <w:rPr>
          <w:rFonts w:ascii="Times New Roman" w:hAnsi="Times New Roman"/>
        </w:rPr>
      </w:pPr>
      <w:bookmarkStart w:id="3" w:name="_Toc366409888"/>
    </w:p>
    <w:p w:rsidR="002F2140" w:rsidRPr="004E6412" w:rsidRDefault="002F2140" w:rsidP="002F2140"/>
    <w:p w:rsidR="002F2140" w:rsidRPr="004E6412" w:rsidRDefault="002F2140" w:rsidP="002F2140"/>
    <w:p w:rsidR="00745CDA" w:rsidRPr="004E6412" w:rsidRDefault="00745CDA" w:rsidP="002F2140"/>
    <w:p w:rsidR="002F2140" w:rsidRPr="004E6412" w:rsidRDefault="002F2140" w:rsidP="002F2140"/>
    <w:p w:rsidR="00745CDA" w:rsidRPr="004E6412" w:rsidRDefault="00745CDA" w:rsidP="002F2140"/>
    <w:p w:rsidR="00745CDA" w:rsidRPr="004E6412" w:rsidRDefault="00745CDA">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860738" w:rsidRPr="004E6412" w:rsidRDefault="00860738">
      <w:pPr>
        <w:spacing w:line="240" w:lineRule="auto"/>
        <w:jc w:val="left"/>
        <w:rPr>
          <w:rFonts w:eastAsia="Times New Roman"/>
          <w:color w:val="17365D"/>
          <w:spacing w:val="5"/>
          <w:kern w:val="28"/>
          <w:sz w:val="52"/>
          <w:szCs w:val="52"/>
        </w:rPr>
      </w:pPr>
      <w:r w:rsidRPr="004E6412">
        <w:br w:type="page"/>
      </w:r>
    </w:p>
    <w:p w:rsidR="006E53FA" w:rsidRPr="004E6412" w:rsidRDefault="00BA5C3B" w:rsidP="00BA5C3B">
      <w:pPr>
        <w:pStyle w:val="Title"/>
        <w:rPr>
          <w:rFonts w:ascii="Times New Roman" w:hAnsi="Times New Roman"/>
        </w:rPr>
      </w:pPr>
      <w:bookmarkStart w:id="4" w:name="_Toc378069008"/>
      <w:r w:rsidRPr="004E6412">
        <w:rPr>
          <w:rFonts w:ascii="Times New Roman" w:hAnsi="Times New Roman"/>
        </w:rPr>
        <w:lastRenderedPageBreak/>
        <w:t>Popis kratica</w:t>
      </w:r>
      <w:bookmarkEnd w:id="2"/>
      <w:bookmarkEnd w:id="3"/>
      <w:bookmarkEnd w:id="4"/>
    </w:p>
    <w:p w:rsidR="00354CB9" w:rsidRPr="004E6412" w:rsidRDefault="00354CB9" w:rsidP="004D1219">
      <w:pPr>
        <w:rPr>
          <w:sz w:val="22"/>
        </w:rPr>
      </w:pPr>
      <w:r w:rsidRPr="004E6412">
        <w:rPr>
          <w:sz w:val="22"/>
        </w:rPr>
        <w:t>BDP</w:t>
      </w:r>
      <w:r w:rsidRPr="004E6412">
        <w:rPr>
          <w:sz w:val="22"/>
        </w:rPr>
        <w:tab/>
      </w:r>
      <w:r w:rsidRPr="004E6412">
        <w:rPr>
          <w:sz w:val="22"/>
        </w:rPr>
        <w:tab/>
      </w:r>
      <w:r w:rsidR="003C7FF2" w:rsidRPr="004E6412">
        <w:rPr>
          <w:i/>
          <w:sz w:val="22"/>
        </w:rPr>
        <w:t>B</w:t>
      </w:r>
      <w:r w:rsidRPr="004E6412">
        <w:rPr>
          <w:i/>
          <w:sz w:val="22"/>
        </w:rPr>
        <w:t>ruto domaći proizvod</w:t>
      </w:r>
    </w:p>
    <w:p w:rsidR="00354CB9" w:rsidRPr="004E6412" w:rsidRDefault="00354CB9" w:rsidP="004D1219">
      <w:pPr>
        <w:rPr>
          <w:sz w:val="22"/>
        </w:rPr>
      </w:pPr>
      <w:r w:rsidRPr="004E6412">
        <w:rPr>
          <w:sz w:val="22"/>
        </w:rPr>
        <w:t>BDV</w:t>
      </w:r>
      <w:r w:rsidRPr="004E6412">
        <w:rPr>
          <w:sz w:val="22"/>
        </w:rPr>
        <w:tab/>
      </w:r>
      <w:r w:rsidRPr="004E6412">
        <w:rPr>
          <w:sz w:val="22"/>
        </w:rPr>
        <w:tab/>
      </w:r>
      <w:r w:rsidR="003C7FF2" w:rsidRPr="004E6412">
        <w:rPr>
          <w:i/>
          <w:sz w:val="22"/>
        </w:rPr>
        <w:t>B</w:t>
      </w:r>
      <w:r w:rsidRPr="004E6412">
        <w:rPr>
          <w:i/>
          <w:sz w:val="22"/>
        </w:rPr>
        <w:t>ruto dodana vrijednost</w:t>
      </w:r>
    </w:p>
    <w:p w:rsidR="00354CB9" w:rsidRPr="004E6412" w:rsidRDefault="00354CB9" w:rsidP="004D1219">
      <w:pPr>
        <w:rPr>
          <w:i/>
          <w:sz w:val="22"/>
        </w:rPr>
      </w:pPr>
      <w:r w:rsidRPr="004E6412">
        <w:rPr>
          <w:sz w:val="22"/>
        </w:rPr>
        <w:t>CEFTA</w:t>
      </w:r>
      <w:r w:rsidRPr="004E6412">
        <w:rPr>
          <w:sz w:val="22"/>
        </w:rPr>
        <w:tab/>
      </w:r>
      <w:r w:rsidR="00FF74A7" w:rsidRPr="004E6412">
        <w:rPr>
          <w:sz w:val="22"/>
        </w:rPr>
        <w:tab/>
      </w:r>
      <w:hyperlink r:id="rId11" w:history="1">
        <w:r w:rsidRPr="004E6412">
          <w:rPr>
            <w:i/>
            <w:sz w:val="22"/>
          </w:rPr>
          <w:t>Central European</w:t>
        </w:r>
        <w:r w:rsidR="00665F76" w:rsidRPr="004E6412">
          <w:rPr>
            <w:i/>
            <w:sz w:val="22"/>
          </w:rPr>
          <w:t xml:space="preserve"> </w:t>
        </w:r>
        <w:r w:rsidRPr="004E6412">
          <w:rPr>
            <w:i/>
            <w:sz w:val="22"/>
          </w:rPr>
          <w:t>Free</w:t>
        </w:r>
        <w:r w:rsidR="00824382" w:rsidRPr="004E6412">
          <w:rPr>
            <w:i/>
            <w:sz w:val="22"/>
          </w:rPr>
          <w:t xml:space="preserve"> </w:t>
        </w:r>
        <w:r w:rsidR="00665F76" w:rsidRPr="004E6412">
          <w:rPr>
            <w:i/>
            <w:sz w:val="22"/>
          </w:rPr>
          <w:t xml:space="preserve"> </w:t>
        </w:r>
        <w:r w:rsidRPr="004E6412">
          <w:rPr>
            <w:i/>
            <w:sz w:val="22"/>
          </w:rPr>
          <w:t>Trade</w:t>
        </w:r>
        <w:r w:rsidR="00824382" w:rsidRPr="004E6412">
          <w:rPr>
            <w:i/>
            <w:sz w:val="22"/>
          </w:rPr>
          <w:t xml:space="preserve"> </w:t>
        </w:r>
        <w:r w:rsidRPr="004E6412">
          <w:rPr>
            <w:i/>
            <w:sz w:val="22"/>
          </w:rPr>
          <w:t>Agreement</w:t>
        </w:r>
      </w:hyperlink>
    </w:p>
    <w:p w:rsidR="00354CB9" w:rsidRPr="004E6412" w:rsidRDefault="00354CB9" w:rsidP="004D1219">
      <w:pPr>
        <w:rPr>
          <w:sz w:val="22"/>
        </w:rPr>
      </w:pPr>
      <w:r w:rsidRPr="004E6412">
        <w:rPr>
          <w:sz w:val="22"/>
        </w:rPr>
        <w:t xml:space="preserve">CIS </w:t>
      </w:r>
      <w:r w:rsidRPr="004E6412">
        <w:rPr>
          <w:sz w:val="22"/>
        </w:rPr>
        <w:tab/>
      </w:r>
      <w:r w:rsidRPr="004E6412">
        <w:rPr>
          <w:sz w:val="22"/>
        </w:rPr>
        <w:tab/>
      </w:r>
      <w:hyperlink r:id="rId12" w:history="1">
        <w:r w:rsidRPr="004E6412">
          <w:rPr>
            <w:rStyle w:val="Emphasis"/>
            <w:iCs w:val="0"/>
            <w:sz w:val="22"/>
          </w:rPr>
          <w:t>Commonwealth of</w:t>
        </w:r>
        <w:r w:rsidR="009C0236" w:rsidRPr="004E6412">
          <w:rPr>
            <w:rStyle w:val="Emphasis"/>
            <w:iCs w:val="0"/>
            <w:sz w:val="22"/>
          </w:rPr>
          <w:t xml:space="preserve"> </w:t>
        </w:r>
        <w:r w:rsidRPr="004E6412">
          <w:rPr>
            <w:rStyle w:val="Emphasis"/>
            <w:iCs w:val="0"/>
            <w:sz w:val="22"/>
          </w:rPr>
          <w:t>Independent</w:t>
        </w:r>
        <w:r w:rsidR="009C0236" w:rsidRPr="004E6412">
          <w:rPr>
            <w:rStyle w:val="Emphasis"/>
            <w:iCs w:val="0"/>
            <w:sz w:val="22"/>
          </w:rPr>
          <w:t xml:space="preserve"> </w:t>
        </w:r>
        <w:r w:rsidRPr="004E6412">
          <w:rPr>
            <w:rStyle w:val="Emphasis"/>
            <w:iCs w:val="0"/>
            <w:sz w:val="22"/>
          </w:rPr>
          <w:t>States</w:t>
        </w:r>
      </w:hyperlink>
    </w:p>
    <w:p w:rsidR="00354CB9" w:rsidRPr="004E6412" w:rsidRDefault="00354CB9" w:rsidP="004D1219">
      <w:pPr>
        <w:rPr>
          <w:sz w:val="22"/>
        </w:rPr>
      </w:pPr>
      <w:r w:rsidRPr="004E6412">
        <w:rPr>
          <w:sz w:val="22"/>
        </w:rPr>
        <w:t>DZS</w:t>
      </w:r>
      <w:r w:rsidRPr="004E6412">
        <w:rPr>
          <w:sz w:val="22"/>
        </w:rPr>
        <w:tab/>
      </w:r>
      <w:r w:rsidRPr="004E6412">
        <w:rPr>
          <w:sz w:val="22"/>
        </w:rPr>
        <w:tab/>
      </w:r>
      <w:r w:rsidRPr="004E6412">
        <w:rPr>
          <w:i/>
          <w:sz w:val="22"/>
        </w:rPr>
        <w:t>Državni zavod za statistiku</w:t>
      </w:r>
    </w:p>
    <w:p w:rsidR="00354CB9" w:rsidRPr="004E6412" w:rsidRDefault="00354CB9" w:rsidP="004D1219">
      <w:pPr>
        <w:ind w:left="1410" w:hanging="1410"/>
        <w:rPr>
          <w:sz w:val="22"/>
        </w:rPr>
      </w:pPr>
      <w:r w:rsidRPr="004E6412">
        <w:rPr>
          <w:sz w:val="22"/>
        </w:rPr>
        <w:t>EBITDA</w:t>
      </w:r>
      <w:r w:rsidRPr="004E6412">
        <w:rPr>
          <w:sz w:val="22"/>
        </w:rPr>
        <w:tab/>
      </w:r>
      <w:r w:rsidR="00783E7F" w:rsidRPr="004E6412">
        <w:rPr>
          <w:i/>
          <w:sz w:val="22"/>
        </w:rPr>
        <w:t>E</w:t>
      </w:r>
      <w:r w:rsidRPr="004E6412">
        <w:rPr>
          <w:i/>
          <w:sz w:val="22"/>
        </w:rPr>
        <w:t>arnings</w:t>
      </w:r>
      <w:r w:rsidR="00824382" w:rsidRPr="004E6412">
        <w:rPr>
          <w:i/>
          <w:sz w:val="22"/>
        </w:rPr>
        <w:t xml:space="preserve"> </w:t>
      </w:r>
      <w:r w:rsidRPr="004E6412">
        <w:rPr>
          <w:i/>
          <w:sz w:val="22"/>
        </w:rPr>
        <w:t>before</w:t>
      </w:r>
      <w:r w:rsidR="00824382" w:rsidRPr="004E6412">
        <w:rPr>
          <w:i/>
          <w:sz w:val="22"/>
        </w:rPr>
        <w:t xml:space="preserve"> </w:t>
      </w:r>
      <w:r w:rsidRPr="004E6412">
        <w:rPr>
          <w:i/>
          <w:sz w:val="22"/>
        </w:rPr>
        <w:t>interest, taxes, depreciation</w:t>
      </w:r>
      <w:r w:rsidR="00824382" w:rsidRPr="004E6412">
        <w:rPr>
          <w:i/>
          <w:sz w:val="22"/>
        </w:rPr>
        <w:t xml:space="preserve"> </w:t>
      </w:r>
      <w:r w:rsidRPr="004E6412">
        <w:rPr>
          <w:i/>
          <w:sz w:val="22"/>
        </w:rPr>
        <w:t>and</w:t>
      </w:r>
      <w:r w:rsidR="00824382" w:rsidRPr="004E6412">
        <w:rPr>
          <w:i/>
          <w:sz w:val="22"/>
        </w:rPr>
        <w:t xml:space="preserve"> </w:t>
      </w:r>
      <w:r w:rsidRPr="004E6412">
        <w:rPr>
          <w:i/>
          <w:sz w:val="22"/>
        </w:rPr>
        <w:t>amortization</w:t>
      </w:r>
      <w:r w:rsidR="004E5983" w:rsidRPr="004E6412">
        <w:rPr>
          <w:i/>
          <w:sz w:val="22"/>
        </w:rPr>
        <w:t xml:space="preserve"> (zarada</w:t>
      </w:r>
      <w:r w:rsidR="0084668F" w:rsidRPr="004E6412">
        <w:rPr>
          <w:i/>
          <w:sz w:val="22"/>
        </w:rPr>
        <w:t xml:space="preserve"> prije odbitka kamata, poreza, deprecijacije i amortizacije)</w:t>
      </w:r>
    </w:p>
    <w:p w:rsidR="00354CB9" w:rsidRPr="004E6412" w:rsidRDefault="00354CB9" w:rsidP="004D1219">
      <w:pPr>
        <w:rPr>
          <w:sz w:val="22"/>
        </w:rPr>
      </w:pPr>
      <w:r w:rsidRPr="004E6412">
        <w:rPr>
          <w:sz w:val="22"/>
        </w:rPr>
        <w:t xml:space="preserve">EU </w:t>
      </w:r>
      <w:r w:rsidRPr="004E6412">
        <w:rPr>
          <w:sz w:val="22"/>
        </w:rPr>
        <w:tab/>
      </w:r>
      <w:r w:rsidRPr="004E6412">
        <w:rPr>
          <w:sz w:val="22"/>
        </w:rPr>
        <w:tab/>
      </w:r>
      <w:r w:rsidRPr="004E6412">
        <w:rPr>
          <w:i/>
          <w:sz w:val="22"/>
        </w:rPr>
        <w:t>Europska unija</w:t>
      </w:r>
    </w:p>
    <w:p w:rsidR="00354CB9" w:rsidRPr="004E6412" w:rsidRDefault="00354CB9" w:rsidP="004D1219">
      <w:pPr>
        <w:rPr>
          <w:sz w:val="22"/>
        </w:rPr>
      </w:pPr>
      <w:r w:rsidRPr="004E6412">
        <w:rPr>
          <w:sz w:val="22"/>
        </w:rPr>
        <w:t>FINA</w:t>
      </w:r>
      <w:r w:rsidRPr="004E6412">
        <w:rPr>
          <w:sz w:val="22"/>
        </w:rPr>
        <w:tab/>
      </w:r>
      <w:r w:rsidRPr="004E6412">
        <w:rPr>
          <w:sz w:val="22"/>
        </w:rPr>
        <w:tab/>
      </w:r>
      <w:r w:rsidRPr="004E6412">
        <w:rPr>
          <w:i/>
          <w:sz w:val="22"/>
        </w:rPr>
        <w:t>Financijska agencija</w:t>
      </w:r>
    </w:p>
    <w:p w:rsidR="00354CB9" w:rsidRPr="004E6412" w:rsidRDefault="00354CB9" w:rsidP="004D1219">
      <w:pPr>
        <w:rPr>
          <w:sz w:val="22"/>
        </w:rPr>
      </w:pPr>
      <w:r w:rsidRPr="004E6412">
        <w:rPr>
          <w:sz w:val="22"/>
        </w:rPr>
        <w:t>FSC</w:t>
      </w:r>
      <w:r w:rsidRPr="004E6412">
        <w:rPr>
          <w:sz w:val="22"/>
        </w:rPr>
        <w:tab/>
      </w:r>
      <w:r w:rsidRPr="004E6412">
        <w:rPr>
          <w:sz w:val="22"/>
        </w:rPr>
        <w:tab/>
      </w:r>
      <w:r w:rsidRPr="004E6412">
        <w:rPr>
          <w:i/>
          <w:sz w:val="22"/>
        </w:rPr>
        <w:t>Forest</w:t>
      </w:r>
      <w:r w:rsidR="0039109D" w:rsidRPr="004E6412">
        <w:rPr>
          <w:i/>
          <w:sz w:val="22"/>
        </w:rPr>
        <w:t xml:space="preserve"> </w:t>
      </w:r>
      <w:r w:rsidRPr="004E6412">
        <w:rPr>
          <w:i/>
          <w:sz w:val="22"/>
        </w:rPr>
        <w:t>Stewardship</w:t>
      </w:r>
      <w:r w:rsidR="0039109D" w:rsidRPr="004E6412">
        <w:rPr>
          <w:i/>
          <w:sz w:val="22"/>
        </w:rPr>
        <w:t xml:space="preserve"> </w:t>
      </w:r>
      <w:r w:rsidRPr="004E6412">
        <w:rPr>
          <w:i/>
          <w:sz w:val="22"/>
        </w:rPr>
        <w:t>Council</w:t>
      </w:r>
    </w:p>
    <w:p w:rsidR="00354CB9" w:rsidRPr="004E6412" w:rsidRDefault="00354CB9" w:rsidP="004D1219">
      <w:pPr>
        <w:rPr>
          <w:sz w:val="22"/>
        </w:rPr>
      </w:pPr>
      <w:r w:rsidRPr="004E6412">
        <w:rPr>
          <w:sz w:val="22"/>
        </w:rPr>
        <w:t>GL</w:t>
      </w:r>
      <w:r w:rsidRPr="004E6412">
        <w:rPr>
          <w:sz w:val="22"/>
        </w:rPr>
        <w:tab/>
      </w:r>
      <w:r w:rsidRPr="004E6412">
        <w:rPr>
          <w:sz w:val="22"/>
        </w:rPr>
        <w:tab/>
      </w:r>
      <w:r w:rsidRPr="004E6412">
        <w:rPr>
          <w:i/>
          <w:sz w:val="22"/>
        </w:rPr>
        <w:t>Grubel-Lloyd</w:t>
      </w:r>
    </w:p>
    <w:p w:rsidR="00354CB9" w:rsidRPr="004E6412" w:rsidRDefault="00354CB9" w:rsidP="004D1219">
      <w:pPr>
        <w:rPr>
          <w:sz w:val="22"/>
        </w:rPr>
      </w:pPr>
      <w:r w:rsidRPr="004E6412">
        <w:rPr>
          <w:sz w:val="22"/>
        </w:rPr>
        <w:t>HGK</w:t>
      </w:r>
      <w:r w:rsidRPr="004E6412">
        <w:rPr>
          <w:sz w:val="22"/>
        </w:rPr>
        <w:tab/>
      </w:r>
      <w:r w:rsidRPr="004E6412">
        <w:rPr>
          <w:sz w:val="22"/>
        </w:rPr>
        <w:tab/>
      </w:r>
      <w:r w:rsidRPr="004E6412">
        <w:rPr>
          <w:i/>
          <w:sz w:val="22"/>
        </w:rPr>
        <w:t>Hrvatska gospodarska komora</w:t>
      </w:r>
    </w:p>
    <w:p w:rsidR="00354CB9" w:rsidRPr="004E6412" w:rsidRDefault="00354CB9" w:rsidP="004D1219">
      <w:pPr>
        <w:rPr>
          <w:sz w:val="22"/>
        </w:rPr>
      </w:pPr>
      <w:r w:rsidRPr="004E6412">
        <w:rPr>
          <w:sz w:val="22"/>
        </w:rPr>
        <w:t>HNB</w:t>
      </w:r>
      <w:r w:rsidRPr="004E6412">
        <w:rPr>
          <w:sz w:val="22"/>
        </w:rPr>
        <w:tab/>
      </w:r>
      <w:r w:rsidRPr="004E6412">
        <w:rPr>
          <w:sz w:val="22"/>
        </w:rPr>
        <w:tab/>
      </w:r>
      <w:r w:rsidRPr="004E6412">
        <w:rPr>
          <w:i/>
          <w:sz w:val="22"/>
        </w:rPr>
        <w:t>Hrvatska narodna banka</w:t>
      </w:r>
    </w:p>
    <w:p w:rsidR="00354CB9" w:rsidRPr="004E6412" w:rsidRDefault="00354CB9" w:rsidP="004D1219">
      <w:pPr>
        <w:rPr>
          <w:sz w:val="22"/>
        </w:rPr>
      </w:pPr>
      <w:r w:rsidRPr="004E6412">
        <w:rPr>
          <w:sz w:val="22"/>
        </w:rPr>
        <w:t>HZZ</w:t>
      </w:r>
      <w:r w:rsidRPr="004E6412">
        <w:rPr>
          <w:sz w:val="22"/>
        </w:rPr>
        <w:tab/>
      </w:r>
      <w:r w:rsidRPr="004E6412">
        <w:rPr>
          <w:sz w:val="22"/>
        </w:rPr>
        <w:tab/>
      </w:r>
      <w:r w:rsidRPr="004E6412">
        <w:rPr>
          <w:i/>
          <w:sz w:val="22"/>
        </w:rPr>
        <w:t>Hrvatski zavod za zapošljavanje</w:t>
      </w:r>
    </w:p>
    <w:p w:rsidR="00B577FF" w:rsidRPr="004E6412" w:rsidRDefault="00B577FF" w:rsidP="004D1219">
      <w:pPr>
        <w:ind w:left="1410" w:hanging="1410"/>
        <w:rPr>
          <w:i/>
          <w:sz w:val="22"/>
        </w:rPr>
      </w:pPr>
      <w:r w:rsidRPr="004E6412">
        <w:rPr>
          <w:sz w:val="22"/>
        </w:rPr>
        <w:t>HZZO</w:t>
      </w:r>
      <w:r w:rsidRPr="004E6412">
        <w:rPr>
          <w:sz w:val="22"/>
        </w:rPr>
        <w:tab/>
      </w:r>
      <w:r w:rsidRPr="004E6412">
        <w:rPr>
          <w:i/>
          <w:sz w:val="22"/>
        </w:rPr>
        <w:t>Hrvatski zavod za zdravstveno osiguranje</w:t>
      </w:r>
    </w:p>
    <w:p w:rsidR="00354CB9" w:rsidRPr="004E6412" w:rsidRDefault="00354CB9" w:rsidP="004D1219">
      <w:pPr>
        <w:ind w:left="1410" w:hanging="1410"/>
        <w:rPr>
          <w:sz w:val="22"/>
        </w:rPr>
      </w:pPr>
      <w:r w:rsidRPr="004E6412">
        <w:rPr>
          <w:sz w:val="22"/>
        </w:rPr>
        <w:t>ICT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and</w:t>
      </w:r>
      <w:r w:rsidR="0039109D" w:rsidRPr="004E6412">
        <w:rPr>
          <w:i/>
          <w:sz w:val="22"/>
        </w:rPr>
        <w:t xml:space="preserve"> </w:t>
      </w:r>
      <w:r w:rsidRPr="004E6412">
        <w:rPr>
          <w:i/>
          <w:sz w:val="22"/>
        </w:rPr>
        <w:t>communications</w:t>
      </w:r>
      <w:r w:rsidR="0039109D" w:rsidRPr="004E6412">
        <w:rPr>
          <w:i/>
          <w:sz w:val="22"/>
        </w:rPr>
        <w:t xml:space="preserve"> t</w:t>
      </w:r>
      <w:r w:rsidRPr="004E6412">
        <w:rPr>
          <w:i/>
          <w:sz w:val="22"/>
        </w:rPr>
        <w:t>echnology</w:t>
      </w:r>
      <w:r w:rsidR="002347BE" w:rsidRPr="004E6412">
        <w:rPr>
          <w:i/>
          <w:sz w:val="22"/>
        </w:rPr>
        <w:t xml:space="preserve"> (informacijska i komunikacijska tehnologija)</w:t>
      </w:r>
    </w:p>
    <w:p w:rsidR="00354CB9" w:rsidRPr="004E6412" w:rsidRDefault="00354CB9" w:rsidP="004D1219">
      <w:pPr>
        <w:rPr>
          <w:sz w:val="22"/>
        </w:rPr>
      </w:pPr>
      <w:r w:rsidRPr="004E6412">
        <w:rPr>
          <w:sz w:val="22"/>
        </w:rPr>
        <w:t>IT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technology</w:t>
      </w:r>
      <w:r w:rsidR="002347BE" w:rsidRPr="004E6412">
        <w:rPr>
          <w:i/>
          <w:sz w:val="22"/>
        </w:rPr>
        <w:t xml:space="preserve"> (</w:t>
      </w:r>
      <w:r w:rsidR="00CE7ED1" w:rsidRPr="004E6412">
        <w:rPr>
          <w:i/>
          <w:sz w:val="22"/>
        </w:rPr>
        <w:t>informacijska</w:t>
      </w:r>
      <w:r w:rsidR="002347BE" w:rsidRPr="004E6412">
        <w:rPr>
          <w:i/>
          <w:sz w:val="22"/>
        </w:rPr>
        <w:t xml:space="preserve"> tehnologija)</w:t>
      </w:r>
    </w:p>
    <w:p w:rsidR="00354CB9" w:rsidRPr="004E6412" w:rsidRDefault="00354CB9" w:rsidP="004D1219">
      <w:pPr>
        <w:rPr>
          <w:sz w:val="22"/>
        </w:rPr>
      </w:pPr>
      <w:r w:rsidRPr="004E6412">
        <w:rPr>
          <w:sz w:val="22"/>
        </w:rPr>
        <w:t>MFIN</w:t>
      </w:r>
      <w:r w:rsidRPr="004E6412">
        <w:rPr>
          <w:sz w:val="22"/>
        </w:rPr>
        <w:tab/>
      </w:r>
      <w:r w:rsidRPr="004E6412">
        <w:rPr>
          <w:sz w:val="22"/>
        </w:rPr>
        <w:tab/>
      </w:r>
      <w:r w:rsidR="00847AD6" w:rsidRPr="004E6412">
        <w:rPr>
          <w:i/>
          <w:sz w:val="22"/>
        </w:rPr>
        <w:t>Minist</w:t>
      </w:r>
      <w:r w:rsidRPr="004E6412">
        <w:rPr>
          <w:i/>
          <w:sz w:val="22"/>
        </w:rPr>
        <w:t>a</w:t>
      </w:r>
      <w:r w:rsidR="00847AD6" w:rsidRPr="004E6412">
        <w:rPr>
          <w:i/>
          <w:sz w:val="22"/>
        </w:rPr>
        <w:t>r</w:t>
      </w:r>
      <w:r w:rsidRPr="004E6412">
        <w:rPr>
          <w:i/>
          <w:sz w:val="22"/>
        </w:rPr>
        <w:t>stvo financija</w:t>
      </w:r>
    </w:p>
    <w:p w:rsidR="00354CB9" w:rsidRPr="004E6412" w:rsidRDefault="00354CB9" w:rsidP="004D1219">
      <w:pPr>
        <w:rPr>
          <w:sz w:val="22"/>
        </w:rPr>
      </w:pPr>
      <w:r w:rsidRPr="004E6412">
        <w:rPr>
          <w:sz w:val="22"/>
        </w:rPr>
        <w:t>MINGO</w:t>
      </w:r>
      <w:r w:rsidRPr="004E6412">
        <w:rPr>
          <w:sz w:val="22"/>
        </w:rPr>
        <w:tab/>
      </w:r>
      <w:r w:rsidRPr="004E6412">
        <w:rPr>
          <w:i/>
          <w:sz w:val="22"/>
        </w:rPr>
        <w:t>Ministarstvo gospodarstva</w:t>
      </w:r>
    </w:p>
    <w:p w:rsidR="00354CB9" w:rsidRPr="004E6412" w:rsidRDefault="00354CB9" w:rsidP="004D1219">
      <w:pPr>
        <w:rPr>
          <w:sz w:val="22"/>
        </w:rPr>
      </w:pPr>
      <w:r w:rsidRPr="004E6412">
        <w:rPr>
          <w:sz w:val="22"/>
        </w:rPr>
        <w:t>NAFTA</w:t>
      </w:r>
      <w:r w:rsidRPr="004E6412">
        <w:rPr>
          <w:sz w:val="22"/>
        </w:rPr>
        <w:tab/>
      </w:r>
      <w:r w:rsidRPr="004E6412">
        <w:rPr>
          <w:i/>
          <w:sz w:val="22"/>
        </w:rPr>
        <w:t>North American Free</w:t>
      </w:r>
      <w:r w:rsidR="0039109D" w:rsidRPr="004E6412">
        <w:rPr>
          <w:i/>
          <w:sz w:val="22"/>
        </w:rPr>
        <w:t xml:space="preserve"> </w:t>
      </w:r>
      <w:r w:rsidRPr="004E6412">
        <w:rPr>
          <w:i/>
          <w:sz w:val="22"/>
        </w:rPr>
        <w:t>Trade</w:t>
      </w:r>
      <w:r w:rsidR="0039109D" w:rsidRPr="004E6412">
        <w:rPr>
          <w:i/>
          <w:sz w:val="22"/>
        </w:rPr>
        <w:t xml:space="preserve"> </w:t>
      </w:r>
      <w:r w:rsidRPr="004E6412">
        <w:rPr>
          <w:i/>
          <w:sz w:val="22"/>
        </w:rPr>
        <w:t>Area</w:t>
      </w:r>
    </w:p>
    <w:p w:rsidR="00F609CC" w:rsidRPr="004E6412" w:rsidRDefault="00F609CC" w:rsidP="004D1219">
      <w:pPr>
        <w:rPr>
          <w:i/>
          <w:sz w:val="22"/>
        </w:rPr>
      </w:pPr>
      <w:r w:rsidRPr="004E6412">
        <w:rPr>
          <w:sz w:val="22"/>
        </w:rPr>
        <w:t>NKD</w:t>
      </w:r>
      <w:r w:rsidRPr="004E6412">
        <w:rPr>
          <w:sz w:val="22"/>
        </w:rPr>
        <w:tab/>
      </w:r>
      <w:r w:rsidRPr="004E6412">
        <w:rPr>
          <w:sz w:val="22"/>
        </w:rPr>
        <w:tab/>
      </w:r>
      <w:r w:rsidRPr="004E6412">
        <w:rPr>
          <w:i/>
          <w:sz w:val="22"/>
        </w:rPr>
        <w:t>Nacionalna klasifikacija djelatnosti</w:t>
      </w:r>
    </w:p>
    <w:p w:rsidR="0036463B" w:rsidRPr="004E6412" w:rsidRDefault="0036463B" w:rsidP="004D1219">
      <w:pPr>
        <w:rPr>
          <w:i/>
          <w:sz w:val="22"/>
        </w:rPr>
      </w:pPr>
      <w:r w:rsidRPr="004E6412">
        <w:rPr>
          <w:sz w:val="22"/>
        </w:rPr>
        <w:t>OECD</w:t>
      </w:r>
      <w:r w:rsidR="007A2EAE" w:rsidRPr="004E6412">
        <w:rPr>
          <w:sz w:val="22"/>
        </w:rPr>
        <w:tab/>
      </w:r>
      <w:r w:rsidR="007A2EAE" w:rsidRPr="004E6412">
        <w:rPr>
          <w:sz w:val="22"/>
        </w:rPr>
        <w:tab/>
      </w:r>
      <w:r w:rsidR="007A2EAE" w:rsidRPr="004E6412">
        <w:rPr>
          <w:i/>
          <w:sz w:val="22"/>
        </w:rPr>
        <w:t>Organisation for Economic Co-operation and Development</w:t>
      </w:r>
    </w:p>
    <w:p w:rsidR="00354CB9" w:rsidRPr="004E6412" w:rsidRDefault="00354CB9" w:rsidP="004D1219">
      <w:pPr>
        <w:rPr>
          <w:i/>
          <w:sz w:val="22"/>
        </w:rPr>
      </w:pPr>
      <w:r w:rsidRPr="004E6412">
        <w:rPr>
          <w:sz w:val="22"/>
        </w:rPr>
        <w:t>OPEC</w:t>
      </w:r>
      <w:r w:rsidRPr="004E6412">
        <w:rPr>
          <w:sz w:val="22"/>
        </w:rPr>
        <w:tab/>
      </w:r>
      <w:r w:rsidRPr="004E6412">
        <w:rPr>
          <w:sz w:val="22"/>
        </w:rPr>
        <w:tab/>
      </w:r>
      <w:r w:rsidRPr="004E6412">
        <w:rPr>
          <w:bCs/>
          <w:i/>
          <w:color w:val="222222"/>
          <w:sz w:val="22"/>
        </w:rPr>
        <w:t>Organization</w:t>
      </w:r>
      <w:r w:rsidR="0039109D" w:rsidRPr="004E6412">
        <w:rPr>
          <w:bCs/>
          <w:i/>
          <w:color w:val="222222"/>
          <w:sz w:val="22"/>
        </w:rPr>
        <w:t xml:space="preserve"> </w:t>
      </w:r>
      <w:r w:rsidRPr="004E6412">
        <w:rPr>
          <w:bCs/>
          <w:i/>
          <w:color w:val="222222"/>
          <w:sz w:val="22"/>
        </w:rPr>
        <w:t>of</w:t>
      </w:r>
      <w:r w:rsidR="0039109D" w:rsidRPr="004E6412">
        <w:rPr>
          <w:bCs/>
          <w:i/>
          <w:color w:val="222222"/>
          <w:sz w:val="22"/>
        </w:rPr>
        <w:t xml:space="preserve"> </w:t>
      </w:r>
      <w:r w:rsidRPr="004E6412">
        <w:rPr>
          <w:bCs/>
          <w:i/>
          <w:color w:val="222222"/>
          <w:sz w:val="22"/>
        </w:rPr>
        <w:t>the Petroleum Exporting</w:t>
      </w:r>
      <w:r w:rsidR="0039109D" w:rsidRPr="004E6412">
        <w:rPr>
          <w:bCs/>
          <w:i/>
          <w:color w:val="222222"/>
          <w:sz w:val="22"/>
        </w:rPr>
        <w:t xml:space="preserve"> </w:t>
      </w:r>
      <w:r w:rsidRPr="004E6412">
        <w:rPr>
          <w:bCs/>
          <w:i/>
          <w:color w:val="222222"/>
          <w:sz w:val="22"/>
        </w:rPr>
        <w:t>Countries</w:t>
      </w:r>
    </w:p>
    <w:p w:rsidR="00B577FF" w:rsidRPr="004E6412" w:rsidRDefault="00B577FF" w:rsidP="004D1219">
      <w:pPr>
        <w:rPr>
          <w:sz w:val="22"/>
        </w:rPr>
      </w:pPr>
      <w:r w:rsidRPr="004E6412">
        <w:rPr>
          <w:sz w:val="22"/>
        </w:rPr>
        <w:t>OTC</w:t>
      </w:r>
      <w:r w:rsidR="00B14F5C" w:rsidRPr="004E6412">
        <w:rPr>
          <w:sz w:val="22"/>
        </w:rPr>
        <w:tab/>
      </w:r>
      <w:r w:rsidR="00B14F5C" w:rsidRPr="004E6412">
        <w:rPr>
          <w:sz w:val="22"/>
        </w:rPr>
        <w:tab/>
      </w:r>
      <w:r w:rsidR="00783E7F" w:rsidRPr="004E6412">
        <w:rPr>
          <w:bCs/>
          <w:i/>
          <w:sz w:val="22"/>
        </w:rPr>
        <w:t>O</w:t>
      </w:r>
      <w:r w:rsidR="00B14F5C" w:rsidRPr="004E6412">
        <w:rPr>
          <w:bCs/>
          <w:i/>
          <w:sz w:val="22"/>
        </w:rPr>
        <w:t>ver-the-counter (u izravnoj prodaji)</w:t>
      </w:r>
    </w:p>
    <w:p w:rsidR="00B577FF" w:rsidRPr="004E6412" w:rsidRDefault="00B577FF" w:rsidP="004D1219">
      <w:pPr>
        <w:rPr>
          <w:sz w:val="22"/>
        </w:rPr>
      </w:pPr>
      <w:r w:rsidRPr="004E6412">
        <w:rPr>
          <w:sz w:val="22"/>
        </w:rPr>
        <w:t>RCA</w:t>
      </w:r>
      <w:r w:rsidRPr="004E6412">
        <w:rPr>
          <w:sz w:val="22"/>
        </w:rPr>
        <w:tab/>
      </w:r>
      <w:r w:rsidRPr="004E6412">
        <w:rPr>
          <w:sz w:val="22"/>
        </w:rPr>
        <w:tab/>
      </w:r>
      <w:hyperlink r:id="rId13" w:history="1">
        <w:r w:rsidR="00783E7F" w:rsidRPr="004E6412">
          <w:rPr>
            <w:i/>
            <w:sz w:val="22"/>
          </w:rPr>
          <w:t>R</w:t>
        </w:r>
        <w:r w:rsidR="00B14F5C" w:rsidRPr="004E6412">
          <w:rPr>
            <w:i/>
            <w:sz w:val="22"/>
          </w:rPr>
          <w:t xml:space="preserve">evealed comparative advantage </w:t>
        </w:r>
      </w:hyperlink>
      <w:r w:rsidR="0072448B" w:rsidRPr="004E6412">
        <w:rPr>
          <w:i/>
          <w:sz w:val="22"/>
        </w:rPr>
        <w:t>(iskazana usporedna</w:t>
      </w:r>
      <w:r w:rsidR="00B14F5C" w:rsidRPr="004E6412">
        <w:rPr>
          <w:i/>
          <w:sz w:val="22"/>
        </w:rPr>
        <w:t xml:space="preserve"> prednost)</w:t>
      </w:r>
    </w:p>
    <w:p w:rsidR="00354CB9" w:rsidRPr="004E6412" w:rsidRDefault="00354CB9" w:rsidP="004D1219">
      <w:pPr>
        <w:rPr>
          <w:sz w:val="22"/>
        </w:rPr>
      </w:pPr>
      <w:r w:rsidRPr="004E6412">
        <w:rPr>
          <w:sz w:val="22"/>
        </w:rPr>
        <w:t>RH</w:t>
      </w:r>
      <w:r w:rsidRPr="004E6412">
        <w:rPr>
          <w:sz w:val="22"/>
        </w:rPr>
        <w:tab/>
      </w:r>
      <w:r w:rsidRPr="004E6412">
        <w:rPr>
          <w:sz w:val="22"/>
        </w:rPr>
        <w:tab/>
      </w:r>
      <w:r w:rsidRPr="004E6412">
        <w:rPr>
          <w:i/>
          <w:sz w:val="22"/>
        </w:rPr>
        <w:t>Republika Hrvatska</w:t>
      </w:r>
    </w:p>
    <w:p w:rsidR="00354CB9" w:rsidRPr="004E6412" w:rsidRDefault="00354CB9" w:rsidP="004D1219">
      <w:pPr>
        <w:rPr>
          <w:sz w:val="22"/>
        </w:rPr>
      </w:pPr>
      <w:r w:rsidRPr="004E6412">
        <w:rPr>
          <w:sz w:val="22"/>
        </w:rPr>
        <w:t>ROA</w:t>
      </w:r>
      <w:r w:rsidRPr="004E6412">
        <w:rPr>
          <w:sz w:val="22"/>
        </w:rPr>
        <w:tab/>
      </w:r>
      <w:r w:rsidRPr="004E6412">
        <w:rPr>
          <w:sz w:val="22"/>
        </w:rPr>
        <w:tab/>
      </w:r>
      <w:r w:rsidR="00783E7F" w:rsidRPr="004E6412">
        <w:rPr>
          <w:i/>
          <w:sz w:val="22"/>
        </w:rPr>
        <w:t>R</w:t>
      </w:r>
      <w:r w:rsidRPr="004E6412">
        <w:rPr>
          <w:i/>
          <w:sz w:val="22"/>
        </w:rPr>
        <w:t>eturn on assets</w:t>
      </w:r>
      <w:r w:rsidR="00824382" w:rsidRPr="004E6412">
        <w:rPr>
          <w:i/>
          <w:sz w:val="22"/>
        </w:rPr>
        <w:t xml:space="preserve"> (</w:t>
      </w:r>
      <w:r w:rsidR="00847AD6" w:rsidRPr="004E6412">
        <w:rPr>
          <w:i/>
          <w:sz w:val="22"/>
        </w:rPr>
        <w:t>prinos</w:t>
      </w:r>
      <w:r w:rsidR="00824382" w:rsidRPr="004E6412">
        <w:rPr>
          <w:i/>
          <w:sz w:val="22"/>
        </w:rPr>
        <w:t xml:space="preserve"> na imovinu)</w:t>
      </w:r>
    </w:p>
    <w:p w:rsidR="00354CB9" w:rsidRPr="004E6412" w:rsidRDefault="00354CB9" w:rsidP="004D1219">
      <w:pPr>
        <w:rPr>
          <w:sz w:val="22"/>
        </w:rPr>
      </w:pPr>
      <w:r w:rsidRPr="004E6412">
        <w:rPr>
          <w:sz w:val="22"/>
        </w:rPr>
        <w:t>ROE</w:t>
      </w:r>
      <w:r w:rsidRPr="004E6412">
        <w:rPr>
          <w:sz w:val="22"/>
        </w:rPr>
        <w:tab/>
      </w:r>
      <w:r w:rsidRPr="004E6412">
        <w:rPr>
          <w:sz w:val="22"/>
        </w:rPr>
        <w:tab/>
      </w:r>
      <w:r w:rsidR="00783E7F" w:rsidRPr="004E6412">
        <w:rPr>
          <w:i/>
          <w:sz w:val="22"/>
        </w:rPr>
        <w:t>R</w:t>
      </w:r>
      <w:r w:rsidRPr="004E6412">
        <w:rPr>
          <w:i/>
          <w:sz w:val="22"/>
        </w:rPr>
        <w:t>eturn on equity</w:t>
      </w:r>
      <w:r w:rsidR="0039109D" w:rsidRPr="004E6412">
        <w:rPr>
          <w:i/>
          <w:sz w:val="22"/>
        </w:rPr>
        <w:t xml:space="preserve"> (</w:t>
      </w:r>
      <w:r w:rsidR="00847AD6" w:rsidRPr="004E6412">
        <w:rPr>
          <w:i/>
          <w:sz w:val="22"/>
        </w:rPr>
        <w:t>prinos na kapital</w:t>
      </w:r>
      <w:r w:rsidR="0039109D" w:rsidRPr="004E6412">
        <w:rPr>
          <w:i/>
          <w:sz w:val="22"/>
        </w:rPr>
        <w:t>)</w:t>
      </w:r>
    </w:p>
    <w:p w:rsidR="00354CB9" w:rsidRPr="004E6412" w:rsidRDefault="00354CB9" w:rsidP="004D1219">
      <w:pPr>
        <w:rPr>
          <w:sz w:val="22"/>
        </w:rPr>
      </w:pPr>
      <w:r w:rsidRPr="004E6412">
        <w:rPr>
          <w:sz w:val="22"/>
        </w:rPr>
        <w:t>ROI</w:t>
      </w:r>
      <w:r w:rsidRPr="004E6412">
        <w:rPr>
          <w:sz w:val="22"/>
        </w:rPr>
        <w:tab/>
      </w:r>
      <w:r w:rsidRPr="004E6412">
        <w:rPr>
          <w:sz w:val="22"/>
        </w:rPr>
        <w:tab/>
      </w:r>
      <w:r w:rsidR="00783E7F" w:rsidRPr="004E6412">
        <w:rPr>
          <w:i/>
          <w:sz w:val="22"/>
        </w:rPr>
        <w:t>R</w:t>
      </w:r>
      <w:r w:rsidRPr="004E6412">
        <w:rPr>
          <w:i/>
          <w:sz w:val="22"/>
        </w:rPr>
        <w:t>eturn on investments</w:t>
      </w:r>
      <w:r w:rsidR="00847AD6" w:rsidRPr="004E6412">
        <w:rPr>
          <w:i/>
          <w:sz w:val="22"/>
        </w:rPr>
        <w:t xml:space="preserve"> (prinos </w:t>
      </w:r>
      <w:r w:rsidR="0039109D" w:rsidRPr="004E6412">
        <w:rPr>
          <w:i/>
          <w:sz w:val="22"/>
        </w:rPr>
        <w:t>na investicije)</w:t>
      </w:r>
    </w:p>
    <w:p w:rsidR="00354CB9" w:rsidRPr="004E6412" w:rsidRDefault="00354CB9" w:rsidP="004D1219">
      <w:pPr>
        <w:rPr>
          <w:i/>
          <w:sz w:val="22"/>
        </w:rPr>
      </w:pPr>
      <w:r w:rsidRPr="004E6412">
        <w:rPr>
          <w:sz w:val="22"/>
        </w:rPr>
        <w:t xml:space="preserve">SAD </w:t>
      </w:r>
      <w:r w:rsidRPr="004E6412">
        <w:rPr>
          <w:sz w:val="22"/>
        </w:rPr>
        <w:tab/>
      </w:r>
      <w:r w:rsidRPr="004E6412">
        <w:rPr>
          <w:sz w:val="22"/>
        </w:rPr>
        <w:tab/>
      </w:r>
      <w:r w:rsidRPr="004E6412">
        <w:rPr>
          <w:i/>
          <w:sz w:val="22"/>
        </w:rPr>
        <w:t>Sjedinjene Američke Države</w:t>
      </w:r>
    </w:p>
    <w:p w:rsidR="00354CB9" w:rsidRPr="004E6412" w:rsidRDefault="00354CB9" w:rsidP="004D1219">
      <w:pPr>
        <w:rPr>
          <w:sz w:val="22"/>
        </w:rPr>
      </w:pPr>
      <w:r w:rsidRPr="004E6412">
        <w:rPr>
          <w:sz w:val="22"/>
        </w:rPr>
        <w:t>UK</w:t>
      </w:r>
      <w:r w:rsidRPr="004E6412">
        <w:rPr>
          <w:sz w:val="22"/>
        </w:rPr>
        <w:tab/>
      </w:r>
      <w:r w:rsidRPr="004E6412">
        <w:rPr>
          <w:sz w:val="22"/>
        </w:rPr>
        <w:tab/>
      </w:r>
      <w:r w:rsidRPr="004E6412">
        <w:rPr>
          <w:i/>
          <w:sz w:val="22"/>
        </w:rPr>
        <w:t>Ujedinjeno Kraljevstvo</w:t>
      </w:r>
    </w:p>
    <w:p w:rsidR="00A610A0" w:rsidRPr="004E6412" w:rsidRDefault="00A610A0" w:rsidP="00D94D25">
      <w:pPr>
        <w:jc w:val="left"/>
      </w:pPr>
    </w:p>
    <w:p w:rsidR="00D94D25" w:rsidRPr="004E6412" w:rsidRDefault="00D94D25" w:rsidP="00D94D25">
      <w:pPr>
        <w:spacing w:after="200"/>
        <w:jc w:val="left"/>
      </w:pPr>
    </w:p>
    <w:p w:rsidR="007A7BBB" w:rsidRPr="004E6412" w:rsidRDefault="007A7BBB">
      <w:pPr>
        <w:spacing w:after="200"/>
        <w:jc w:val="left"/>
      </w:pPr>
      <w:bookmarkStart w:id="5" w:name="_Toc366154348"/>
      <w:bookmarkStart w:id="6" w:name="_Toc366409889"/>
    </w:p>
    <w:p w:rsidR="00631249" w:rsidRPr="004E6412" w:rsidRDefault="00631249">
      <w:pPr>
        <w:spacing w:after="200"/>
        <w:jc w:val="left"/>
      </w:pPr>
    </w:p>
    <w:p w:rsidR="00631249" w:rsidRPr="004E6412" w:rsidRDefault="00631249">
      <w:pPr>
        <w:spacing w:after="200"/>
        <w:jc w:val="left"/>
      </w:pPr>
    </w:p>
    <w:p w:rsidR="00631249" w:rsidRPr="004E6412" w:rsidRDefault="00631249">
      <w:pPr>
        <w:spacing w:after="200"/>
        <w:jc w:val="left"/>
        <w:rPr>
          <w:rFonts w:eastAsia="Times New Roman"/>
          <w:color w:val="17365D"/>
          <w:spacing w:val="5"/>
          <w:kern w:val="28"/>
          <w:sz w:val="52"/>
          <w:szCs w:val="52"/>
        </w:rPr>
      </w:pPr>
    </w:p>
    <w:p w:rsidR="00D94D25" w:rsidRPr="004E6412" w:rsidRDefault="00D94D25" w:rsidP="00D94D25">
      <w:pPr>
        <w:pStyle w:val="Title"/>
        <w:rPr>
          <w:rFonts w:ascii="Times New Roman" w:hAnsi="Times New Roman"/>
        </w:rPr>
      </w:pPr>
      <w:bookmarkStart w:id="7" w:name="_Toc378069009"/>
      <w:r w:rsidRPr="004E6412">
        <w:rPr>
          <w:rFonts w:ascii="Times New Roman" w:hAnsi="Times New Roman"/>
        </w:rPr>
        <w:lastRenderedPageBreak/>
        <w:t>Popis tablica</w:t>
      </w:r>
      <w:bookmarkEnd w:id="5"/>
      <w:bookmarkEnd w:id="6"/>
      <w:bookmarkEnd w:id="7"/>
    </w:p>
    <w:p w:rsidR="00C27E82" w:rsidRPr="004E6412" w:rsidRDefault="00C27E82" w:rsidP="00C27E82">
      <w:bookmarkStart w:id="8" w:name="_Toc366154349"/>
      <w:bookmarkStart w:id="9" w:name="_Toc366409890"/>
    </w:p>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C27E82" w:rsidRPr="00BD0D35">
        <w:rPr>
          <w:b w:val="0"/>
          <w:noProof w:val="0"/>
        </w:rPr>
        <w:instrText xml:space="preserve"> TOC \h \z \t "Heading 5;1;Style1;3" </w:instrText>
      </w:r>
      <w:r w:rsidRPr="00BD0D35">
        <w:rPr>
          <w:b w:val="0"/>
          <w:noProof w:val="0"/>
        </w:rPr>
        <w:fldChar w:fldCharType="separate"/>
      </w:r>
      <w:hyperlink w:anchor="_Toc377635202" w:history="1">
        <w:r w:rsidR="00BD0D35" w:rsidRPr="00BD0D35">
          <w:rPr>
            <w:rStyle w:val="Hyperlink"/>
            <w:b w:val="0"/>
          </w:rPr>
          <w:t>Tablica 1. Prikaz analiziranih industrijskih djelatnosti i poddjelatnosti u Industrijskoj strategiji Republike Hrvatske za razdoblje 2014. – 2020.</w:t>
        </w:r>
        <w:r w:rsidR="00BD0D35" w:rsidRPr="00BD0D35">
          <w:rPr>
            <w:b w:val="0"/>
            <w:webHidden/>
          </w:rPr>
          <w:tab/>
        </w:r>
        <w:r w:rsidRPr="00BD0D35">
          <w:rPr>
            <w:b w:val="0"/>
            <w:webHidden/>
          </w:rPr>
          <w:fldChar w:fldCharType="begin"/>
        </w:r>
        <w:r w:rsidR="00BD0D35" w:rsidRPr="00BD0D35">
          <w:rPr>
            <w:b w:val="0"/>
            <w:webHidden/>
          </w:rPr>
          <w:instrText xml:space="preserve"> PAGEREF _Toc377635202 \h </w:instrText>
        </w:r>
        <w:r w:rsidRPr="00BD0D35">
          <w:rPr>
            <w:b w:val="0"/>
            <w:webHidden/>
          </w:rPr>
        </w:r>
        <w:r w:rsidRPr="00BD0D35">
          <w:rPr>
            <w:b w:val="0"/>
            <w:webHidden/>
          </w:rPr>
          <w:fldChar w:fldCharType="separate"/>
        </w:r>
        <w:r w:rsidR="00661B08">
          <w:rPr>
            <w:b w:val="0"/>
            <w:webHidden/>
          </w:rPr>
          <w:t>17</w:t>
        </w:r>
        <w:r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3" w:history="1">
        <w:r w:rsidR="00BD0D35" w:rsidRPr="00BD0D35">
          <w:rPr>
            <w:rStyle w:val="Hyperlink"/>
            <w:b w:val="0"/>
          </w:rPr>
          <w:t>Tablica 2. Izdvojeni ekonomski pokazatelji,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_Toc377635203 \h </w:instrText>
        </w:r>
        <w:r w:rsidR="00A36B38" w:rsidRPr="00BD0D35">
          <w:rPr>
            <w:b w:val="0"/>
            <w:webHidden/>
          </w:rPr>
        </w:r>
        <w:r w:rsidR="00A36B38" w:rsidRPr="00BD0D35">
          <w:rPr>
            <w:b w:val="0"/>
            <w:webHidden/>
          </w:rPr>
          <w:fldChar w:fldCharType="separate"/>
        </w:r>
        <w:r w:rsidR="00661B08">
          <w:rPr>
            <w:b w:val="0"/>
            <w:webHidden/>
          </w:rPr>
          <w:t>24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4" w:history="1">
        <w:r w:rsidR="00BD0D35" w:rsidRPr="00BD0D35">
          <w:rPr>
            <w:rStyle w:val="Hyperlink"/>
            <w:b w:val="0"/>
          </w:rPr>
          <w:t>Tablica 3. Bruto dodana vrijednost po područjima NKD-a 2007., stalne cijene u cijenama prethodne godine,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_Toc377635204 \h </w:instrText>
        </w:r>
        <w:r w:rsidR="00A36B38" w:rsidRPr="00BD0D35">
          <w:rPr>
            <w:b w:val="0"/>
            <w:webHidden/>
          </w:rPr>
        </w:r>
        <w:r w:rsidR="00A36B38" w:rsidRPr="00BD0D35">
          <w:rPr>
            <w:b w:val="0"/>
            <w:webHidden/>
          </w:rPr>
          <w:fldChar w:fldCharType="separate"/>
        </w:r>
        <w:r w:rsidR="00661B08">
          <w:rPr>
            <w:b w:val="0"/>
            <w:webHidden/>
          </w:rPr>
          <w:t>27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5" w:history="1">
        <w:r w:rsidR="00BD0D35" w:rsidRPr="00BD0D35">
          <w:rPr>
            <w:rStyle w:val="Hyperlink"/>
            <w:b w:val="0"/>
          </w:rPr>
          <w:t>Tablica 4. Međugodišnja promjena potrošačkih cijena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_Toc377635205 \h </w:instrText>
        </w:r>
        <w:r w:rsidR="00A36B38" w:rsidRPr="00BD0D35">
          <w:rPr>
            <w:b w:val="0"/>
            <w:webHidden/>
          </w:rPr>
        </w:r>
        <w:r w:rsidR="00A36B38" w:rsidRPr="00BD0D35">
          <w:rPr>
            <w:b w:val="0"/>
            <w:webHidden/>
          </w:rPr>
          <w:fldChar w:fldCharType="separate"/>
        </w:r>
        <w:r w:rsidR="00661B08">
          <w:rPr>
            <w:b w:val="0"/>
            <w:webHidden/>
          </w:rPr>
          <w:t>32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6" w:history="1">
        <w:r w:rsidR="00BD0D35" w:rsidRPr="00BD0D35">
          <w:rPr>
            <w:rStyle w:val="Hyperlink"/>
            <w:b w:val="0"/>
          </w:rPr>
          <w:t>Tablica 5. Međugodišnja promjena proizvođačkih cijena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_Toc377635206 \h </w:instrText>
        </w:r>
        <w:r w:rsidR="00A36B38" w:rsidRPr="00BD0D35">
          <w:rPr>
            <w:b w:val="0"/>
            <w:webHidden/>
          </w:rPr>
        </w:r>
        <w:r w:rsidR="00A36B38" w:rsidRPr="00BD0D35">
          <w:rPr>
            <w:b w:val="0"/>
            <w:webHidden/>
          </w:rPr>
          <w:fldChar w:fldCharType="separate"/>
        </w:r>
        <w:r w:rsidR="00661B08">
          <w:rPr>
            <w:b w:val="0"/>
            <w:webHidden/>
          </w:rPr>
          <w:t>32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7" w:history="1">
        <w:r w:rsidR="00BD0D35" w:rsidRPr="00BD0D35">
          <w:rPr>
            <w:rStyle w:val="Hyperlink"/>
            <w:b w:val="0"/>
          </w:rPr>
          <w:t>Tablica 6. Udio kredita kreditnih institucija u ukupnim kreditima kreditnih institucija,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_Toc377635207 \h </w:instrText>
        </w:r>
        <w:r w:rsidR="00A36B38" w:rsidRPr="00BD0D35">
          <w:rPr>
            <w:b w:val="0"/>
            <w:webHidden/>
          </w:rPr>
        </w:r>
        <w:r w:rsidR="00A36B38" w:rsidRPr="00BD0D35">
          <w:rPr>
            <w:b w:val="0"/>
            <w:webHidden/>
          </w:rPr>
          <w:fldChar w:fldCharType="separate"/>
        </w:r>
        <w:r w:rsidR="00661B08">
          <w:rPr>
            <w:b w:val="0"/>
            <w:webHidden/>
          </w:rPr>
          <w:t>35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8" w:history="1">
        <w:r w:rsidR="00BD0D35" w:rsidRPr="00BD0D35">
          <w:rPr>
            <w:rStyle w:val="Hyperlink"/>
            <w:b w:val="0"/>
          </w:rPr>
          <w:t>Tablica 7. Struktura radno sposobnog stanovništva,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_Toc377635208 \h </w:instrText>
        </w:r>
        <w:r w:rsidR="00A36B38" w:rsidRPr="00BD0D35">
          <w:rPr>
            <w:b w:val="0"/>
            <w:webHidden/>
          </w:rPr>
        </w:r>
        <w:r w:rsidR="00A36B38" w:rsidRPr="00BD0D35">
          <w:rPr>
            <w:b w:val="0"/>
            <w:webHidden/>
          </w:rPr>
          <w:fldChar w:fldCharType="separate"/>
        </w:r>
        <w:r w:rsidR="00661B08">
          <w:rPr>
            <w:b w:val="0"/>
            <w:webHidden/>
          </w:rPr>
          <w:t>37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09" w:history="1">
        <w:r w:rsidR="00BD0D35" w:rsidRPr="00BD0D35">
          <w:rPr>
            <w:rStyle w:val="Hyperlink"/>
            <w:b w:val="0"/>
          </w:rPr>
          <w:t>Tablica 8. Stope nezaposlenosti prema anketi o radnoj snazi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_Toc377635209 \h </w:instrText>
        </w:r>
        <w:r w:rsidR="00A36B38" w:rsidRPr="00BD0D35">
          <w:rPr>
            <w:b w:val="0"/>
            <w:webHidden/>
          </w:rPr>
        </w:r>
        <w:r w:rsidR="00A36B38" w:rsidRPr="00BD0D35">
          <w:rPr>
            <w:b w:val="0"/>
            <w:webHidden/>
          </w:rPr>
          <w:fldChar w:fldCharType="separate"/>
        </w:r>
        <w:r w:rsidR="00661B08">
          <w:rPr>
            <w:b w:val="0"/>
            <w:webHidden/>
          </w:rPr>
          <w:t>37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0" w:history="1">
        <w:r w:rsidR="00BD0D35" w:rsidRPr="00BD0D35">
          <w:rPr>
            <w:rStyle w:val="Hyperlink"/>
            <w:b w:val="0"/>
          </w:rPr>
          <w:t>Tablica 9. Ukupan izvoz i uvoz robe i usluga Republike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_Toc377635210 \h </w:instrText>
        </w:r>
        <w:r w:rsidR="00A36B38" w:rsidRPr="00BD0D35">
          <w:rPr>
            <w:b w:val="0"/>
            <w:webHidden/>
          </w:rPr>
        </w:r>
        <w:r w:rsidR="00A36B38" w:rsidRPr="00BD0D35">
          <w:rPr>
            <w:b w:val="0"/>
            <w:webHidden/>
          </w:rPr>
          <w:fldChar w:fldCharType="separate"/>
        </w:r>
        <w:r w:rsidR="00661B08">
          <w:rPr>
            <w:b w:val="0"/>
            <w:webHidden/>
          </w:rPr>
          <w:t>39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1" w:history="1">
        <w:r w:rsidR="00BD0D35" w:rsidRPr="00BD0D35">
          <w:rPr>
            <w:rStyle w:val="Hyperlink"/>
            <w:b w:val="0"/>
          </w:rPr>
          <w:t>Tablica 10. Robni izvoz i uvoz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_Toc377635211 \h </w:instrText>
        </w:r>
        <w:r w:rsidR="00A36B38" w:rsidRPr="00BD0D35">
          <w:rPr>
            <w:b w:val="0"/>
            <w:webHidden/>
          </w:rPr>
        </w:r>
        <w:r w:rsidR="00A36B38" w:rsidRPr="00BD0D35">
          <w:rPr>
            <w:b w:val="0"/>
            <w:webHidden/>
          </w:rPr>
          <w:fldChar w:fldCharType="separate"/>
        </w:r>
        <w:r w:rsidR="00661B08">
          <w:rPr>
            <w:b w:val="0"/>
            <w:webHidden/>
          </w:rPr>
          <w:t>40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2" w:history="1">
        <w:r w:rsidR="00BD0D35" w:rsidRPr="00BD0D35">
          <w:rPr>
            <w:rStyle w:val="Hyperlink"/>
            <w:b w:val="0"/>
          </w:rPr>
          <w:t>Tablica 11. Vanjskotrgovinska bilanca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_Toc377635212 \h </w:instrText>
        </w:r>
        <w:r w:rsidR="00A36B38" w:rsidRPr="00BD0D35">
          <w:rPr>
            <w:b w:val="0"/>
            <w:webHidden/>
          </w:rPr>
        </w:r>
        <w:r w:rsidR="00A36B38" w:rsidRPr="00BD0D35">
          <w:rPr>
            <w:b w:val="0"/>
            <w:webHidden/>
          </w:rPr>
          <w:fldChar w:fldCharType="separate"/>
        </w:r>
        <w:r w:rsidR="00661B08">
          <w:rPr>
            <w:b w:val="0"/>
            <w:webHidden/>
          </w:rPr>
          <w:t>40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3" w:history="1">
        <w:r w:rsidR="00BD0D35" w:rsidRPr="00BD0D35">
          <w:rPr>
            <w:rStyle w:val="Hyperlink"/>
            <w:b w:val="0"/>
          </w:rPr>
          <w:t>Tablica 12. Inozemna izravna ulaganja u Hrvatsku po djelatnostima,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_Toc377635213 \h </w:instrText>
        </w:r>
        <w:r w:rsidR="00A36B38" w:rsidRPr="00BD0D35">
          <w:rPr>
            <w:b w:val="0"/>
            <w:webHidden/>
          </w:rPr>
        </w:r>
        <w:r w:rsidR="00A36B38" w:rsidRPr="00BD0D35">
          <w:rPr>
            <w:b w:val="0"/>
            <w:webHidden/>
          </w:rPr>
          <w:fldChar w:fldCharType="separate"/>
        </w:r>
        <w:r w:rsidR="00661B08">
          <w:rPr>
            <w:b w:val="0"/>
            <w:webHidden/>
          </w:rPr>
          <w:t>41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4" w:history="1">
        <w:r w:rsidR="00BD0D35" w:rsidRPr="00BD0D35">
          <w:rPr>
            <w:rStyle w:val="Hyperlink"/>
            <w:b w:val="0"/>
          </w:rPr>
          <w:t>Tablica 13. Prosječni godišnji devizni tečaj HRK/EUR</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_Toc377635214 \h </w:instrText>
        </w:r>
        <w:r w:rsidR="00A36B38" w:rsidRPr="00BD0D35">
          <w:rPr>
            <w:b w:val="0"/>
            <w:webHidden/>
          </w:rPr>
        </w:r>
        <w:r w:rsidR="00A36B38" w:rsidRPr="00BD0D35">
          <w:rPr>
            <w:b w:val="0"/>
            <w:webHidden/>
          </w:rPr>
          <w:fldChar w:fldCharType="separate"/>
        </w:r>
        <w:r w:rsidR="00661B08">
          <w:rPr>
            <w:b w:val="0"/>
            <w:webHidden/>
          </w:rPr>
          <w:t>42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5" w:history="1">
        <w:r w:rsidR="00BD0D35" w:rsidRPr="00BD0D35">
          <w:rPr>
            <w:rStyle w:val="Hyperlink"/>
            <w:b w:val="0"/>
          </w:rPr>
          <w:t>Tablica 14. Prosječni godišnji devizni tečaj HRK/USD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_Toc377635215 \h </w:instrText>
        </w:r>
        <w:r w:rsidR="00A36B38" w:rsidRPr="00BD0D35">
          <w:rPr>
            <w:b w:val="0"/>
            <w:webHidden/>
          </w:rPr>
        </w:r>
        <w:r w:rsidR="00A36B38" w:rsidRPr="00BD0D35">
          <w:rPr>
            <w:b w:val="0"/>
            <w:webHidden/>
          </w:rPr>
          <w:fldChar w:fldCharType="separate"/>
        </w:r>
        <w:r w:rsidR="00661B08">
          <w:rPr>
            <w:b w:val="0"/>
            <w:webHidden/>
          </w:rPr>
          <w:t>42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6" w:history="1">
        <w:r w:rsidR="00BD0D35" w:rsidRPr="00BD0D35">
          <w:rPr>
            <w:rStyle w:val="Hyperlink"/>
            <w:b w:val="0"/>
          </w:rPr>
          <w:t>Tablica 15. Inozemni dug Republike Hrvatske prema sektoru dužnika, 2004. – 2012. (u milijardama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_Toc377635216 \h </w:instrText>
        </w:r>
        <w:r w:rsidR="00A36B38" w:rsidRPr="00BD0D35">
          <w:rPr>
            <w:b w:val="0"/>
            <w:webHidden/>
          </w:rPr>
        </w:r>
        <w:r w:rsidR="00A36B38" w:rsidRPr="00BD0D35">
          <w:rPr>
            <w:b w:val="0"/>
            <w:webHidden/>
          </w:rPr>
          <w:fldChar w:fldCharType="separate"/>
        </w:r>
        <w:r w:rsidR="00661B08">
          <w:rPr>
            <w:b w:val="0"/>
            <w:webHidden/>
          </w:rPr>
          <w:t>43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7" w:history="1">
        <w:r w:rsidR="00BD0D35" w:rsidRPr="00BD0D35">
          <w:rPr>
            <w:rStyle w:val="Hyperlink"/>
            <w:b w:val="0"/>
          </w:rPr>
          <w:t>Tablica 16. Distribucija stanovništva prema dobi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_Toc377635217 \h </w:instrText>
        </w:r>
        <w:r w:rsidR="00A36B38" w:rsidRPr="00BD0D35">
          <w:rPr>
            <w:b w:val="0"/>
            <w:webHidden/>
          </w:rPr>
        </w:r>
        <w:r w:rsidR="00A36B38" w:rsidRPr="00BD0D35">
          <w:rPr>
            <w:b w:val="0"/>
            <w:webHidden/>
          </w:rPr>
          <w:fldChar w:fldCharType="separate"/>
        </w:r>
        <w:r w:rsidR="00661B08">
          <w:rPr>
            <w:b w:val="0"/>
            <w:webHidden/>
          </w:rPr>
          <w:t>43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8" w:history="1">
        <w:r w:rsidR="00BD0D35" w:rsidRPr="00BD0D35">
          <w:rPr>
            <w:rStyle w:val="Hyperlink"/>
            <w:b w:val="0"/>
          </w:rPr>
          <w:t>Tablica 17. Skupine djelatnosti prema razini korištenih tehnologija i znanja prema udjelu u ukupnoj zaposlenosti i brojnosti stručnjaka i znanstvenika među zaposlenima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_Toc377635218 \h </w:instrText>
        </w:r>
        <w:r w:rsidR="00A36B38" w:rsidRPr="00BD0D35">
          <w:rPr>
            <w:b w:val="0"/>
            <w:webHidden/>
          </w:rPr>
        </w:r>
        <w:r w:rsidR="00A36B38" w:rsidRPr="00BD0D35">
          <w:rPr>
            <w:b w:val="0"/>
            <w:webHidden/>
          </w:rPr>
          <w:fldChar w:fldCharType="separate"/>
        </w:r>
        <w:r w:rsidR="00661B08">
          <w:rPr>
            <w:b w:val="0"/>
            <w:webHidden/>
          </w:rPr>
          <w:t>46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19" w:history="1">
        <w:r w:rsidR="00BD0D35" w:rsidRPr="00BD0D35">
          <w:rPr>
            <w:rStyle w:val="Hyperlink"/>
            <w:b w:val="0"/>
          </w:rPr>
          <w:t>Tablica 18. Procjena potražnje zbog zamjene umirovljenih zaposlenika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_Toc377635219 \h </w:instrText>
        </w:r>
        <w:r w:rsidR="00A36B38" w:rsidRPr="00BD0D35">
          <w:rPr>
            <w:b w:val="0"/>
            <w:webHidden/>
          </w:rPr>
        </w:r>
        <w:r w:rsidR="00A36B38" w:rsidRPr="00BD0D35">
          <w:rPr>
            <w:b w:val="0"/>
            <w:webHidden/>
          </w:rPr>
          <w:fldChar w:fldCharType="separate"/>
        </w:r>
        <w:r w:rsidR="00661B08">
          <w:rPr>
            <w:b w:val="0"/>
            <w:webHidden/>
          </w:rPr>
          <w:t>47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0" w:history="1">
        <w:r w:rsidR="00BD0D35" w:rsidRPr="00BD0D35">
          <w:rPr>
            <w:rStyle w:val="Hyperlink"/>
            <w:b w:val="0"/>
          </w:rPr>
          <w:t>Tablica 19. Zaposleni u pravnim osobama, obrtima i slobodnim zanimanjima, prema NKD-u 2007., godišnji prosjek za 2012. (administrativni izvor)</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_Toc377635220 \h </w:instrText>
        </w:r>
        <w:r w:rsidR="00A36B38" w:rsidRPr="00BD0D35">
          <w:rPr>
            <w:b w:val="0"/>
            <w:webHidden/>
          </w:rPr>
        </w:r>
        <w:r w:rsidR="00A36B38" w:rsidRPr="00BD0D35">
          <w:rPr>
            <w:b w:val="0"/>
            <w:webHidden/>
          </w:rPr>
          <w:fldChar w:fldCharType="separate"/>
        </w:r>
        <w:r w:rsidR="00661B08">
          <w:rPr>
            <w:b w:val="0"/>
            <w:webHidden/>
          </w:rPr>
          <w:t>49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1" w:history="1">
        <w:r w:rsidR="00BD0D35" w:rsidRPr="00BD0D35">
          <w:rPr>
            <w:rStyle w:val="Hyperlink"/>
            <w:b w:val="0"/>
          </w:rPr>
          <w:t>Tablica 20. Apsolutna promjena administrativnog broja zaposlenih u pravnim osobama prema NKD-u 2007., razdoblje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_Toc377635221 \h </w:instrText>
        </w:r>
        <w:r w:rsidR="00A36B38" w:rsidRPr="00BD0D35">
          <w:rPr>
            <w:b w:val="0"/>
            <w:webHidden/>
          </w:rPr>
        </w:r>
        <w:r w:rsidR="00A36B38" w:rsidRPr="00BD0D35">
          <w:rPr>
            <w:b w:val="0"/>
            <w:webHidden/>
          </w:rPr>
          <w:fldChar w:fldCharType="separate"/>
        </w:r>
        <w:r w:rsidR="00661B08">
          <w:rPr>
            <w:b w:val="0"/>
            <w:webHidden/>
          </w:rPr>
          <w:t>51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2" w:history="1">
        <w:r w:rsidR="00BD0D35" w:rsidRPr="00BD0D35">
          <w:rPr>
            <w:rStyle w:val="Hyperlink"/>
            <w:b w:val="0"/>
          </w:rPr>
          <w:t>Tablica 21. Zaposleni u pravnim osobama prema stupnju stručnog obrazovanja, stanje na dan 31.03.2011., udjeli po stupnju stručnog obrazovanja u ukupnom broju zaposlenih po području NKD-a (administrativni izvori)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_Toc377635222 \h </w:instrText>
        </w:r>
        <w:r w:rsidR="00A36B38" w:rsidRPr="00BD0D35">
          <w:rPr>
            <w:b w:val="0"/>
            <w:webHidden/>
          </w:rPr>
        </w:r>
        <w:r w:rsidR="00A36B38" w:rsidRPr="00BD0D35">
          <w:rPr>
            <w:b w:val="0"/>
            <w:webHidden/>
          </w:rPr>
          <w:fldChar w:fldCharType="separate"/>
        </w:r>
        <w:r w:rsidR="00661B08">
          <w:rPr>
            <w:b w:val="0"/>
            <w:webHidden/>
          </w:rPr>
          <w:t>52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3" w:history="1">
        <w:r w:rsidR="00BD0D35" w:rsidRPr="00BD0D35">
          <w:rPr>
            <w:rStyle w:val="Hyperlink"/>
            <w:b w:val="0"/>
          </w:rPr>
          <w:t>Tablica 22. Prosječan broj nezaposlenih osoba prema razini obrazovanja 2008. – 2012., administrativna nezaposlenost</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_Toc377635223 \h </w:instrText>
        </w:r>
        <w:r w:rsidR="00A36B38" w:rsidRPr="00BD0D35">
          <w:rPr>
            <w:b w:val="0"/>
            <w:webHidden/>
          </w:rPr>
        </w:r>
        <w:r w:rsidR="00A36B38" w:rsidRPr="00BD0D35">
          <w:rPr>
            <w:b w:val="0"/>
            <w:webHidden/>
          </w:rPr>
          <w:fldChar w:fldCharType="separate"/>
        </w:r>
        <w:r w:rsidR="00661B08">
          <w:rPr>
            <w:b w:val="0"/>
            <w:webHidden/>
          </w:rPr>
          <w:t>53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4" w:history="1">
        <w:r w:rsidR="00BD0D35" w:rsidRPr="00BD0D35">
          <w:rPr>
            <w:rStyle w:val="Hyperlink"/>
            <w:b w:val="0"/>
          </w:rPr>
          <w:t>Tablica 23. Prosječan broj nezaposlenih prema djelatnostima prethodnog zaposlenja (NKD 2007.), 2011.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_Toc377635224 \h </w:instrText>
        </w:r>
        <w:r w:rsidR="00A36B38" w:rsidRPr="00BD0D35">
          <w:rPr>
            <w:b w:val="0"/>
            <w:webHidden/>
          </w:rPr>
        </w:r>
        <w:r w:rsidR="00A36B38" w:rsidRPr="00BD0D35">
          <w:rPr>
            <w:b w:val="0"/>
            <w:webHidden/>
          </w:rPr>
          <w:fldChar w:fldCharType="separate"/>
        </w:r>
        <w:r w:rsidR="00661B08">
          <w:rPr>
            <w:b w:val="0"/>
            <w:webHidden/>
          </w:rPr>
          <w:t>54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5" w:history="1">
        <w:r w:rsidR="00BD0D35" w:rsidRPr="00BD0D35">
          <w:rPr>
            <w:rStyle w:val="Hyperlink"/>
            <w:b w:val="0"/>
          </w:rPr>
          <w:t>Tablica 24. Prijavljena slobodna radna mjesta prema područjima NKD-a (NKD 2007.),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_Toc377635225 \h </w:instrText>
        </w:r>
        <w:r w:rsidR="00A36B38" w:rsidRPr="00BD0D35">
          <w:rPr>
            <w:b w:val="0"/>
            <w:webHidden/>
          </w:rPr>
        </w:r>
        <w:r w:rsidR="00A36B38" w:rsidRPr="00BD0D35">
          <w:rPr>
            <w:b w:val="0"/>
            <w:webHidden/>
          </w:rPr>
          <w:fldChar w:fldCharType="separate"/>
        </w:r>
        <w:r w:rsidR="00661B08">
          <w:rPr>
            <w:b w:val="0"/>
            <w:webHidden/>
          </w:rPr>
          <w:t>56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6" w:history="1">
        <w:r w:rsidR="00BD0D35" w:rsidRPr="00BD0D35">
          <w:rPr>
            <w:rStyle w:val="Hyperlink"/>
            <w:b w:val="0"/>
          </w:rPr>
          <w:t>Tablica 25. Zapošljavanje prema podacima Hrvatskog zavoda za zapošljavanje na temelju radnog odnosa prema područjima NKD-a,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_Toc377635226 \h </w:instrText>
        </w:r>
        <w:r w:rsidR="00A36B38" w:rsidRPr="00BD0D35">
          <w:rPr>
            <w:b w:val="0"/>
            <w:webHidden/>
          </w:rPr>
        </w:r>
        <w:r w:rsidR="00A36B38" w:rsidRPr="00BD0D35">
          <w:rPr>
            <w:b w:val="0"/>
            <w:webHidden/>
          </w:rPr>
          <w:fldChar w:fldCharType="separate"/>
        </w:r>
        <w:r w:rsidR="00661B08">
          <w:rPr>
            <w:b w:val="0"/>
            <w:webHidden/>
          </w:rPr>
          <w:t>57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7" w:history="1">
        <w:r w:rsidR="00BD0D35" w:rsidRPr="00BD0D35">
          <w:rPr>
            <w:rStyle w:val="Hyperlink"/>
            <w:b w:val="0"/>
          </w:rPr>
          <w:t>Tablica 26. Stopa zapošljavanja prema zanimanju na razini srednjeg obrazovanja u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_Toc377635227 \h </w:instrText>
        </w:r>
        <w:r w:rsidR="00A36B38" w:rsidRPr="00BD0D35">
          <w:rPr>
            <w:b w:val="0"/>
            <w:webHidden/>
          </w:rPr>
        </w:r>
        <w:r w:rsidR="00A36B38" w:rsidRPr="00BD0D35">
          <w:rPr>
            <w:b w:val="0"/>
            <w:webHidden/>
          </w:rPr>
          <w:fldChar w:fldCharType="separate"/>
        </w:r>
        <w:r w:rsidR="00661B08">
          <w:rPr>
            <w:b w:val="0"/>
            <w:webHidden/>
          </w:rPr>
          <w:t>58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8" w:history="1">
        <w:r w:rsidR="00BD0D35" w:rsidRPr="00BD0D35">
          <w:rPr>
            <w:rStyle w:val="Hyperlink"/>
            <w:b w:val="0"/>
          </w:rPr>
          <w:t>Tablica 27. Stopa zapošljavanja prema zanimanju na razini višega ili visokoga obrazovanja u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_Toc377635228 \h </w:instrText>
        </w:r>
        <w:r w:rsidR="00A36B38" w:rsidRPr="00BD0D35">
          <w:rPr>
            <w:b w:val="0"/>
            <w:webHidden/>
          </w:rPr>
        </w:r>
        <w:r w:rsidR="00A36B38" w:rsidRPr="00BD0D35">
          <w:rPr>
            <w:b w:val="0"/>
            <w:webHidden/>
          </w:rPr>
          <w:fldChar w:fldCharType="separate"/>
        </w:r>
        <w:r w:rsidR="00661B08">
          <w:rPr>
            <w:b w:val="0"/>
            <w:webHidden/>
          </w:rPr>
          <w:t>59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29" w:history="1">
        <w:r w:rsidR="00BD0D35" w:rsidRPr="00BD0D35">
          <w:rPr>
            <w:rStyle w:val="Hyperlink"/>
            <w:b w:val="0"/>
          </w:rPr>
          <w:t>Tablica 28. Područja i mjere industrijskih politika zemalja članica Europske unije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_Toc377635229 \h </w:instrText>
        </w:r>
        <w:r w:rsidR="00A36B38" w:rsidRPr="00BD0D35">
          <w:rPr>
            <w:b w:val="0"/>
            <w:webHidden/>
          </w:rPr>
        </w:r>
        <w:r w:rsidR="00A36B38" w:rsidRPr="00BD0D35">
          <w:rPr>
            <w:b w:val="0"/>
            <w:webHidden/>
          </w:rPr>
          <w:fldChar w:fldCharType="separate"/>
        </w:r>
        <w:r w:rsidR="00661B08">
          <w:rPr>
            <w:b w:val="0"/>
            <w:webHidden/>
          </w:rPr>
          <w:t>70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0" w:history="1">
        <w:r w:rsidR="00BD0D35" w:rsidRPr="00BD0D35">
          <w:rPr>
            <w:rStyle w:val="Hyperlink"/>
            <w:b w:val="0"/>
          </w:rPr>
          <w:t>Tablica 29. Područja aktivnosti Europske komisije za poticanje konkurentnosti industrije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_Toc377635230 \h </w:instrText>
        </w:r>
        <w:r w:rsidR="00A36B38" w:rsidRPr="00BD0D35">
          <w:rPr>
            <w:b w:val="0"/>
            <w:webHidden/>
          </w:rPr>
        </w:r>
        <w:r w:rsidR="00A36B38" w:rsidRPr="00BD0D35">
          <w:rPr>
            <w:b w:val="0"/>
            <w:webHidden/>
          </w:rPr>
          <w:fldChar w:fldCharType="separate"/>
        </w:r>
        <w:r w:rsidR="00661B08">
          <w:rPr>
            <w:b w:val="0"/>
            <w:webHidden/>
          </w:rPr>
          <w:t>78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1" w:history="1">
        <w:r w:rsidR="00BD0D35" w:rsidRPr="00BD0D35">
          <w:rPr>
            <w:rStyle w:val="Hyperlink"/>
            <w:b w:val="0"/>
          </w:rPr>
          <w:t>Tablica 30. Apsolutne vrijednosti ukupnih prihoda i ukupnih rashoda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_Toc377635231 \h </w:instrText>
        </w:r>
        <w:r w:rsidR="00A36B38" w:rsidRPr="00BD0D35">
          <w:rPr>
            <w:b w:val="0"/>
            <w:webHidden/>
          </w:rPr>
        </w:r>
        <w:r w:rsidR="00A36B38" w:rsidRPr="00BD0D35">
          <w:rPr>
            <w:b w:val="0"/>
            <w:webHidden/>
          </w:rPr>
          <w:fldChar w:fldCharType="separate"/>
        </w:r>
        <w:r w:rsidR="00661B08">
          <w:rPr>
            <w:b w:val="0"/>
            <w:webHidden/>
          </w:rPr>
          <w:t>86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2" w:history="1">
        <w:r w:rsidR="00BD0D35" w:rsidRPr="00BD0D35">
          <w:rPr>
            <w:rStyle w:val="Hyperlink"/>
            <w:b w:val="0"/>
          </w:rPr>
          <w:t>Tablica 31. Analiza dobiti i gubitka nakon oporezivanja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_Toc377635232 \h </w:instrText>
        </w:r>
        <w:r w:rsidR="00A36B38" w:rsidRPr="00BD0D35">
          <w:rPr>
            <w:b w:val="0"/>
            <w:webHidden/>
          </w:rPr>
        </w:r>
        <w:r w:rsidR="00A36B38" w:rsidRPr="00BD0D35">
          <w:rPr>
            <w:b w:val="0"/>
            <w:webHidden/>
          </w:rPr>
          <w:fldChar w:fldCharType="separate"/>
        </w:r>
        <w:r w:rsidR="00661B08">
          <w:rPr>
            <w:b w:val="0"/>
            <w:webHidden/>
          </w:rPr>
          <w:t>87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3" w:history="1">
        <w:r w:rsidR="00BD0D35" w:rsidRPr="00BD0D35">
          <w:rPr>
            <w:rStyle w:val="Hyperlink"/>
            <w:b w:val="0"/>
          </w:rPr>
          <w:t>Tablica 32. Prinos na imovinu  i prinos na kapital po pojedinim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_Toc377635233 \h </w:instrText>
        </w:r>
        <w:r w:rsidR="00A36B38" w:rsidRPr="00BD0D35">
          <w:rPr>
            <w:b w:val="0"/>
            <w:webHidden/>
          </w:rPr>
        </w:r>
        <w:r w:rsidR="00A36B38" w:rsidRPr="00BD0D35">
          <w:rPr>
            <w:b w:val="0"/>
            <w:webHidden/>
          </w:rPr>
          <w:fldChar w:fldCharType="separate"/>
        </w:r>
        <w:r w:rsidR="00661B08">
          <w:rPr>
            <w:b w:val="0"/>
            <w:webHidden/>
          </w:rPr>
          <w:t>88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4" w:history="1">
        <w:r w:rsidR="00BD0D35" w:rsidRPr="00BD0D35">
          <w:rPr>
            <w:rStyle w:val="Hyperlink"/>
            <w:b w:val="0"/>
          </w:rPr>
          <w:t>Tablica 33. Operativna marža profita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_Toc377635234 \h </w:instrText>
        </w:r>
        <w:r w:rsidR="00A36B38" w:rsidRPr="00BD0D35">
          <w:rPr>
            <w:b w:val="0"/>
            <w:webHidden/>
          </w:rPr>
        </w:r>
        <w:r w:rsidR="00A36B38" w:rsidRPr="00BD0D35">
          <w:rPr>
            <w:b w:val="0"/>
            <w:webHidden/>
          </w:rPr>
          <w:fldChar w:fldCharType="separate"/>
        </w:r>
        <w:r w:rsidR="00661B08">
          <w:rPr>
            <w:b w:val="0"/>
            <w:webHidden/>
          </w:rPr>
          <w:t>89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5" w:history="1">
        <w:r w:rsidR="00BD0D35" w:rsidRPr="00BD0D35">
          <w:rPr>
            <w:rStyle w:val="Hyperlink"/>
            <w:b w:val="0"/>
          </w:rPr>
          <w:t>Tablica 34. Međugodišnje promjene proizvođačkih cijena po djelatnostima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_Toc377635235 \h </w:instrText>
        </w:r>
        <w:r w:rsidR="00A36B38" w:rsidRPr="00BD0D35">
          <w:rPr>
            <w:b w:val="0"/>
            <w:webHidden/>
          </w:rPr>
        </w:r>
        <w:r w:rsidR="00A36B38" w:rsidRPr="00BD0D35">
          <w:rPr>
            <w:b w:val="0"/>
            <w:webHidden/>
          </w:rPr>
          <w:fldChar w:fldCharType="separate"/>
        </w:r>
        <w:r w:rsidR="00661B08">
          <w:rPr>
            <w:b w:val="0"/>
            <w:webHidden/>
          </w:rPr>
          <w:t>90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6" w:history="1">
        <w:r w:rsidR="00BD0D35" w:rsidRPr="00BD0D35">
          <w:rPr>
            <w:rStyle w:val="Hyperlink"/>
            <w:b w:val="0"/>
          </w:rPr>
          <w:t>Tablica 35. Međugodišnje promjene obujma industrijske proizvodnje po djelatnostima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_Toc377635236 \h </w:instrText>
        </w:r>
        <w:r w:rsidR="00A36B38" w:rsidRPr="00BD0D35">
          <w:rPr>
            <w:b w:val="0"/>
            <w:webHidden/>
          </w:rPr>
        </w:r>
        <w:r w:rsidR="00A36B38" w:rsidRPr="00BD0D35">
          <w:rPr>
            <w:b w:val="0"/>
            <w:webHidden/>
          </w:rPr>
          <w:fldChar w:fldCharType="separate"/>
        </w:r>
        <w:r w:rsidR="00661B08">
          <w:rPr>
            <w:b w:val="0"/>
            <w:webHidden/>
          </w:rPr>
          <w:t>91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7" w:history="1">
        <w:r w:rsidR="00BD0D35" w:rsidRPr="00BD0D35">
          <w:rPr>
            <w:rStyle w:val="Hyperlink"/>
            <w:b w:val="0"/>
          </w:rPr>
          <w:t>Tablica 36. Struktura odabranih stavki rashoda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_Toc377635237 \h </w:instrText>
        </w:r>
        <w:r w:rsidR="00A36B38" w:rsidRPr="00BD0D35">
          <w:rPr>
            <w:b w:val="0"/>
            <w:webHidden/>
          </w:rPr>
        </w:r>
        <w:r w:rsidR="00A36B38" w:rsidRPr="00BD0D35">
          <w:rPr>
            <w:b w:val="0"/>
            <w:webHidden/>
          </w:rPr>
          <w:fldChar w:fldCharType="separate"/>
        </w:r>
        <w:r w:rsidR="00661B08">
          <w:rPr>
            <w:b w:val="0"/>
            <w:webHidden/>
          </w:rPr>
          <w:t>93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8" w:history="1">
        <w:r w:rsidR="00BD0D35" w:rsidRPr="00BD0D35">
          <w:rPr>
            <w:rStyle w:val="Hyperlink"/>
            <w:b w:val="0"/>
          </w:rPr>
          <w:t>Tablica 37. Kretanje broja zaposlenih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_Toc377635238 \h </w:instrText>
        </w:r>
        <w:r w:rsidR="00A36B38" w:rsidRPr="00BD0D35">
          <w:rPr>
            <w:b w:val="0"/>
            <w:webHidden/>
          </w:rPr>
        </w:r>
        <w:r w:rsidR="00A36B38" w:rsidRPr="00BD0D35">
          <w:rPr>
            <w:b w:val="0"/>
            <w:webHidden/>
          </w:rPr>
          <w:fldChar w:fldCharType="separate"/>
        </w:r>
        <w:r w:rsidR="00661B08">
          <w:rPr>
            <w:b w:val="0"/>
            <w:webHidden/>
          </w:rPr>
          <w:t>94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39" w:history="1">
        <w:r w:rsidR="00BD0D35" w:rsidRPr="00BD0D35">
          <w:rPr>
            <w:rStyle w:val="Hyperlink"/>
            <w:b w:val="0"/>
          </w:rPr>
          <w:t>Tablica 38. Obrazovna struktura zaposlenih po djelatnostima prerađivačke industrije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_Toc377635239 \h </w:instrText>
        </w:r>
        <w:r w:rsidR="00A36B38" w:rsidRPr="00BD0D35">
          <w:rPr>
            <w:b w:val="0"/>
            <w:webHidden/>
          </w:rPr>
        </w:r>
        <w:r w:rsidR="00A36B38" w:rsidRPr="00BD0D35">
          <w:rPr>
            <w:b w:val="0"/>
            <w:webHidden/>
          </w:rPr>
          <w:fldChar w:fldCharType="separate"/>
        </w:r>
        <w:r w:rsidR="00661B08">
          <w:rPr>
            <w:b w:val="0"/>
            <w:webHidden/>
          </w:rPr>
          <w:t>96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0" w:history="1">
        <w:r w:rsidR="00BD0D35" w:rsidRPr="00BD0D35">
          <w:rPr>
            <w:rStyle w:val="Hyperlink"/>
            <w:b w:val="0"/>
          </w:rPr>
          <w:t>Tablica 39. Odnos izvoza i uvoza pojedine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_Toc377635240 \h </w:instrText>
        </w:r>
        <w:r w:rsidR="00A36B38" w:rsidRPr="00BD0D35">
          <w:rPr>
            <w:b w:val="0"/>
            <w:webHidden/>
          </w:rPr>
        </w:r>
        <w:r w:rsidR="00A36B38" w:rsidRPr="00BD0D35">
          <w:rPr>
            <w:b w:val="0"/>
            <w:webHidden/>
          </w:rPr>
          <w:fldChar w:fldCharType="separate"/>
        </w:r>
        <w:r w:rsidR="00661B08">
          <w:rPr>
            <w:b w:val="0"/>
            <w:webHidden/>
          </w:rPr>
          <w:t>97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1" w:history="1">
        <w:r w:rsidR="00BD0D35" w:rsidRPr="00BD0D35">
          <w:rPr>
            <w:rStyle w:val="Hyperlink"/>
            <w:b w:val="0"/>
          </w:rPr>
          <w:t>Tablica 40. Trgovinska bilanca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_Toc377635241 \h </w:instrText>
        </w:r>
        <w:r w:rsidR="00A36B38" w:rsidRPr="00BD0D35">
          <w:rPr>
            <w:b w:val="0"/>
            <w:webHidden/>
          </w:rPr>
        </w:r>
        <w:r w:rsidR="00A36B38" w:rsidRPr="00BD0D35">
          <w:rPr>
            <w:b w:val="0"/>
            <w:webHidden/>
          </w:rPr>
          <w:fldChar w:fldCharType="separate"/>
        </w:r>
        <w:r w:rsidR="00661B08">
          <w:rPr>
            <w:b w:val="0"/>
            <w:webHidden/>
          </w:rPr>
          <w:t>98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2" w:history="1">
        <w:r w:rsidR="00BD0D35" w:rsidRPr="00BD0D35">
          <w:rPr>
            <w:rStyle w:val="Hyperlink"/>
            <w:b w:val="0"/>
          </w:rPr>
          <w:t>Tablica 41. Udio izvoza djelatnosti u ukupnim prihodima te djelatnosti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_Toc377635242 \h </w:instrText>
        </w:r>
        <w:r w:rsidR="00A36B38" w:rsidRPr="00BD0D35">
          <w:rPr>
            <w:b w:val="0"/>
            <w:webHidden/>
          </w:rPr>
        </w:r>
        <w:r w:rsidR="00A36B38" w:rsidRPr="00BD0D35">
          <w:rPr>
            <w:b w:val="0"/>
            <w:webHidden/>
          </w:rPr>
          <w:fldChar w:fldCharType="separate"/>
        </w:r>
        <w:r w:rsidR="00661B08">
          <w:rPr>
            <w:b w:val="0"/>
            <w:webHidden/>
          </w:rPr>
          <w:t>99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3" w:history="1">
        <w:r w:rsidR="00BD0D35" w:rsidRPr="00BD0D35">
          <w:rPr>
            <w:rStyle w:val="Hyperlink"/>
            <w:b w:val="0"/>
          </w:rPr>
          <w:t>Tablica 42. Udio izvoza pojedine djelatnosti u ukupnom izvozu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_Toc377635243 \h </w:instrText>
        </w:r>
        <w:r w:rsidR="00A36B38" w:rsidRPr="00BD0D35">
          <w:rPr>
            <w:b w:val="0"/>
            <w:webHidden/>
          </w:rPr>
        </w:r>
        <w:r w:rsidR="00A36B38" w:rsidRPr="00BD0D35">
          <w:rPr>
            <w:b w:val="0"/>
            <w:webHidden/>
          </w:rPr>
          <w:fldChar w:fldCharType="separate"/>
        </w:r>
        <w:r w:rsidR="00661B08">
          <w:rPr>
            <w:b w:val="0"/>
            <w:webHidden/>
          </w:rPr>
          <w:t>100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4" w:history="1">
        <w:r w:rsidR="00BD0D35" w:rsidRPr="00BD0D35">
          <w:rPr>
            <w:rStyle w:val="Hyperlink"/>
            <w:b w:val="0"/>
          </w:rPr>
          <w:t>Tablica 43. Relativne komparativne prednosti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_Toc377635244 \h </w:instrText>
        </w:r>
        <w:r w:rsidR="00A36B38" w:rsidRPr="00BD0D35">
          <w:rPr>
            <w:b w:val="0"/>
            <w:webHidden/>
          </w:rPr>
        </w:r>
        <w:r w:rsidR="00A36B38" w:rsidRPr="00BD0D35">
          <w:rPr>
            <w:b w:val="0"/>
            <w:webHidden/>
          </w:rPr>
          <w:fldChar w:fldCharType="separate"/>
        </w:r>
        <w:r w:rsidR="00661B08">
          <w:rPr>
            <w:b w:val="0"/>
            <w:webHidden/>
          </w:rPr>
          <w:t>100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5" w:history="1">
        <w:r w:rsidR="00BD0D35" w:rsidRPr="00BD0D35">
          <w:rPr>
            <w:rStyle w:val="Hyperlink"/>
            <w:b w:val="0"/>
          </w:rPr>
          <w:t>Tablica 44. Grubell-Lloydov indeks djelatnosti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_Toc377635245 \h </w:instrText>
        </w:r>
        <w:r w:rsidR="00A36B38" w:rsidRPr="00BD0D35">
          <w:rPr>
            <w:b w:val="0"/>
            <w:webHidden/>
          </w:rPr>
        </w:r>
        <w:r w:rsidR="00A36B38" w:rsidRPr="00BD0D35">
          <w:rPr>
            <w:b w:val="0"/>
            <w:webHidden/>
          </w:rPr>
          <w:fldChar w:fldCharType="separate"/>
        </w:r>
        <w:r w:rsidR="00661B08">
          <w:rPr>
            <w:b w:val="0"/>
            <w:webHidden/>
          </w:rPr>
          <w:t>101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6" w:history="1">
        <w:r w:rsidR="00BD0D35" w:rsidRPr="00BD0D35">
          <w:rPr>
            <w:rStyle w:val="Hyperlink"/>
            <w:b w:val="0"/>
          </w:rPr>
          <w:t>Tablica 45. Struktura prerađivačke industrije prema tehnološkoj intenzivnosti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_Toc377635246 \h </w:instrText>
        </w:r>
        <w:r w:rsidR="00A36B38" w:rsidRPr="00BD0D35">
          <w:rPr>
            <w:b w:val="0"/>
            <w:webHidden/>
          </w:rPr>
        </w:r>
        <w:r w:rsidR="00A36B38" w:rsidRPr="00BD0D35">
          <w:rPr>
            <w:b w:val="0"/>
            <w:webHidden/>
          </w:rPr>
          <w:fldChar w:fldCharType="separate"/>
        </w:r>
        <w:r w:rsidR="00661B08">
          <w:rPr>
            <w:b w:val="0"/>
            <w:webHidden/>
          </w:rPr>
          <w:t>105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7" w:history="1">
        <w:r w:rsidR="00BD0D35" w:rsidRPr="00BD0D35">
          <w:rPr>
            <w:rStyle w:val="Hyperlink"/>
            <w:b w:val="0"/>
          </w:rPr>
          <w:t>Tablica 46. Proizvodnost rada i kapitala u prerađivačkoj industriji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_Toc377635247 \h </w:instrText>
        </w:r>
        <w:r w:rsidR="00A36B38" w:rsidRPr="00BD0D35">
          <w:rPr>
            <w:b w:val="0"/>
            <w:webHidden/>
          </w:rPr>
        </w:r>
        <w:r w:rsidR="00A36B38" w:rsidRPr="00BD0D35">
          <w:rPr>
            <w:b w:val="0"/>
            <w:webHidden/>
          </w:rPr>
          <w:fldChar w:fldCharType="separate"/>
        </w:r>
        <w:r w:rsidR="00661B08">
          <w:rPr>
            <w:b w:val="0"/>
            <w:webHidden/>
          </w:rPr>
          <w:t>108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8" w:history="1">
        <w:r w:rsidR="00BD0D35" w:rsidRPr="00BD0D35">
          <w:rPr>
            <w:rStyle w:val="Hyperlink"/>
            <w:b w:val="0"/>
          </w:rPr>
          <w:t>Tablica 47. Opremljenost rada kapitalom</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_Toc377635248 \h </w:instrText>
        </w:r>
        <w:r w:rsidR="00A36B38" w:rsidRPr="00BD0D35">
          <w:rPr>
            <w:b w:val="0"/>
            <w:webHidden/>
          </w:rPr>
        </w:r>
        <w:r w:rsidR="00A36B38" w:rsidRPr="00BD0D35">
          <w:rPr>
            <w:b w:val="0"/>
            <w:webHidden/>
          </w:rPr>
          <w:fldChar w:fldCharType="separate"/>
        </w:r>
        <w:r w:rsidR="00661B08">
          <w:rPr>
            <w:b w:val="0"/>
            <w:webHidden/>
          </w:rPr>
          <w:t>109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49" w:history="1">
        <w:r w:rsidR="00BD0D35" w:rsidRPr="00BD0D35">
          <w:rPr>
            <w:rStyle w:val="Hyperlink"/>
            <w:b w:val="0"/>
          </w:rPr>
          <w:t>Tablica 48. Jedinični trošak rada u prerađivačkoj industriji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_Toc377635249 \h </w:instrText>
        </w:r>
        <w:r w:rsidR="00A36B38" w:rsidRPr="00BD0D35">
          <w:rPr>
            <w:b w:val="0"/>
            <w:webHidden/>
          </w:rPr>
        </w:r>
        <w:r w:rsidR="00A36B38" w:rsidRPr="00BD0D35">
          <w:rPr>
            <w:b w:val="0"/>
            <w:webHidden/>
          </w:rPr>
          <w:fldChar w:fldCharType="separate"/>
        </w:r>
        <w:r w:rsidR="00661B08">
          <w:rPr>
            <w:b w:val="0"/>
            <w:webHidden/>
          </w:rPr>
          <w:t>109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0" w:history="1">
        <w:r w:rsidR="00BD0D35" w:rsidRPr="00BD0D35">
          <w:rPr>
            <w:rStyle w:val="Hyperlink"/>
            <w:b w:val="0"/>
          </w:rPr>
          <w:t>Tablica 49. Koeficijent tekuće likvidnosti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_Toc377635250 \h </w:instrText>
        </w:r>
        <w:r w:rsidR="00A36B38" w:rsidRPr="00BD0D35">
          <w:rPr>
            <w:b w:val="0"/>
            <w:webHidden/>
          </w:rPr>
        </w:r>
        <w:r w:rsidR="00A36B38" w:rsidRPr="00BD0D35">
          <w:rPr>
            <w:b w:val="0"/>
            <w:webHidden/>
          </w:rPr>
          <w:fldChar w:fldCharType="separate"/>
        </w:r>
        <w:r w:rsidR="00661B08">
          <w:rPr>
            <w:b w:val="0"/>
            <w:webHidden/>
          </w:rPr>
          <w:t>111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1" w:history="1">
        <w:r w:rsidR="00BD0D35" w:rsidRPr="00BD0D35">
          <w:rPr>
            <w:rStyle w:val="Hyperlink"/>
            <w:b w:val="0"/>
          </w:rPr>
          <w:t>Tablica 50. Koeficijent zaduženosti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_Toc377635251 \h </w:instrText>
        </w:r>
        <w:r w:rsidR="00A36B38" w:rsidRPr="00BD0D35">
          <w:rPr>
            <w:b w:val="0"/>
            <w:webHidden/>
          </w:rPr>
        </w:r>
        <w:r w:rsidR="00A36B38" w:rsidRPr="00BD0D35">
          <w:rPr>
            <w:b w:val="0"/>
            <w:webHidden/>
          </w:rPr>
          <w:fldChar w:fldCharType="separate"/>
        </w:r>
        <w:r w:rsidR="00661B08">
          <w:rPr>
            <w:b w:val="0"/>
            <w:webHidden/>
          </w:rPr>
          <w:t>112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2" w:history="1">
        <w:r w:rsidR="00BD0D35" w:rsidRPr="00BD0D35">
          <w:rPr>
            <w:rStyle w:val="Hyperlink"/>
            <w:b w:val="0"/>
          </w:rPr>
          <w:t>Tablica 51. Pokriće troškova kamata operativnom zaradom po djelatnostima prerađivačke industrije 2010.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_Toc377635252 \h </w:instrText>
        </w:r>
        <w:r w:rsidR="00A36B38" w:rsidRPr="00BD0D35">
          <w:rPr>
            <w:b w:val="0"/>
            <w:webHidden/>
          </w:rPr>
        </w:r>
        <w:r w:rsidR="00A36B38" w:rsidRPr="00BD0D35">
          <w:rPr>
            <w:b w:val="0"/>
            <w:webHidden/>
          </w:rPr>
          <w:fldChar w:fldCharType="separate"/>
        </w:r>
        <w:r w:rsidR="00661B08">
          <w:rPr>
            <w:b w:val="0"/>
            <w:webHidden/>
          </w:rPr>
          <w:t>113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3" w:history="1">
        <w:r w:rsidR="00BD0D35" w:rsidRPr="00BD0D35">
          <w:rPr>
            <w:rStyle w:val="Hyperlink"/>
            <w:b w:val="0"/>
          </w:rPr>
          <w:t>Tablica 52. Bruto dodane vrijednosti djelatnosti prerađivačke industrije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_Toc377635253 \h </w:instrText>
        </w:r>
        <w:r w:rsidR="00A36B38" w:rsidRPr="00BD0D35">
          <w:rPr>
            <w:b w:val="0"/>
            <w:webHidden/>
          </w:rPr>
        </w:r>
        <w:r w:rsidR="00A36B38" w:rsidRPr="00BD0D35">
          <w:rPr>
            <w:b w:val="0"/>
            <w:webHidden/>
          </w:rPr>
          <w:fldChar w:fldCharType="separate"/>
        </w:r>
        <w:r w:rsidR="00661B08">
          <w:rPr>
            <w:b w:val="0"/>
            <w:webHidden/>
          </w:rPr>
          <w:t>115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4" w:history="1">
        <w:r w:rsidR="00BD0D35" w:rsidRPr="00BD0D35">
          <w:rPr>
            <w:rStyle w:val="Hyperlink"/>
            <w:b w:val="0"/>
          </w:rPr>
          <w:t>Tablica 53. Udio bruto dodane vrijednosti djelatnosti u bruto dodanoj vrijednosti prerađivačke industrije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_Toc377635254 \h </w:instrText>
        </w:r>
        <w:r w:rsidR="00A36B38" w:rsidRPr="00BD0D35">
          <w:rPr>
            <w:b w:val="0"/>
            <w:webHidden/>
          </w:rPr>
        </w:r>
        <w:r w:rsidR="00A36B38" w:rsidRPr="00BD0D35">
          <w:rPr>
            <w:b w:val="0"/>
            <w:webHidden/>
          </w:rPr>
          <w:fldChar w:fldCharType="separate"/>
        </w:r>
        <w:r w:rsidR="00661B08">
          <w:rPr>
            <w:b w:val="0"/>
            <w:webHidden/>
          </w:rPr>
          <w:t>116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5" w:history="1">
        <w:r w:rsidR="00BD0D35" w:rsidRPr="00BD0D35">
          <w:rPr>
            <w:rStyle w:val="Hyperlink"/>
            <w:b w:val="0"/>
          </w:rPr>
          <w:t>Tablica 54. Udio bruto dodane vrijednosti prerađivačke industrije u bruto domaćem proizvodu EU27 zemalja i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_Toc377635255 \h </w:instrText>
        </w:r>
        <w:r w:rsidR="00A36B38" w:rsidRPr="00BD0D35">
          <w:rPr>
            <w:b w:val="0"/>
            <w:webHidden/>
          </w:rPr>
        </w:r>
        <w:r w:rsidR="00A36B38" w:rsidRPr="00BD0D35">
          <w:rPr>
            <w:b w:val="0"/>
            <w:webHidden/>
          </w:rPr>
          <w:fldChar w:fldCharType="separate"/>
        </w:r>
        <w:r w:rsidR="00661B08">
          <w:rPr>
            <w:b w:val="0"/>
            <w:webHidden/>
          </w:rPr>
          <w:t>118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6" w:history="1">
        <w:r w:rsidR="00BD0D35" w:rsidRPr="00BD0D35">
          <w:rPr>
            <w:rStyle w:val="Hyperlink"/>
            <w:b w:val="0"/>
          </w:rPr>
          <w:t>Tablica 55. Struktura prerađivačke industrije prema veličini poduzeća i odabranim pokazateljima poslovanja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_Toc377635256 \h </w:instrText>
        </w:r>
        <w:r w:rsidR="00A36B38" w:rsidRPr="00BD0D35">
          <w:rPr>
            <w:b w:val="0"/>
            <w:webHidden/>
          </w:rPr>
        </w:r>
        <w:r w:rsidR="00A36B38" w:rsidRPr="00BD0D35">
          <w:rPr>
            <w:b w:val="0"/>
            <w:webHidden/>
          </w:rPr>
          <w:fldChar w:fldCharType="separate"/>
        </w:r>
        <w:r w:rsidR="00661B08">
          <w:rPr>
            <w:b w:val="0"/>
            <w:webHidden/>
          </w:rPr>
          <w:t>121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7" w:history="1">
        <w:r w:rsidR="00BD0D35" w:rsidRPr="00BD0D35">
          <w:rPr>
            <w:rStyle w:val="Hyperlink"/>
            <w:b w:val="0"/>
          </w:rPr>
          <w:t>Tablica 56. Struktura djelatnosti prema veličini poduzeća i odabranim pokazateljima poslovanja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_Toc377635257 \h </w:instrText>
        </w:r>
        <w:r w:rsidR="00A36B38" w:rsidRPr="00BD0D35">
          <w:rPr>
            <w:b w:val="0"/>
            <w:webHidden/>
          </w:rPr>
        </w:r>
        <w:r w:rsidR="00A36B38" w:rsidRPr="00BD0D35">
          <w:rPr>
            <w:b w:val="0"/>
            <w:webHidden/>
          </w:rPr>
          <w:fldChar w:fldCharType="separate"/>
        </w:r>
        <w:r w:rsidR="00661B08">
          <w:rPr>
            <w:b w:val="0"/>
            <w:webHidden/>
          </w:rPr>
          <w:t>125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8" w:history="1">
        <w:r w:rsidR="00BD0D35" w:rsidRPr="00BD0D35">
          <w:rPr>
            <w:rStyle w:val="Hyperlink"/>
            <w:b w:val="0"/>
          </w:rPr>
          <w:t>Tablica 57. Usporedba odabranih pokazatelja poslovanja pojedinih djelatnosti i razreda djelatnosti prerađivačke industrije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_Toc377635258 \h </w:instrText>
        </w:r>
        <w:r w:rsidR="00A36B38" w:rsidRPr="00BD0D35">
          <w:rPr>
            <w:b w:val="0"/>
            <w:webHidden/>
          </w:rPr>
        </w:r>
        <w:r w:rsidR="00A36B38" w:rsidRPr="00BD0D35">
          <w:rPr>
            <w:b w:val="0"/>
            <w:webHidden/>
          </w:rPr>
          <w:fldChar w:fldCharType="separate"/>
        </w:r>
        <w:r w:rsidR="00661B08">
          <w:rPr>
            <w:b w:val="0"/>
            <w:webHidden/>
          </w:rPr>
          <w:t>128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59" w:history="1">
        <w:r w:rsidR="00BD0D35" w:rsidRPr="00BD0D35">
          <w:rPr>
            <w:rStyle w:val="Hyperlink"/>
            <w:b w:val="0"/>
          </w:rPr>
          <w:t>Tablica 58. Kvantitativni pokazatelji (C10)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_Toc377635259 \h </w:instrText>
        </w:r>
        <w:r w:rsidR="00A36B38" w:rsidRPr="00BD0D35">
          <w:rPr>
            <w:b w:val="0"/>
            <w:webHidden/>
          </w:rPr>
        </w:r>
        <w:r w:rsidR="00A36B38" w:rsidRPr="00BD0D35">
          <w:rPr>
            <w:b w:val="0"/>
            <w:webHidden/>
          </w:rPr>
          <w:fldChar w:fldCharType="separate"/>
        </w:r>
        <w:r w:rsidR="00661B08">
          <w:rPr>
            <w:b w:val="0"/>
            <w:webHidden/>
          </w:rPr>
          <w:t>138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0" w:history="1">
        <w:r w:rsidR="00BD0D35" w:rsidRPr="00BD0D35">
          <w:rPr>
            <w:rStyle w:val="Hyperlink"/>
            <w:b w:val="0"/>
          </w:rPr>
          <w:t>Tablica 59. Kvalitativni pokazatelji (C10)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_Toc377635260 \h </w:instrText>
        </w:r>
        <w:r w:rsidR="00A36B38" w:rsidRPr="00BD0D35">
          <w:rPr>
            <w:b w:val="0"/>
            <w:webHidden/>
          </w:rPr>
        </w:r>
        <w:r w:rsidR="00A36B38" w:rsidRPr="00BD0D35">
          <w:rPr>
            <w:b w:val="0"/>
            <w:webHidden/>
          </w:rPr>
          <w:fldChar w:fldCharType="separate"/>
        </w:r>
        <w:r w:rsidR="00661B08">
          <w:rPr>
            <w:b w:val="0"/>
            <w:webHidden/>
          </w:rPr>
          <w:t>139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1" w:history="1">
        <w:r w:rsidR="00BD0D35" w:rsidRPr="00BD0D35">
          <w:rPr>
            <w:rStyle w:val="Hyperlink"/>
            <w:b w:val="0"/>
          </w:rPr>
          <w:t>Tablica 60. Kvantitativni pokazatelji (C11)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_Toc377635261 \h </w:instrText>
        </w:r>
        <w:r w:rsidR="00A36B38" w:rsidRPr="00BD0D35">
          <w:rPr>
            <w:b w:val="0"/>
            <w:webHidden/>
          </w:rPr>
        </w:r>
        <w:r w:rsidR="00A36B38" w:rsidRPr="00BD0D35">
          <w:rPr>
            <w:b w:val="0"/>
            <w:webHidden/>
          </w:rPr>
          <w:fldChar w:fldCharType="separate"/>
        </w:r>
        <w:r w:rsidR="00661B08">
          <w:rPr>
            <w:b w:val="0"/>
            <w:webHidden/>
          </w:rPr>
          <w:t>143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2" w:history="1">
        <w:r w:rsidR="00BD0D35" w:rsidRPr="00BD0D35">
          <w:rPr>
            <w:rStyle w:val="Hyperlink"/>
            <w:b w:val="0"/>
          </w:rPr>
          <w:t>Tablica 61. Kvalitativni pokazatelji (C11)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_Toc377635262 \h </w:instrText>
        </w:r>
        <w:r w:rsidR="00A36B38" w:rsidRPr="00BD0D35">
          <w:rPr>
            <w:b w:val="0"/>
            <w:webHidden/>
          </w:rPr>
        </w:r>
        <w:r w:rsidR="00A36B38" w:rsidRPr="00BD0D35">
          <w:rPr>
            <w:b w:val="0"/>
            <w:webHidden/>
          </w:rPr>
          <w:fldChar w:fldCharType="separate"/>
        </w:r>
        <w:r w:rsidR="00661B08">
          <w:rPr>
            <w:b w:val="0"/>
            <w:webHidden/>
          </w:rPr>
          <w:t>144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3" w:history="1">
        <w:r w:rsidR="00BD0D35" w:rsidRPr="00BD0D35">
          <w:rPr>
            <w:rStyle w:val="Hyperlink"/>
            <w:b w:val="0"/>
          </w:rPr>
          <w:t>Tablica 62. Kvantitativni pokazatelji (C13)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_Toc377635263 \h </w:instrText>
        </w:r>
        <w:r w:rsidR="00A36B38" w:rsidRPr="00BD0D35">
          <w:rPr>
            <w:b w:val="0"/>
            <w:webHidden/>
          </w:rPr>
        </w:r>
        <w:r w:rsidR="00A36B38" w:rsidRPr="00BD0D35">
          <w:rPr>
            <w:b w:val="0"/>
            <w:webHidden/>
          </w:rPr>
          <w:fldChar w:fldCharType="separate"/>
        </w:r>
        <w:r w:rsidR="00661B08">
          <w:rPr>
            <w:b w:val="0"/>
            <w:webHidden/>
          </w:rPr>
          <w:t>149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4" w:history="1">
        <w:r w:rsidR="00BD0D35" w:rsidRPr="00BD0D35">
          <w:rPr>
            <w:rStyle w:val="Hyperlink"/>
            <w:b w:val="0"/>
          </w:rPr>
          <w:t>Tablica 63. Kvalitativni pokazatelji (C13)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_Toc377635264 \h </w:instrText>
        </w:r>
        <w:r w:rsidR="00A36B38" w:rsidRPr="00BD0D35">
          <w:rPr>
            <w:b w:val="0"/>
            <w:webHidden/>
          </w:rPr>
        </w:r>
        <w:r w:rsidR="00A36B38" w:rsidRPr="00BD0D35">
          <w:rPr>
            <w:b w:val="0"/>
            <w:webHidden/>
          </w:rPr>
          <w:fldChar w:fldCharType="separate"/>
        </w:r>
        <w:r w:rsidR="00661B08">
          <w:rPr>
            <w:b w:val="0"/>
            <w:webHidden/>
          </w:rPr>
          <w:t>150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5" w:history="1">
        <w:r w:rsidR="00BD0D35" w:rsidRPr="00BD0D35">
          <w:rPr>
            <w:rStyle w:val="Hyperlink"/>
            <w:b w:val="0"/>
          </w:rPr>
          <w:t>Tablica 64. Kvantitativni pokazatelji (C14)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_Toc377635265 \h </w:instrText>
        </w:r>
        <w:r w:rsidR="00A36B38" w:rsidRPr="00BD0D35">
          <w:rPr>
            <w:b w:val="0"/>
            <w:webHidden/>
          </w:rPr>
        </w:r>
        <w:r w:rsidR="00A36B38" w:rsidRPr="00BD0D35">
          <w:rPr>
            <w:b w:val="0"/>
            <w:webHidden/>
          </w:rPr>
          <w:fldChar w:fldCharType="separate"/>
        </w:r>
        <w:r w:rsidR="00661B08">
          <w:rPr>
            <w:b w:val="0"/>
            <w:webHidden/>
          </w:rPr>
          <w:t>155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6" w:history="1">
        <w:r w:rsidR="00BD0D35" w:rsidRPr="00BD0D35">
          <w:rPr>
            <w:rStyle w:val="Hyperlink"/>
            <w:b w:val="0"/>
          </w:rPr>
          <w:t>Tablica 65. Kvalitativni pokazatelji (C14)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_Toc377635266 \h </w:instrText>
        </w:r>
        <w:r w:rsidR="00A36B38" w:rsidRPr="00BD0D35">
          <w:rPr>
            <w:b w:val="0"/>
            <w:webHidden/>
          </w:rPr>
        </w:r>
        <w:r w:rsidR="00A36B38" w:rsidRPr="00BD0D35">
          <w:rPr>
            <w:b w:val="0"/>
            <w:webHidden/>
          </w:rPr>
          <w:fldChar w:fldCharType="separate"/>
        </w:r>
        <w:r w:rsidR="00661B08">
          <w:rPr>
            <w:b w:val="0"/>
            <w:webHidden/>
          </w:rPr>
          <w:t>156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7" w:history="1">
        <w:r w:rsidR="00BD0D35" w:rsidRPr="00BD0D35">
          <w:rPr>
            <w:rStyle w:val="Hyperlink"/>
            <w:b w:val="0"/>
          </w:rPr>
          <w:t>Tablica 66. Kvantitativni pokazatelji (C15)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_Toc377635267 \h </w:instrText>
        </w:r>
        <w:r w:rsidR="00A36B38" w:rsidRPr="00BD0D35">
          <w:rPr>
            <w:b w:val="0"/>
            <w:webHidden/>
          </w:rPr>
        </w:r>
        <w:r w:rsidR="00A36B38" w:rsidRPr="00BD0D35">
          <w:rPr>
            <w:b w:val="0"/>
            <w:webHidden/>
          </w:rPr>
          <w:fldChar w:fldCharType="separate"/>
        </w:r>
        <w:r w:rsidR="00661B08">
          <w:rPr>
            <w:b w:val="0"/>
            <w:webHidden/>
          </w:rPr>
          <w:t>161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8" w:history="1">
        <w:r w:rsidR="00BD0D35" w:rsidRPr="00BD0D35">
          <w:rPr>
            <w:rStyle w:val="Hyperlink"/>
            <w:b w:val="0"/>
          </w:rPr>
          <w:t>Tablica 67. Kvalitativni pokazatelji (C15)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_Toc377635268 \h </w:instrText>
        </w:r>
        <w:r w:rsidR="00A36B38" w:rsidRPr="00BD0D35">
          <w:rPr>
            <w:b w:val="0"/>
            <w:webHidden/>
          </w:rPr>
        </w:r>
        <w:r w:rsidR="00A36B38" w:rsidRPr="00BD0D35">
          <w:rPr>
            <w:b w:val="0"/>
            <w:webHidden/>
          </w:rPr>
          <w:fldChar w:fldCharType="separate"/>
        </w:r>
        <w:r w:rsidR="00661B08">
          <w:rPr>
            <w:b w:val="0"/>
            <w:webHidden/>
          </w:rPr>
          <w:t>162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69" w:history="1">
        <w:r w:rsidR="00BD0D35" w:rsidRPr="00BD0D35">
          <w:rPr>
            <w:rStyle w:val="Hyperlink"/>
            <w:b w:val="0"/>
          </w:rPr>
          <w:t>Tablica 68. Kvantitativni pokazatelji (C16)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_Toc377635269 \h </w:instrText>
        </w:r>
        <w:r w:rsidR="00A36B38" w:rsidRPr="00BD0D35">
          <w:rPr>
            <w:b w:val="0"/>
            <w:webHidden/>
          </w:rPr>
        </w:r>
        <w:r w:rsidR="00A36B38" w:rsidRPr="00BD0D35">
          <w:rPr>
            <w:b w:val="0"/>
            <w:webHidden/>
          </w:rPr>
          <w:fldChar w:fldCharType="separate"/>
        </w:r>
        <w:r w:rsidR="00661B08">
          <w:rPr>
            <w:b w:val="0"/>
            <w:webHidden/>
          </w:rPr>
          <w:t>167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0" w:history="1">
        <w:r w:rsidR="00BD0D35" w:rsidRPr="00BD0D35">
          <w:rPr>
            <w:rStyle w:val="Hyperlink"/>
            <w:b w:val="0"/>
          </w:rPr>
          <w:t>Tablica 69. Kvalitativni pokazatelji (C16)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_Toc377635270 \h </w:instrText>
        </w:r>
        <w:r w:rsidR="00A36B38" w:rsidRPr="00BD0D35">
          <w:rPr>
            <w:b w:val="0"/>
            <w:webHidden/>
          </w:rPr>
        </w:r>
        <w:r w:rsidR="00A36B38" w:rsidRPr="00BD0D35">
          <w:rPr>
            <w:b w:val="0"/>
            <w:webHidden/>
          </w:rPr>
          <w:fldChar w:fldCharType="separate"/>
        </w:r>
        <w:r w:rsidR="00661B08">
          <w:rPr>
            <w:b w:val="0"/>
            <w:webHidden/>
          </w:rPr>
          <w:t>168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1" w:history="1">
        <w:r w:rsidR="00BD0D35" w:rsidRPr="00BD0D35">
          <w:rPr>
            <w:rStyle w:val="Hyperlink"/>
            <w:b w:val="0"/>
          </w:rPr>
          <w:t>Tablica 70. Kvantitativni pokazatelji (C17)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_Toc377635271 \h </w:instrText>
        </w:r>
        <w:r w:rsidR="00A36B38" w:rsidRPr="00BD0D35">
          <w:rPr>
            <w:b w:val="0"/>
            <w:webHidden/>
          </w:rPr>
        </w:r>
        <w:r w:rsidR="00A36B38" w:rsidRPr="00BD0D35">
          <w:rPr>
            <w:b w:val="0"/>
            <w:webHidden/>
          </w:rPr>
          <w:fldChar w:fldCharType="separate"/>
        </w:r>
        <w:r w:rsidR="00661B08">
          <w:rPr>
            <w:b w:val="0"/>
            <w:webHidden/>
          </w:rPr>
          <w:t>172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2" w:history="1">
        <w:r w:rsidR="00BD0D35" w:rsidRPr="00BD0D35">
          <w:rPr>
            <w:rStyle w:val="Hyperlink"/>
            <w:b w:val="0"/>
          </w:rPr>
          <w:t>Tablica 71. Kvalitativni pokazatelji (C17)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_Toc377635272 \h </w:instrText>
        </w:r>
        <w:r w:rsidR="00A36B38" w:rsidRPr="00BD0D35">
          <w:rPr>
            <w:b w:val="0"/>
            <w:webHidden/>
          </w:rPr>
        </w:r>
        <w:r w:rsidR="00A36B38" w:rsidRPr="00BD0D35">
          <w:rPr>
            <w:b w:val="0"/>
            <w:webHidden/>
          </w:rPr>
          <w:fldChar w:fldCharType="separate"/>
        </w:r>
        <w:r w:rsidR="00661B08">
          <w:rPr>
            <w:b w:val="0"/>
            <w:webHidden/>
          </w:rPr>
          <w:t>172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3" w:history="1">
        <w:r w:rsidR="00BD0D35" w:rsidRPr="00BD0D35">
          <w:rPr>
            <w:rStyle w:val="Hyperlink"/>
            <w:b w:val="0"/>
          </w:rPr>
          <w:t>Tablica 72. Kvantitativni pokazatelji (C18)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_Toc377635273 \h </w:instrText>
        </w:r>
        <w:r w:rsidR="00A36B38" w:rsidRPr="00BD0D35">
          <w:rPr>
            <w:b w:val="0"/>
            <w:webHidden/>
          </w:rPr>
        </w:r>
        <w:r w:rsidR="00A36B38" w:rsidRPr="00BD0D35">
          <w:rPr>
            <w:b w:val="0"/>
            <w:webHidden/>
          </w:rPr>
          <w:fldChar w:fldCharType="separate"/>
        </w:r>
        <w:r w:rsidR="00661B08">
          <w:rPr>
            <w:b w:val="0"/>
            <w:webHidden/>
          </w:rPr>
          <w:t>177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4" w:history="1">
        <w:r w:rsidR="00BD0D35" w:rsidRPr="00BD0D35">
          <w:rPr>
            <w:rStyle w:val="Hyperlink"/>
            <w:b w:val="0"/>
          </w:rPr>
          <w:t>Tablica 73. Kvalitativni pokazatelji (C18)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_Toc377635274 \h </w:instrText>
        </w:r>
        <w:r w:rsidR="00A36B38" w:rsidRPr="00BD0D35">
          <w:rPr>
            <w:b w:val="0"/>
            <w:webHidden/>
          </w:rPr>
        </w:r>
        <w:r w:rsidR="00A36B38" w:rsidRPr="00BD0D35">
          <w:rPr>
            <w:b w:val="0"/>
            <w:webHidden/>
          </w:rPr>
          <w:fldChar w:fldCharType="separate"/>
        </w:r>
        <w:r w:rsidR="00661B08">
          <w:rPr>
            <w:b w:val="0"/>
            <w:webHidden/>
          </w:rPr>
          <w:t>178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5" w:history="1">
        <w:r w:rsidR="00BD0D35" w:rsidRPr="00BD0D35">
          <w:rPr>
            <w:rStyle w:val="Hyperlink"/>
            <w:b w:val="0"/>
          </w:rPr>
          <w:t>Tablica 74. Kvantitativni pokazatelji (C19)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_Toc377635275 \h </w:instrText>
        </w:r>
        <w:r w:rsidR="00A36B38" w:rsidRPr="00BD0D35">
          <w:rPr>
            <w:b w:val="0"/>
            <w:webHidden/>
          </w:rPr>
        </w:r>
        <w:r w:rsidR="00A36B38" w:rsidRPr="00BD0D35">
          <w:rPr>
            <w:b w:val="0"/>
            <w:webHidden/>
          </w:rPr>
          <w:fldChar w:fldCharType="separate"/>
        </w:r>
        <w:r w:rsidR="00661B08">
          <w:rPr>
            <w:b w:val="0"/>
            <w:webHidden/>
          </w:rPr>
          <w:t>183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6" w:history="1">
        <w:r w:rsidR="00BD0D35" w:rsidRPr="00BD0D35">
          <w:rPr>
            <w:rStyle w:val="Hyperlink"/>
            <w:b w:val="0"/>
          </w:rPr>
          <w:t>Tablica 75. Kvalitativni pokazatelji (C19)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_Toc377635276 \h </w:instrText>
        </w:r>
        <w:r w:rsidR="00A36B38" w:rsidRPr="00BD0D35">
          <w:rPr>
            <w:b w:val="0"/>
            <w:webHidden/>
          </w:rPr>
        </w:r>
        <w:r w:rsidR="00A36B38" w:rsidRPr="00BD0D35">
          <w:rPr>
            <w:b w:val="0"/>
            <w:webHidden/>
          </w:rPr>
          <w:fldChar w:fldCharType="separate"/>
        </w:r>
        <w:r w:rsidR="00661B08">
          <w:rPr>
            <w:b w:val="0"/>
            <w:webHidden/>
          </w:rPr>
          <w:t>184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7" w:history="1">
        <w:r w:rsidR="00BD0D35" w:rsidRPr="00BD0D35">
          <w:rPr>
            <w:rStyle w:val="Hyperlink"/>
            <w:b w:val="0"/>
          </w:rPr>
          <w:t>Tablica 76. Kvantitativni pokazatelji (C20)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_Toc377635277 \h </w:instrText>
        </w:r>
        <w:r w:rsidR="00A36B38" w:rsidRPr="00BD0D35">
          <w:rPr>
            <w:b w:val="0"/>
            <w:webHidden/>
          </w:rPr>
        </w:r>
        <w:r w:rsidR="00A36B38" w:rsidRPr="00BD0D35">
          <w:rPr>
            <w:b w:val="0"/>
            <w:webHidden/>
          </w:rPr>
          <w:fldChar w:fldCharType="separate"/>
        </w:r>
        <w:r w:rsidR="00661B08">
          <w:rPr>
            <w:b w:val="0"/>
            <w:webHidden/>
          </w:rPr>
          <w:t>191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8" w:history="1">
        <w:r w:rsidR="00BD0D35" w:rsidRPr="00BD0D35">
          <w:rPr>
            <w:rStyle w:val="Hyperlink"/>
            <w:b w:val="0"/>
          </w:rPr>
          <w:t>Tablica 77. Kvalitativni pokazatelji (C20)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_Toc377635278 \h </w:instrText>
        </w:r>
        <w:r w:rsidR="00A36B38" w:rsidRPr="00BD0D35">
          <w:rPr>
            <w:b w:val="0"/>
            <w:webHidden/>
          </w:rPr>
        </w:r>
        <w:r w:rsidR="00A36B38" w:rsidRPr="00BD0D35">
          <w:rPr>
            <w:b w:val="0"/>
            <w:webHidden/>
          </w:rPr>
          <w:fldChar w:fldCharType="separate"/>
        </w:r>
        <w:r w:rsidR="00661B08">
          <w:rPr>
            <w:b w:val="0"/>
            <w:webHidden/>
          </w:rPr>
          <w:t>192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79" w:history="1">
        <w:r w:rsidR="00BD0D35" w:rsidRPr="00BD0D35">
          <w:rPr>
            <w:rStyle w:val="Hyperlink"/>
            <w:b w:val="0"/>
          </w:rPr>
          <w:t>Tablica 78. Kvantitativni pokazatelji (C21)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_Toc377635279 \h </w:instrText>
        </w:r>
        <w:r w:rsidR="00A36B38" w:rsidRPr="00BD0D35">
          <w:rPr>
            <w:b w:val="0"/>
            <w:webHidden/>
          </w:rPr>
        </w:r>
        <w:r w:rsidR="00A36B38" w:rsidRPr="00BD0D35">
          <w:rPr>
            <w:b w:val="0"/>
            <w:webHidden/>
          </w:rPr>
          <w:fldChar w:fldCharType="separate"/>
        </w:r>
        <w:r w:rsidR="00661B08">
          <w:rPr>
            <w:b w:val="0"/>
            <w:webHidden/>
          </w:rPr>
          <w:t>198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0" w:history="1">
        <w:r w:rsidR="00BD0D35" w:rsidRPr="00BD0D35">
          <w:rPr>
            <w:rStyle w:val="Hyperlink"/>
            <w:b w:val="0"/>
          </w:rPr>
          <w:t>Tablica 79. Kvalitativni pokazatelji (C21)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_Toc377635280 \h </w:instrText>
        </w:r>
        <w:r w:rsidR="00A36B38" w:rsidRPr="00BD0D35">
          <w:rPr>
            <w:b w:val="0"/>
            <w:webHidden/>
          </w:rPr>
        </w:r>
        <w:r w:rsidR="00A36B38" w:rsidRPr="00BD0D35">
          <w:rPr>
            <w:b w:val="0"/>
            <w:webHidden/>
          </w:rPr>
          <w:fldChar w:fldCharType="separate"/>
        </w:r>
        <w:r w:rsidR="00661B08">
          <w:rPr>
            <w:b w:val="0"/>
            <w:webHidden/>
          </w:rPr>
          <w:t>199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1" w:history="1">
        <w:r w:rsidR="00BD0D35" w:rsidRPr="00BD0D35">
          <w:rPr>
            <w:rStyle w:val="Hyperlink"/>
            <w:b w:val="0"/>
          </w:rPr>
          <w:t>Tablica 80. Kvantitativni pokazatelji (C22)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_Toc377635281 \h </w:instrText>
        </w:r>
        <w:r w:rsidR="00A36B38" w:rsidRPr="00BD0D35">
          <w:rPr>
            <w:b w:val="0"/>
            <w:webHidden/>
          </w:rPr>
        </w:r>
        <w:r w:rsidR="00A36B38" w:rsidRPr="00BD0D35">
          <w:rPr>
            <w:b w:val="0"/>
            <w:webHidden/>
          </w:rPr>
          <w:fldChar w:fldCharType="separate"/>
        </w:r>
        <w:r w:rsidR="00661B08">
          <w:rPr>
            <w:b w:val="0"/>
            <w:webHidden/>
          </w:rPr>
          <w:t>205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2" w:history="1">
        <w:r w:rsidR="00BD0D35" w:rsidRPr="00BD0D35">
          <w:rPr>
            <w:rStyle w:val="Hyperlink"/>
            <w:b w:val="0"/>
          </w:rPr>
          <w:t>Tablica 81. Kvalitativni pokazatelji (C22)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_Toc377635282 \h </w:instrText>
        </w:r>
        <w:r w:rsidR="00A36B38" w:rsidRPr="00BD0D35">
          <w:rPr>
            <w:b w:val="0"/>
            <w:webHidden/>
          </w:rPr>
        </w:r>
        <w:r w:rsidR="00A36B38" w:rsidRPr="00BD0D35">
          <w:rPr>
            <w:b w:val="0"/>
            <w:webHidden/>
          </w:rPr>
          <w:fldChar w:fldCharType="separate"/>
        </w:r>
        <w:r w:rsidR="00661B08">
          <w:rPr>
            <w:b w:val="0"/>
            <w:webHidden/>
          </w:rPr>
          <w:t>206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3" w:history="1">
        <w:r w:rsidR="00BD0D35" w:rsidRPr="00BD0D35">
          <w:rPr>
            <w:rStyle w:val="Hyperlink"/>
            <w:b w:val="0"/>
          </w:rPr>
          <w:t>Tablica 82. Kvantitativni pokazatelji (C23)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_Toc377635283 \h </w:instrText>
        </w:r>
        <w:r w:rsidR="00A36B38" w:rsidRPr="00BD0D35">
          <w:rPr>
            <w:b w:val="0"/>
            <w:webHidden/>
          </w:rPr>
        </w:r>
        <w:r w:rsidR="00A36B38" w:rsidRPr="00BD0D35">
          <w:rPr>
            <w:b w:val="0"/>
            <w:webHidden/>
          </w:rPr>
          <w:fldChar w:fldCharType="separate"/>
        </w:r>
        <w:r w:rsidR="00661B08">
          <w:rPr>
            <w:b w:val="0"/>
            <w:webHidden/>
          </w:rPr>
          <w:t>212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4" w:history="1">
        <w:r w:rsidR="00BD0D35" w:rsidRPr="00BD0D35">
          <w:rPr>
            <w:rStyle w:val="Hyperlink"/>
            <w:b w:val="0"/>
          </w:rPr>
          <w:t>Tablica 83. Kvalitativni pokazatelji (C23)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_Toc377635284 \h </w:instrText>
        </w:r>
        <w:r w:rsidR="00A36B38" w:rsidRPr="00BD0D35">
          <w:rPr>
            <w:b w:val="0"/>
            <w:webHidden/>
          </w:rPr>
        </w:r>
        <w:r w:rsidR="00A36B38" w:rsidRPr="00BD0D35">
          <w:rPr>
            <w:b w:val="0"/>
            <w:webHidden/>
          </w:rPr>
          <w:fldChar w:fldCharType="separate"/>
        </w:r>
        <w:r w:rsidR="00661B08">
          <w:rPr>
            <w:b w:val="0"/>
            <w:webHidden/>
          </w:rPr>
          <w:t>213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5" w:history="1">
        <w:r w:rsidR="00BD0D35" w:rsidRPr="00BD0D35">
          <w:rPr>
            <w:rStyle w:val="Hyperlink"/>
            <w:b w:val="0"/>
          </w:rPr>
          <w:t>Tablica 84. Kvantitativni pokazatelji (C24)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_Toc377635285 \h </w:instrText>
        </w:r>
        <w:r w:rsidR="00A36B38" w:rsidRPr="00BD0D35">
          <w:rPr>
            <w:b w:val="0"/>
            <w:webHidden/>
          </w:rPr>
        </w:r>
        <w:r w:rsidR="00A36B38" w:rsidRPr="00BD0D35">
          <w:rPr>
            <w:b w:val="0"/>
            <w:webHidden/>
          </w:rPr>
          <w:fldChar w:fldCharType="separate"/>
        </w:r>
        <w:r w:rsidR="00661B08">
          <w:rPr>
            <w:b w:val="0"/>
            <w:webHidden/>
          </w:rPr>
          <w:t>219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6" w:history="1">
        <w:r w:rsidR="00BD0D35" w:rsidRPr="00BD0D35">
          <w:rPr>
            <w:rStyle w:val="Hyperlink"/>
            <w:b w:val="0"/>
          </w:rPr>
          <w:t>Tablica 85. Kvalitativni pokazatelji (C24)</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_Toc377635286 \h </w:instrText>
        </w:r>
        <w:r w:rsidR="00A36B38" w:rsidRPr="00BD0D35">
          <w:rPr>
            <w:b w:val="0"/>
            <w:webHidden/>
          </w:rPr>
        </w:r>
        <w:r w:rsidR="00A36B38" w:rsidRPr="00BD0D35">
          <w:rPr>
            <w:b w:val="0"/>
            <w:webHidden/>
          </w:rPr>
          <w:fldChar w:fldCharType="separate"/>
        </w:r>
        <w:r w:rsidR="00661B08">
          <w:rPr>
            <w:b w:val="0"/>
            <w:webHidden/>
          </w:rPr>
          <w:t>220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7" w:history="1">
        <w:r w:rsidR="00BD0D35" w:rsidRPr="00BD0D35">
          <w:rPr>
            <w:rStyle w:val="Hyperlink"/>
            <w:b w:val="0"/>
          </w:rPr>
          <w:t>Tablica 86. Kvantitativni pokazatelji (C25)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_Toc377635287 \h </w:instrText>
        </w:r>
        <w:r w:rsidR="00A36B38" w:rsidRPr="00BD0D35">
          <w:rPr>
            <w:b w:val="0"/>
            <w:webHidden/>
          </w:rPr>
        </w:r>
        <w:r w:rsidR="00A36B38" w:rsidRPr="00BD0D35">
          <w:rPr>
            <w:b w:val="0"/>
            <w:webHidden/>
          </w:rPr>
          <w:fldChar w:fldCharType="separate"/>
        </w:r>
        <w:r w:rsidR="00661B08">
          <w:rPr>
            <w:b w:val="0"/>
            <w:webHidden/>
          </w:rPr>
          <w:t>225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8" w:history="1">
        <w:r w:rsidR="00BD0D35" w:rsidRPr="00BD0D35">
          <w:rPr>
            <w:rStyle w:val="Hyperlink"/>
            <w:b w:val="0"/>
          </w:rPr>
          <w:t>Tablica 87. Kvalitativni pokazatelji (C25)</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_Toc377635288 \h </w:instrText>
        </w:r>
        <w:r w:rsidR="00A36B38" w:rsidRPr="00BD0D35">
          <w:rPr>
            <w:b w:val="0"/>
            <w:webHidden/>
          </w:rPr>
        </w:r>
        <w:r w:rsidR="00A36B38" w:rsidRPr="00BD0D35">
          <w:rPr>
            <w:b w:val="0"/>
            <w:webHidden/>
          </w:rPr>
          <w:fldChar w:fldCharType="separate"/>
        </w:r>
        <w:r w:rsidR="00661B08">
          <w:rPr>
            <w:b w:val="0"/>
            <w:webHidden/>
          </w:rPr>
          <w:t>226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89" w:history="1">
        <w:r w:rsidR="00BD0D35" w:rsidRPr="00BD0D35">
          <w:rPr>
            <w:rStyle w:val="Hyperlink"/>
            <w:b w:val="0"/>
          </w:rPr>
          <w:t>Tablica 88. Kvantitativni pokazatelji (C26)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_Toc377635289 \h </w:instrText>
        </w:r>
        <w:r w:rsidR="00A36B38" w:rsidRPr="00BD0D35">
          <w:rPr>
            <w:b w:val="0"/>
            <w:webHidden/>
          </w:rPr>
        </w:r>
        <w:r w:rsidR="00A36B38" w:rsidRPr="00BD0D35">
          <w:rPr>
            <w:b w:val="0"/>
            <w:webHidden/>
          </w:rPr>
          <w:fldChar w:fldCharType="separate"/>
        </w:r>
        <w:r w:rsidR="00661B08">
          <w:rPr>
            <w:b w:val="0"/>
            <w:webHidden/>
          </w:rPr>
          <w:t>231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0" w:history="1">
        <w:r w:rsidR="00BD0D35" w:rsidRPr="00BD0D35">
          <w:rPr>
            <w:rStyle w:val="Hyperlink"/>
            <w:b w:val="0"/>
          </w:rPr>
          <w:t>Tablica 89. Kvalitativni pokazatelji (C26)</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_Toc377635290 \h </w:instrText>
        </w:r>
        <w:r w:rsidR="00A36B38" w:rsidRPr="00BD0D35">
          <w:rPr>
            <w:b w:val="0"/>
            <w:webHidden/>
          </w:rPr>
        </w:r>
        <w:r w:rsidR="00A36B38" w:rsidRPr="00BD0D35">
          <w:rPr>
            <w:b w:val="0"/>
            <w:webHidden/>
          </w:rPr>
          <w:fldChar w:fldCharType="separate"/>
        </w:r>
        <w:r w:rsidR="00661B08">
          <w:rPr>
            <w:b w:val="0"/>
            <w:webHidden/>
          </w:rPr>
          <w:t>232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1" w:history="1">
        <w:r w:rsidR="00BD0D35" w:rsidRPr="00BD0D35">
          <w:rPr>
            <w:rStyle w:val="Hyperlink"/>
            <w:b w:val="0"/>
          </w:rPr>
          <w:t>Tablica 90. Kvantitativni pokazatelji (C27)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_Toc377635291 \h </w:instrText>
        </w:r>
        <w:r w:rsidR="00A36B38" w:rsidRPr="00BD0D35">
          <w:rPr>
            <w:b w:val="0"/>
            <w:webHidden/>
          </w:rPr>
        </w:r>
        <w:r w:rsidR="00A36B38" w:rsidRPr="00BD0D35">
          <w:rPr>
            <w:b w:val="0"/>
            <w:webHidden/>
          </w:rPr>
          <w:fldChar w:fldCharType="separate"/>
        </w:r>
        <w:r w:rsidR="00661B08">
          <w:rPr>
            <w:b w:val="0"/>
            <w:webHidden/>
          </w:rPr>
          <w:t>237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2" w:history="1">
        <w:r w:rsidR="00BD0D35" w:rsidRPr="00BD0D35">
          <w:rPr>
            <w:rStyle w:val="Hyperlink"/>
            <w:b w:val="0"/>
          </w:rPr>
          <w:t>Tablica 91. Kvalitativni pokazatelji (C27)</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_Toc377635292 \h </w:instrText>
        </w:r>
        <w:r w:rsidR="00A36B38" w:rsidRPr="00BD0D35">
          <w:rPr>
            <w:b w:val="0"/>
            <w:webHidden/>
          </w:rPr>
        </w:r>
        <w:r w:rsidR="00A36B38" w:rsidRPr="00BD0D35">
          <w:rPr>
            <w:b w:val="0"/>
            <w:webHidden/>
          </w:rPr>
          <w:fldChar w:fldCharType="separate"/>
        </w:r>
        <w:r w:rsidR="00661B08">
          <w:rPr>
            <w:b w:val="0"/>
            <w:webHidden/>
          </w:rPr>
          <w:t>238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3" w:history="1">
        <w:r w:rsidR="00BD0D35" w:rsidRPr="00BD0D35">
          <w:rPr>
            <w:rStyle w:val="Hyperlink"/>
            <w:b w:val="0"/>
          </w:rPr>
          <w:t>Tablica 92. Kvantitativni pokazatelji (C28)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_Toc377635293 \h </w:instrText>
        </w:r>
        <w:r w:rsidR="00A36B38" w:rsidRPr="00BD0D35">
          <w:rPr>
            <w:b w:val="0"/>
            <w:webHidden/>
          </w:rPr>
        </w:r>
        <w:r w:rsidR="00A36B38" w:rsidRPr="00BD0D35">
          <w:rPr>
            <w:b w:val="0"/>
            <w:webHidden/>
          </w:rPr>
          <w:fldChar w:fldCharType="separate"/>
        </w:r>
        <w:r w:rsidR="00661B08">
          <w:rPr>
            <w:b w:val="0"/>
            <w:webHidden/>
          </w:rPr>
          <w:t>242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4" w:history="1">
        <w:r w:rsidR="00BD0D35" w:rsidRPr="00BD0D35">
          <w:rPr>
            <w:rStyle w:val="Hyperlink"/>
            <w:b w:val="0"/>
          </w:rPr>
          <w:t>Tablica 93. Kvalitativni pokazatelji (C28)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_Toc377635294 \h </w:instrText>
        </w:r>
        <w:r w:rsidR="00A36B38" w:rsidRPr="00BD0D35">
          <w:rPr>
            <w:b w:val="0"/>
            <w:webHidden/>
          </w:rPr>
        </w:r>
        <w:r w:rsidR="00A36B38" w:rsidRPr="00BD0D35">
          <w:rPr>
            <w:b w:val="0"/>
            <w:webHidden/>
          </w:rPr>
          <w:fldChar w:fldCharType="separate"/>
        </w:r>
        <w:r w:rsidR="00661B08">
          <w:rPr>
            <w:b w:val="0"/>
            <w:webHidden/>
          </w:rPr>
          <w:t>243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5" w:history="1">
        <w:r w:rsidR="00BD0D35" w:rsidRPr="00BD0D35">
          <w:rPr>
            <w:rStyle w:val="Hyperlink"/>
            <w:b w:val="0"/>
          </w:rPr>
          <w:t>Tablica 94. Kvantitativni pokazatelji (C29)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_Toc377635295 \h </w:instrText>
        </w:r>
        <w:r w:rsidR="00A36B38" w:rsidRPr="00BD0D35">
          <w:rPr>
            <w:b w:val="0"/>
            <w:webHidden/>
          </w:rPr>
        </w:r>
        <w:r w:rsidR="00A36B38" w:rsidRPr="00BD0D35">
          <w:rPr>
            <w:b w:val="0"/>
            <w:webHidden/>
          </w:rPr>
          <w:fldChar w:fldCharType="separate"/>
        </w:r>
        <w:r w:rsidR="00661B08">
          <w:rPr>
            <w:b w:val="0"/>
            <w:webHidden/>
          </w:rPr>
          <w:t>248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6" w:history="1">
        <w:r w:rsidR="00BD0D35" w:rsidRPr="00BD0D35">
          <w:rPr>
            <w:rStyle w:val="Hyperlink"/>
            <w:b w:val="0"/>
          </w:rPr>
          <w:t>Tablica 95. Kvalitativni pokazatelji (C29)</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_Toc377635296 \h </w:instrText>
        </w:r>
        <w:r w:rsidR="00A36B38" w:rsidRPr="00BD0D35">
          <w:rPr>
            <w:b w:val="0"/>
            <w:webHidden/>
          </w:rPr>
        </w:r>
        <w:r w:rsidR="00A36B38" w:rsidRPr="00BD0D35">
          <w:rPr>
            <w:b w:val="0"/>
            <w:webHidden/>
          </w:rPr>
          <w:fldChar w:fldCharType="separate"/>
        </w:r>
        <w:r w:rsidR="00661B08">
          <w:rPr>
            <w:b w:val="0"/>
            <w:webHidden/>
          </w:rPr>
          <w:t>249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7" w:history="1">
        <w:r w:rsidR="00BD0D35" w:rsidRPr="00BD0D35">
          <w:rPr>
            <w:rStyle w:val="Hyperlink"/>
            <w:b w:val="0"/>
          </w:rPr>
          <w:t>Tablica 96. Neto profitne stope izdvojenih poduzeća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_Toc377635297 \h </w:instrText>
        </w:r>
        <w:r w:rsidR="00A36B38" w:rsidRPr="00BD0D35">
          <w:rPr>
            <w:b w:val="0"/>
            <w:webHidden/>
          </w:rPr>
        </w:r>
        <w:r w:rsidR="00A36B38" w:rsidRPr="00BD0D35">
          <w:rPr>
            <w:b w:val="0"/>
            <w:webHidden/>
          </w:rPr>
          <w:fldChar w:fldCharType="separate"/>
        </w:r>
        <w:r w:rsidR="00661B08">
          <w:rPr>
            <w:b w:val="0"/>
            <w:webHidden/>
          </w:rPr>
          <w:t>252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8" w:history="1">
        <w:r w:rsidR="00BD0D35" w:rsidRPr="00BD0D35">
          <w:rPr>
            <w:rStyle w:val="Hyperlink"/>
            <w:b w:val="0"/>
          </w:rPr>
          <w:t>Tablica 97. Izabrani podaci i pokazatelji profitabilnosti djelatnosti C30 bez utjecaja izdvojenih poduzeća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_Toc377635298 \h </w:instrText>
        </w:r>
        <w:r w:rsidR="00A36B38" w:rsidRPr="00BD0D35">
          <w:rPr>
            <w:b w:val="0"/>
            <w:webHidden/>
          </w:rPr>
        </w:r>
        <w:r w:rsidR="00A36B38" w:rsidRPr="00BD0D35">
          <w:rPr>
            <w:b w:val="0"/>
            <w:webHidden/>
          </w:rPr>
          <w:fldChar w:fldCharType="separate"/>
        </w:r>
        <w:r w:rsidR="00661B08">
          <w:rPr>
            <w:b w:val="0"/>
            <w:webHidden/>
          </w:rPr>
          <w:t>252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299" w:history="1">
        <w:r w:rsidR="00BD0D35" w:rsidRPr="00BD0D35">
          <w:rPr>
            <w:rStyle w:val="Hyperlink"/>
            <w:b w:val="0"/>
          </w:rPr>
          <w:t>Tablica 98. Kvantitativni pokazatelji (C30)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_Toc377635299 \h </w:instrText>
        </w:r>
        <w:r w:rsidR="00A36B38" w:rsidRPr="00BD0D35">
          <w:rPr>
            <w:b w:val="0"/>
            <w:webHidden/>
          </w:rPr>
        </w:r>
        <w:r w:rsidR="00A36B38" w:rsidRPr="00BD0D35">
          <w:rPr>
            <w:b w:val="0"/>
            <w:webHidden/>
          </w:rPr>
          <w:fldChar w:fldCharType="separate"/>
        </w:r>
        <w:r w:rsidR="00661B08">
          <w:rPr>
            <w:b w:val="0"/>
            <w:webHidden/>
          </w:rPr>
          <w:t>256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0" w:history="1">
        <w:r w:rsidR="00BD0D35" w:rsidRPr="00BD0D35">
          <w:rPr>
            <w:rStyle w:val="Hyperlink"/>
            <w:b w:val="0"/>
          </w:rPr>
          <w:t>Tablica 99. Kvalitativni pokazatelji (C30)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_Toc377635300 \h </w:instrText>
        </w:r>
        <w:r w:rsidR="00A36B38" w:rsidRPr="00BD0D35">
          <w:rPr>
            <w:b w:val="0"/>
            <w:webHidden/>
          </w:rPr>
        </w:r>
        <w:r w:rsidR="00A36B38" w:rsidRPr="00BD0D35">
          <w:rPr>
            <w:b w:val="0"/>
            <w:webHidden/>
          </w:rPr>
          <w:fldChar w:fldCharType="separate"/>
        </w:r>
        <w:r w:rsidR="00661B08">
          <w:rPr>
            <w:b w:val="0"/>
            <w:webHidden/>
          </w:rPr>
          <w:t>257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1" w:history="1">
        <w:r w:rsidR="00BD0D35" w:rsidRPr="00BD0D35">
          <w:rPr>
            <w:rStyle w:val="Hyperlink"/>
            <w:b w:val="0"/>
          </w:rPr>
          <w:t>Tablica 100. Kvantitativni pokazatelji (C31)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_Toc377635301 \h </w:instrText>
        </w:r>
        <w:r w:rsidR="00A36B38" w:rsidRPr="00BD0D35">
          <w:rPr>
            <w:b w:val="0"/>
            <w:webHidden/>
          </w:rPr>
        </w:r>
        <w:r w:rsidR="00A36B38" w:rsidRPr="00BD0D35">
          <w:rPr>
            <w:b w:val="0"/>
            <w:webHidden/>
          </w:rPr>
          <w:fldChar w:fldCharType="separate"/>
        </w:r>
        <w:r w:rsidR="00661B08">
          <w:rPr>
            <w:b w:val="0"/>
            <w:webHidden/>
          </w:rPr>
          <w:t>262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2" w:history="1">
        <w:r w:rsidR="00BD0D35" w:rsidRPr="00BD0D35">
          <w:rPr>
            <w:rStyle w:val="Hyperlink"/>
            <w:b w:val="0"/>
          </w:rPr>
          <w:t>Tablica 101. Kvalitativni pokazatelji (C31)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_Toc377635302 \h </w:instrText>
        </w:r>
        <w:r w:rsidR="00A36B38" w:rsidRPr="00BD0D35">
          <w:rPr>
            <w:b w:val="0"/>
            <w:webHidden/>
          </w:rPr>
        </w:r>
        <w:r w:rsidR="00A36B38" w:rsidRPr="00BD0D35">
          <w:rPr>
            <w:b w:val="0"/>
            <w:webHidden/>
          </w:rPr>
          <w:fldChar w:fldCharType="separate"/>
        </w:r>
        <w:r w:rsidR="00661B08">
          <w:rPr>
            <w:b w:val="0"/>
            <w:webHidden/>
          </w:rPr>
          <w:t>263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3" w:history="1">
        <w:r w:rsidR="00BD0D35" w:rsidRPr="00BD0D35">
          <w:rPr>
            <w:rStyle w:val="Hyperlink"/>
            <w:b w:val="0"/>
          </w:rPr>
          <w:t>Tablica 102. Neto profitne stope Brodotrogira d.d.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_Toc377635303 \h </w:instrText>
        </w:r>
        <w:r w:rsidR="00A36B38" w:rsidRPr="00BD0D35">
          <w:rPr>
            <w:b w:val="0"/>
            <w:webHidden/>
          </w:rPr>
        </w:r>
        <w:r w:rsidR="00A36B38" w:rsidRPr="00BD0D35">
          <w:rPr>
            <w:b w:val="0"/>
            <w:webHidden/>
          </w:rPr>
          <w:fldChar w:fldCharType="separate"/>
        </w:r>
        <w:r w:rsidR="00661B08">
          <w:rPr>
            <w:b w:val="0"/>
            <w:webHidden/>
          </w:rPr>
          <w:t>265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4" w:history="1">
        <w:r w:rsidR="00BD0D35" w:rsidRPr="00BD0D35">
          <w:rPr>
            <w:rStyle w:val="Hyperlink"/>
            <w:b w:val="0"/>
          </w:rPr>
          <w:t>Tablica 103. Izabrani podaci i pokazatelji profitabilnosti djelatnosti C33 bez utjecaja Brodotrogira d.d.</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_Toc377635304 \h </w:instrText>
        </w:r>
        <w:r w:rsidR="00A36B38" w:rsidRPr="00BD0D35">
          <w:rPr>
            <w:b w:val="0"/>
            <w:webHidden/>
          </w:rPr>
        </w:r>
        <w:r w:rsidR="00A36B38" w:rsidRPr="00BD0D35">
          <w:rPr>
            <w:b w:val="0"/>
            <w:webHidden/>
          </w:rPr>
          <w:fldChar w:fldCharType="separate"/>
        </w:r>
        <w:r w:rsidR="00661B08">
          <w:rPr>
            <w:b w:val="0"/>
            <w:webHidden/>
          </w:rPr>
          <w:t>265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5" w:history="1">
        <w:r w:rsidR="00BD0D35" w:rsidRPr="00BD0D35">
          <w:rPr>
            <w:rStyle w:val="Hyperlink"/>
            <w:b w:val="0"/>
          </w:rPr>
          <w:t>Tablica 104. Kvantitativni pokazatelji (C33)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_Toc377635305 \h </w:instrText>
        </w:r>
        <w:r w:rsidR="00A36B38" w:rsidRPr="00BD0D35">
          <w:rPr>
            <w:b w:val="0"/>
            <w:webHidden/>
          </w:rPr>
        </w:r>
        <w:r w:rsidR="00A36B38" w:rsidRPr="00BD0D35">
          <w:rPr>
            <w:b w:val="0"/>
            <w:webHidden/>
          </w:rPr>
          <w:fldChar w:fldCharType="separate"/>
        </w:r>
        <w:r w:rsidR="00661B08">
          <w:rPr>
            <w:b w:val="0"/>
            <w:webHidden/>
          </w:rPr>
          <w:t>268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6" w:history="1">
        <w:r w:rsidR="00BD0D35" w:rsidRPr="00BD0D35">
          <w:rPr>
            <w:rStyle w:val="Hyperlink"/>
            <w:b w:val="0"/>
          </w:rPr>
          <w:t>Tablica 105. Kvalitativni pokazatelji (C33)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_Toc377635306 \h </w:instrText>
        </w:r>
        <w:r w:rsidR="00A36B38" w:rsidRPr="00BD0D35">
          <w:rPr>
            <w:b w:val="0"/>
            <w:webHidden/>
          </w:rPr>
        </w:r>
        <w:r w:rsidR="00A36B38" w:rsidRPr="00BD0D35">
          <w:rPr>
            <w:b w:val="0"/>
            <w:webHidden/>
          </w:rPr>
          <w:fldChar w:fldCharType="separate"/>
        </w:r>
        <w:r w:rsidR="00661B08">
          <w:rPr>
            <w:b w:val="0"/>
            <w:webHidden/>
          </w:rPr>
          <w:t>269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7" w:history="1">
        <w:r w:rsidR="00BD0D35" w:rsidRPr="00BD0D35">
          <w:rPr>
            <w:rStyle w:val="Hyperlink"/>
            <w:b w:val="0"/>
          </w:rPr>
          <w:t>Tablica 106. Kvantitativni pokazatelji (F)</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_Toc377635307 \h </w:instrText>
        </w:r>
        <w:r w:rsidR="00A36B38" w:rsidRPr="00BD0D35">
          <w:rPr>
            <w:b w:val="0"/>
            <w:webHidden/>
          </w:rPr>
        </w:r>
        <w:r w:rsidR="00A36B38" w:rsidRPr="00BD0D35">
          <w:rPr>
            <w:b w:val="0"/>
            <w:webHidden/>
          </w:rPr>
          <w:fldChar w:fldCharType="separate"/>
        </w:r>
        <w:r w:rsidR="00661B08">
          <w:rPr>
            <w:b w:val="0"/>
            <w:webHidden/>
          </w:rPr>
          <w:t>274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8" w:history="1">
        <w:r w:rsidR="00BD0D35" w:rsidRPr="00BD0D35">
          <w:rPr>
            <w:rStyle w:val="Hyperlink"/>
            <w:b w:val="0"/>
          </w:rPr>
          <w:t>Tablica 107. Kvalitativni pokazatelji (F)</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_Toc377635308 \h </w:instrText>
        </w:r>
        <w:r w:rsidR="00A36B38" w:rsidRPr="00BD0D35">
          <w:rPr>
            <w:b w:val="0"/>
            <w:webHidden/>
          </w:rPr>
        </w:r>
        <w:r w:rsidR="00A36B38" w:rsidRPr="00BD0D35">
          <w:rPr>
            <w:b w:val="0"/>
            <w:webHidden/>
          </w:rPr>
          <w:fldChar w:fldCharType="separate"/>
        </w:r>
        <w:r w:rsidR="00661B08">
          <w:rPr>
            <w:b w:val="0"/>
            <w:webHidden/>
          </w:rPr>
          <w:t>275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09" w:history="1">
        <w:r w:rsidR="00BD0D35" w:rsidRPr="00BD0D35">
          <w:rPr>
            <w:rStyle w:val="Hyperlink"/>
            <w:b w:val="0"/>
          </w:rPr>
          <w:t>Tablica 108. Kvantitativni pokazatelji (J)</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_Toc377635309 \h </w:instrText>
        </w:r>
        <w:r w:rsidR="00A36B38" w:rsidRPr="00BD0D35">
          <w:rPr>
            <w:b w:val="0"/>
            <w:webHidden/>
          </w:rPr>
        </w:r>
        <w:r w:rsidR="00A36B38" w:rsidRPr="00BD0D35">
          <w:rPr>
            <w:b w:val="0"/>
            <w:webHidden/>
          </w:rPr>
          <w:fldChar w:fldCharType="separate"/>
        </w:r>
        <w:r w:rsidR="00661B08">
          <w:rPr>
            <w:b w:val="0"/>
            <w:webHidden/>
          </w:rPr>
          <w:t>280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0" w:history="1">
        <w:r w:rsidR="00BD0D35" w:rsidRPr="00BD0D35">
          <w:rPr>
            <w:rStyle w:val="Hyperlink"/>
            <w:b w:val="0"/>
          </w:rPr>
          <w:t>Tablica 109. Kvalitativni pokazatelji (J)</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_Toc377635310 \h </w:instrText>
        </w:r>
        <w:r w:rsidR="00A36B38" w:rsidRPr="00BD0D35">
          <w:rPr>
            <w:b w:val="0"/>
            <w:webHidden/>
          </w:rPr>
        </w:r>
        <w:r w:rsidR="00A36B38" w:rsidRPr="00BD0D35">
          <w:rPr>
            <w:b w:val="0"/>
            <w:webHidden/>
          </w:rPr>
          <w:fldChar w:fldCharType="separate"/>
        </w:r>
        <w:r w:rsidR="00661B08">
          <w:rPr>
            <w:b w:val="0"/>
            <w:webHidden/>
          </w:rPr>
          <w:t>281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1" w:history="1">
        <w:r w:rsidR="00BD0D35" w:rsidRPr="00BD0D35">
          <w:rPr>
            <w:rStyle w:val="Hyperlink"/>
            <w:b w:val="0"/>
          </w:rPr>
          <w:t>Tablica 110. Poddjelatnosti „Pokretači“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_Toc377635311 \h </w:instrText>
        </w:r>
        <w:r w:rsidR="00A36B38" w:rsidRPr="00BD0D35">
          <w:rPr>
            <w:b w:val="0"/>
            <w:webHidden/>
          </w:rPr>
        </w:r>
        <w:r w:rsidR="00A36B38" w:rsidRPr="00BD0D35">
          <w:rPr>
            <w:b w:val="0"/>
            <w:webHidden/>
          </w:rPr>
          <w:fldChar w:fldCharType="separate"/>
        </w:r>
        <w:r w:rsidR="00661B08">
          <w:rPr>
            <w:b w:val="0"/>
            <w:webHidden/>
          </w:rPr>
          <w:t>286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2" w:history="1">
        <w:r w:rsidR="00BD0D35" w:rsidRPr="00BD0D35">
          <w:rPr>
            <w:rStyle w:val="Hyperlink"/>
            <w:b w:val="0"/>
          </w:rPr>
          <w:t>Tablica 111. Poddjelatnosti  „Čuvari“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_Toc377635312 \h </w:instrText>
        </w:r>
        <w:r w:rsidR="00A36B38" w:rsidRPr="00BD0D35">
          <w:rPr>
            <w:b w:val="0"/>
            <w:webHidden/>
          </w:rPr>
        </w:r>
        <w:r w:rsidR="00A36B38" w:rsidRPr="00BD0D35">
          <w:rPr>
            <w:b w:val="0"/>
            <w:webHidden/>
          </w:rPr>
          <w:fldChar w:fldCharType="separate"/>
        </w:r>
        <w:r w:rsidR="00661B08">
          <w:rPr>
            <w:b w:val="0"/>
            <w:webHidden/>
          </w:rPr>
          <w:t>286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3" w:history="1">
        <w:r w:rsidR="00BD0D35" w:rsidRPr="00BD0D35">
          <w:rPr>
            <w:rStyle w:val="Hyperlink"/>
            <w:b w:val="0"/>
          </w:rPr>
          <w:t>Tablica 112. Poddjelatnosti „Upitnici“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_Toc377635313 \h </w:instrText>
        </w:r>
        <w:r w:rsidR="00A36B38" w:rsidRPr="00BD0D35">
          <w:rPr>
            <w:b w:val="0"/>
            <w:webHidden/>
          </w:rPr>
        </w:r>
        <w:r w:rsidR="00A36B38" w:rsidRPr="00BD0D35">
          <w:rPr>
            <w:b w:val="0"/>
            <w:webHidden/>
          </w:rPr>
          <w:fldChar w:fldCharType="separate"/>
        </w:r>
        <w:r w:rsidR="00661B08">
          <w:rPr>
            <w:b w:val="0"/>
            <w:webHidden/>
          </w:rPr>
          <w:t>287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4" w:history="1">
        <w:r w:rsidR="00BD0D35" w:rsidRPr="00BD0D35">
          <w:rPr>
            <w:rStyle w:val="Hyperlink"/>
            <w:b w:val="0"/>
          </w:rPr>
          <w:t>Tablica 113. „Problematične“ poddjelatnosti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_Toc377635314 \h </w:instrText>
        </w:r>
        <w:r w:rsidR="00A36B38" w:rsidRPr="00BD0D35">
          <w:rPr>
            <w:b w:val="0"/>
            <w:webHidden/>
          </w:rPr>
        </w:r>
        <w:r w:rsidR="00A36B38" w:rsidRPr="00BD0D35">
          <w:rPr>
            <w:b w:val="0"/>
            <w:webHidden/>
          </w:rPr>
          <w:fldChar w:fldCharType="separate"/>
        </w:r>
        <w:r w:rsidR="00661B08">
          <w:rPr>
            <w:b w:val="0"/>
            <w:webHidden/>
          </w:rPr>
          <w:t>287</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5" w:history="1">
        <w:r w:rsidR="00BD0D35" w:rsidRPr="00BD0D35">
          <w:rPr>
            <w:rStyle w:val="Hyperlink"/>
            <w:b w:val="0"/>
          </w:rPr>
          <w:t>Tablica 114. Poddjelatnosti „Bez utjecaja“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_Toc377635315 \h </w:instrText>
        </w:r>
        <w:r w:rsidR="00A36B38" w:rsidRPr="00BD0D35">
          <w:rPr>
            <w:b w:val="0"/>
            <w:webHidden/>
          </w:rPr>
        </w:r>
        <w:r w:rsidR="00A36B38" w:rsidRPr="00BD0D35">
          <w:rPr>
            <w:b w:val="0"/>
            <w:webHidden/>
          </w:rPr>
          <w:fldChar w:fldCharType="separate"/>
        </w:r>
        <w:r w:rsidR="00661B08">
          <w:rPr>
            <w:b w:val="0"/>
            <w:webHidden/>
          </w:rPr>
          <w:t>288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6" w:history="1">
        <w:r w:rsidR="00BD0D35" w:rsidRPr="00BD0D35">
          <w:rPr>
            <w:rStyle w:val="Hyperlink"/>
            <w:b w:val="0"/>
          </w:rPr>
          <w:t>Tablica 115. Djelatnosti i poddjelatnosti koje nisu uključene u sustav rangiranja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_Toc377635316 \h </w:instrText>
        </w:r>
        <w:r w:rsidR="00A36B38" w:rsidRPr="00BD0D35">
          <w:rPr>
            <w:b w:val="0"/>
            <w:webHidden/>
          </w:rPr>
        </w:r>
        <w:r w:rsidR="00A36B38" w:rsidRPr="00BD0D35">
          <w:rPr>
            <w:b w:val="0"/>
            <w:webHidden/>
          </w:rPr>
          <w:fldChar w:fldCharType="separate"/>
        </w:r>
        <w:r w:rsidR="00661B08">
          <w:rPr>
            <w:b w:val="0"/>
            <w:webHidden/>
          </w:rPr>
          <w:t>288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7" w:history="1">
        <w:r w:rsidR="00BD0D35" w:rsidRPr="00BD0D35">
          <w:rPr>
            <w:rStyle w:val="Hyperlink"/>
            <w:b w:val="0"/>
          </w:rPr>
          <w:t>Tablica 116.  Sažeti prikaz ključnih pokazatelja industrije 2012. godine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_Toc377635317 \h </w:instrText>
        </w:r>
        <w:r w:rsidR="00A36B38" w:rsidRPr="00BD0D35">
          <w:rPr>
            <w:b w:val="0"/>
            <w:webHidden/>
          </w:rPr>
        </w:r>
        <w:r w:rsidR="00A36B38" w:rsidRPr="00BD0D35">
          <w:rPr>
            <w:b w:val="0"/>
            <w:webHidden/>
          </w:rPr>
          <w:fldChar w:fldCharType="separate"/>
        </w:r>
        <w:r w:rsidR="00661B08">
          <w:rPr>
            <w:b w:val="0"/>
            <w:webHidden/>
          </w:rPr>
          <w:t>298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8" w:history="1">
        <w:r w:rsidR="00BD0D35" w:rsidRPr="00BD0D35">
          <w:rPr>
            <w:rStyle w:val="Hyperlink"/>
            <w:b w:val="0"/>
          </w:rPr>
          <w:t>Tablica 117. Usporedni prikaz odabranih pokazatelja u 2012. i 2020. godini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_Toc377635318 \h </w:instrText>
        </w:r>
        <w:r w:rsidR="00A36B38" w:rsidRPr="00BD0D35">
          <w:rPr>
            <w:b w:val="0"/>
            <w:webHidden/>
          </w:rPr>
        </w:r>
        <w:r w:rsidR="00A36B38" w:rsidRPr="00BD0D35">
          <w:rPr>
            <w:b w:val="0"/>
            <w:webHidden/>
          </w:rPr>
          <w:fldChar w:fldCharType="separate"/>
        </w:r>
        <w:r w:rsidR="00661B08">
          <w:rPr>
            <w:b w:val="0"/>
            <w:webHidden/>
          </w:rPr>
          <w:t>301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19" w:history="1">
        <w:r w:rsidR="00BD0D35" w:rsidRPr="00BD0D35">
          <w:rPr>
            <w:rStyle w:val="Hyperlink"/>
            <w:b w:val="0"/>
          </w:rPr>
          <w:t>Tablica 118. Strateški dokumenti u područjima koja izravno utječu na industriju</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_Toc377635319 \h </w:instrText>
        </w:r>
        <w:r w:rsidR="00A36B38" w:rsidRPr="00BD0D35">
          <w:rPr>
            <w:b w:val="0"/>
            <w:webHidden/>
          </w:rPr>
        </w:r>
        <w:r w:rsidR="00A36B38" w:rsidRPr="00BD0D35">
          <w:rPr>
            <w:b w:val="0"/>
            <w:webHidden/>
          </w:rPr>
          <w:fldChar w:fldCharType="separate"/>
        </w:r>
        <w:r w:rsidR="00661B08">
          <w:rPr>
            <w:b w:val="0"/>
            <w:webHidden/>
          </w:rPr>
          <w:t>303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0" w:history="1">
        <w:r w:rsidR="00BD0D35" w:rsidRPr="00BD0D35">
          <w:rPr>
            <w:rStyle w:val="Hyperlink"/>
            <w:b w:val="0"/>
          </w:rPr>
          <w:t>Tablica 119.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_Toc377635320 \h </w:instrText>
        </w:r>
        <w:r w:rsidR="00A36B38" w:rsidRPr="00BD0D35">
          <w:rPr>
            <w:b w:val="0"/>
            <w:webHidden/>
          </w:rPr>
        </w:r>
        <w:r w:rsidR="00A36B38" w:rsidRPr="00BD0D35">
          <w:rPr>
            <w:b w:val="0"/>
            <w:webHidden/>
          </w:rPr>
          <w:fldChar w:fldCharType="separate"/>
        </w:r>
        <w:r w:rsidR="00661B08">
          <w:rPr>
            <w:b w:val="0"/>
            <w:webHidden/>
          </w:rPr>
          <w:t>308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1" w:history="1">
        <w:r w:rsidR="00BD0D35" w:rsidRPr="00BD0D35">
          <w:rPr>
            <w:rStyle w:val="Hyperlink"/>
            <w:b w:val="0"/>
          </w:rPr>
          <w:t>Tablica 120.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_Toc377635321 \h </w:instrText>
        </w:r>
        <w:r w:rsidR="00A36B38" w:rsidRPr="00BD0D35">
          <w:rPr>
            <w:b w:val="0"/>
            <w:webHidden/>
          </w:rPr>
        </w:r>
        <w:r w:rsidR="00A36B38" w:rsidRPr="00BD0D35">
          <w:rPr>
            <w:b w:val="0"/>
            <w:webHidden/>
          </w:rPr>
          <w:fldChar w:fldCharType="separate"/>
        </w:r>
        <w:r w:rsidR="00661B08">
          <w:rPr>
            <w:b w:val="0"/>
            <w:webHidden/>
          </w:rPr>
          <w:t>309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2" w:history="1">
        <w:r w:rsidR="00BD0D35" w:rsidRPr="00BD0D35">
          <w:rPr>
            <w:rStyle w:val="Hyperlink"/>
            <w:b w:val="0"/>
          </w:rPr>
          <w:t>Tablica 121.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_Toc377635322 \h </w:instrText>
        </w:r>
        <w:r w:rsidR="00A36B38" w:rsidRPr="00BD0D35">
          <w:rPr>
            <w:b w:val="0"/>
            <w:webHidden/>
          </w:rPr>
        </w:r>
        <w:r w:rsidR="00A36B38" w:rsidRPr="00BD0D35">
          <w:rPr>
            <w:b w:val="0"/>
            <w:webHidden/>
          </w:rPr>
          <w:fldChar w:fldCharType="separate"/>
        </w:r>
        <w:r w:rsidR="00661B08">
          <w:rPr>
            <w:b w:val="0"/>
            <w:webHidden/>
          </w:rPr>
          <w:t>310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3" w:history="1">
        <w:r w:rsidR="00BD0D35" w:rsidRPr="00BD0D35">
          <w:rPr>
            <w:rStyle w:val="Hyperlink"/>
            <w:b w:val="0"/>
          </w:rPr>
          <w:t>Tablica 122. Scenarij 2 – „pokretači“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_Toc377635323 \h </w:instrText>
        </w:r>
        <w:r w:rsidR="00A36B38" w:rsidRPr="00BD0D35">
          <w:rPr>
            <w:b w:val="0"/>
            <w:webHidden/>
          </w:rPr>
        </w:r>
        <w:r w:rsidR="00A36B38" w:rsidRPr="00BD0D35">
          <w:rPr>
            <w:b w:val="0"/>
            <w:webHidden/>
          </w:rPr>
          <w:fldChar w:fldCharType="separate"/>
        </w:r>
        <w:r w:rsidR="00661B08">
          <w:rPr>
            <w:b w:val="0"/>
            <w:webHidden/>
          </w:rPr>
          <w:t>313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4" w:history="1">
        <w:r w:rsidR="00BD0D35" w:rsidRPr="00BD0D35">
          <w:rPr>
            <w:rStyle w:val="Hyperlink"/>
            <w:b w:val="0"/>
          </w:rPr>
          <w:t>Tablica 123. Scenarij 2 – „čuvari“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_Toc377635324 \h </w:instrText>
        </w:r>
        <w:r w:rsidR="00A36B38" w:rsidRPr="00BD0D35">
          <w:rPr>
            <w:b w:val="0"/>
            <w:webHidden/>
          </w:rPr>
        </w:r>
        <w:r w:rsidR="00A36B38" w:rsidRPr="00BD0D35">
          <w:rPr>
            <w:b w:val="0"/>
            <w:webHidden/>
          </w:rPr>
          <w:fldChar w:fldCharType="separate"/>
        </w:r>
        <w:r w:rsidR="00661B08">
          <w:rPr>
            <w:b w:val="0"/>
            <w:webHidden/>
          </w:rPr>
          <w:t>313</w:t>
        </w:r>
        <w:r w:rsidR="00A36B38" w:rsidRPr="00BD0D35">
          <w:rPr>
            <w:b w:val="0"/>
            <w:webHidden/>
          </w:rPr>
          <w:fldChar w:fldCharType="end"/>
        </w:r>
      </w:hyperlink>
    </w:p>
    <w:p w:rsidR="00C27E82" w:rsidRPr="004E6412" w:rsidRDefault="00A36B38" w:rsidP="00C27E82">
      <w:r w:rsidRPr="00BD0D35">
        <w:fldChar w:fldCharType="end"/>
      </w:r>
    </w:p>
    <w:p w:rsidR="00C27E82" w:rsidRPr="004E6412" w:rsidRDefault="00C27E82" w:rsidP="00C27E82"/>
    <w:p w:rsidR="00C27E82" w:rsidRPr="004E6412" w:rsidRDefault="00C27E82" w:rsidP="00C27E82"/>
    <w:p w:rsidR="00C27E82" w:rsidRPr="004E6412" w:rsidRDefault="00C27E82">
      <w:pPr>
        <w:spacing w:line="240" w:lineRule="auto"/>
        <w:jc w:val="left"/>
        <w:rPr>
          <w:rFonts w:eastAsia="Times New Roman"/>
          <w:color w:val="17365D"/>
          <w:spacing w:val="5"/>
          <w:kern w:val="28"/>
          <w:sz w:val="52"/>
          <w:szCs w:val="52"/>
        </w:rPr>
      </w:pPr>
      <w:r w:rsidRPr="004E6412">
        <w:br w:type="page"/>
      </w:r>
    </w:p>
    <w:p w:rsidR="0058640B" w:rsidRPr="004E6412" w:rsidRDefault="00BA5C3B" w:rsidP="00D94D25">
      <w:pPr>
        <w:pStyle w:val="Title"/>
        <w:rPr>
          <w:rFonts w:ascii="Times New Roman" w:hAnsi="Times New Roman"/>
        </w:rPr>
      </w:pPr>
      <w:bookmarkStart w:id="10" w:name="_Toc378069010"/>
      <w:r w:rsidRPr="004E6412">
        <w:rPr>
          <w:rFonts w:ascii="Times New Roman" w:hAnsi="Times New Roman"/>
        </w:rPr>
        <w:lastRenderedPageBreak/>
        <w:t>Popis slika</w:t>
      </w:r>
      <w:bookmarkEnd w:id="8"/>
      <w:bookmarkEnd w:id="9"/>
      <w:bookmarkEnd w:id="10"/>
    </w:p>
    <w:p w:rsidR="00342A03" w:rsidRPr="004E6412" w:rsidRDefault="00342A03"/>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A23CB5" w:rsidRPr="00BD0D35">
        <w:rPr>
          <w:b w:val="0"/>
          <w:noProof w:val="0"/>
        </w:rPr>
        <w:instrText xml:space="preserve"> TOC \h \z \t "Subtitle;1" </w:instrText>
      </w:r>
      <w:r w:rsidRPr="00BD0D35">
        <w:rPr>
          <w:b w:val="0"/>
          <w:noProof w:val="0"/>
        </w:rPr>
        <w:fldChar w:fldCharType="separate"/>
      </w:r>
      <w:hyperlink w:anchor="_Toc377635325" w:history="1">
        <w:r w:rsidR="00BD0D35" w:rsidRPr="00BD0D35">
          <w:rPr>
            <w:rStyle w:val="Hyperlink"/>
            <w:b w:val="0"/>
          </w:rPr>
          <w:t>Slika 1. Industrijska strategija naspram gospodarskoj strategiji u Republici Hrvatskoj</w:t>
        </w:r>
        <w:r w:rsidR="00BD0D35" w:rsidRPr="00BD0D35">
          <w:rPr>
            <w:b w:val="0"/>
            <w:webHidden/>
          </w:rPr>
          <w:tab/>
        </w:r>
        <w:r w:rsidRPr="00BD0D35">
          <w:rPr>
            <w:b w:val="0"/>
            <w:webHidden/>
          </w:rPr>
          <w:fldChar w:fldCharType="begin"/>
        </w:r>
        <w:r w:rsidR="00BD0D35" w:rsidRPr="00BD0D35">
          <w:rPr>
            <w:b w:val="0"/>
            <w:webHidden/>
          </w:rPr>
          <w:instrText xml:space="preserve"> PAGEREF _Toc377635325 \h </w:instrText>
        </w:r>
        <w:r w:rsidRPr="00BD0D35">
          <w:rPr>
            <w:b w:val="0"/>
            <w:webHidden/>
          </w:rPr>
        </w:r>
        <w:r w:rsidRPr="00BD0D35">
          <w:rPr>
            <w:b w:val="0"/>
            <w:webHidden/>
          </w:rPr>
          <w:fldChar w:fldCharType="separate"/>
        </w:r>
        <w:r w:rsidR="00661B08">
          <w:rPr>
            <w:b w:val="0"/>
            <w:webHidden/>
          </w:rPr>
          <w:t>15</w:t>
        </w:r>
        <w:r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6" w:history="1">
        <w:r w:rsidR="00BD0D35" w:rsidRPr="00BD0D35">
          <w:rPr>
            <w:rStyle w:val="Hyperlink"/>
            <w:b w:val="0"/>
          </w:rPr>
          <w:t>Slika 2. Konceptualni okvir izrade Industrijske strategije Republike Hrvatske 2014. – 2020.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_Toc377635326 \h </w:instrText>
        </w:r>
        <w:r w:rsidR="00A36B38" w:rsidRPr="00BD0D35">
          <w:rPr>
            <w:b w:val="0"/>
            <w:webHidden/>
          </w:rPr>
        </w:r>
        <w:r w:rsidR="00A36B38" w:rsidRPr="00BD0D35">
          <w:rPr>
            <w:b w:val="0"/>
            <w:webHidden/>
          </w:rPr>
          <w:fldChar w:fldCharType="separate"/>
        </w:r>
        <w:r w:rsidR="00661B08">
          <w:rPr>
            <w:b w:val="0"/>
            <w:webHidden/>
          </w:rPr>
          <w:t>22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7" w:history="1">
        <w:r w:rsidR="00BD0D35" w:rsidRPr="00BD0D35">
          <w:rPr>
            <w:rStyle w:val="Hyperlink"/>
            <w:b w:val="0"/>
          </w:rPr>
          <w:t>Slika 3. Kretanje  realnog BDP-a Hrvatske,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_Toc377635327 \h </w:instrText>
        </w:r>
        <w:r w:rsidR="00A36B38" w:rsidRPr="00BD0D35">
          <w:rPr>
            <w:b w:val="0"/>
            <w:webHidden/>
          </w:rPr>
        </w:r>
        <w:r w:rsidR="00A36B38" w:rsidRPr="00BD0D35">
          <w:rPr>
            <w:b w:val="0"/>
            <w:webHidden/>
          </w:rPr>
          <w:fldChar w:fldCharType="separate"/>
        </w:r>
        <w:r w:rsidR="00661B08">
          <w:rPr>
            <w:b w:val="0"/>
            <w:webHidden/>
          </w:rPr>
          <w:t>25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8" w:history="1">
        <w:r w:rsidR="00BD0D35" w:rsidRPr="00BD0D35">
          <w:rPr>
            <w:rStyle w:val="Hyperlink"/>
            <w:b w:val="0"/>
          </w:rPr>
          <w:t>Slika 4. Usporedba promjene realnog BDP-a Hrvatske i zemalja EU28,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_Toc377635328 \h </w:instrText>
        </w:r>
        <w:r w:rsidR="00A36B38" w:rsidRPr="00BD0D35">
          <w:rPr>
            <w:b w:val="0"/>
            <w:webHidden/>
          </w:rPr>
        </w:r>
        <w:r w:rsidR="00A36B38" w:rsidRPr="00BD0D35">
          <w:rPr>
            <w:b w:val="0"/>
            <w:webHidden/>
          </w:rPr>
          <w:fldChar w:fldCharType="separate"/>
        </w:r>
        <w:r w:rsidR="00661B08">
          <w:rPr>
            <w:b w:val="0"/>
            <w:webHidden/>
          </w:rPr>
          <w:t>25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29" w:history="1">
        <w:r w:rsidR="00BD0D35" w:rsidRPr="00BD0D35">
          <w:rPr>
            <w:rStyle w:val="Hyperlink"/>
            <w:b w:val="0"/>
          </w:rPr>
          <w:t>Slika 5. Udjeli područja C, G, H, I, L i O, P, Q NKD-a u bruto dodanoj vrijednosti po godinama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_Toc377635329 \h </w:instrText>
        </w:r>
        <w:r w:rsidR="00A36B38" w:rsidRPr="00BD0D35">
          <w:rPr>
            <w:b w:val="0"/>
            <w:webHidden/>
          </w:rPr>
        </w:r>
        <w:r w:rsidR="00A36B38" w:rsidRPr="00BD0D35">
          <w:rPr>
            <w:b w:val="0"/>
            <w:webHidden/>
          </w:rPr>
          <w:fldChar w:fldCharType="separate"/>
        </w:r>
        <w:r w:rsidR="00661B08">
          <w:rPr>
            <w:b w:val="0"/>
            <w:webHidden/>
          </w:rPr>
          <w:t>28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0" w:history="1">
        <w:r w:rsidR="00BD0D35" w:rsidRPr="00BD0D35">
          <w:rPr>
            <w:rStyle w:val="Hyperlink"/>
            <w:b w:val="0"/>
          </w:rPr>
          <w:t>Slika 6. Udjeli bruto dodane vrijednosti prerađivačke industrije u ukupnoj bruto dodanoj vrijednosti gospodarstva u 2010. godini, po zemljama EU28</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_Toc377635330 \h </w:instrText>
        </w:r>
        <w:r w:rsidR="00A36B38" w:rsidRPr="00BD0D35">
          <w:rPr>
            <w:b w:val="0"/>
            <w:webHidden/>
          </w:rPr>
        </w:r>
        <w:r w:rsidR="00A36B38" w:rsidRPr="00BD0D35">
          <w:rPr>
            <w:b w:val="0"/>
            <w:webHidden/>
          </w:rPr>
          <w:fldChar w:fldCharType="separate"/>
        </w:r>
        <w:r w:rsidR="00661B08">
          <w:rPr>
            <w:b w:val="0"/>
            <w:webHidden/>
          </w:rPr>
          <w:t>29</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1" w:history="1">
        <w:r w:rsidR="00BD0D35" w:rsidRPr="00BD0D35">
          <w:rPr>
            <w:rStyle w:val="Hyperlink"/>
            <w:b w:val="0"/>
          </w:rPr>
          <w:t>Slika 7. Udjeli rashodnih sastavnica* BDP-a u ukupnom BDP-u kroz godine 2004. – 2012., stalne cijene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_Toc377635331 \h </w:instrText>
        </w:r>
        <w:r w:rsidR="00A36B38" w:rsidRPr="00BD0D35">
          <w:rPr>
            <w:b w:val="0"/>
            <w:webHidden/>
          </w:rPr>
        </w:r>
        <w:r w:rsidR="00A36B38" w:rsidRPr="00BD0D35">
          <w:rPr>
            <w:b w:val="0"/>
            <w:webHidden/>
          </w:rPr>
          <w:fldChar w:fldCharType="separate"/>
        </w:r>
        <w:r w:rsidR="00661B08">
          <w:rPr>
            <w:b w:val="0"/>
            <w:webHidden/>
          </w:rPr>
          <w:t>30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2" w:history="1">
        <w:r w:rsidR="00BD0D35" w:rsidRPr="00BD0D35">
          <w:rPr>
            <w:rStyle w:val="Hyperlink"/>
            <w:b w:val="0"/>
          </w:rPr>
          <w:t>Slika 8. Udjeli sastavnica konačne potrošnje u ukupnoj konačnoj potrošnji kroz godine 2004. – 2012., stalne cijene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_Toc377635332 \h </w:instrText>
        </w:r>
        <w:r w:rsidR="00A36B38" w:rsidRPr="00BD0D35">
          <w:rPr>
            <w:b w:val="0"/>
            <w:webHidden/>
          </w:rPr>
        </w:r>
        <w:r w:rsidR="00A36B38" w:rsidRPr="00BD0D35">
          <w:rPr>
            <w:b w:val="0"/>
            <w:webHidden/>
          </w:rPr>
          <w:fldChar w:fldCharType="separate"/>
        </w:r>
        <w:r w:rsidR="00661B08">
          <w:rPr>
            <w:b w:val="0"/>
            <w:webHidden/>
          </w:rPr>
          <w:t>31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3" w:history="1">
        <w:r w:rsidR="00BD0D35" w:rsidRPr="00BD0D35">
          <w:rPr>
            <w:rStyle w:val="Hyperlink"/>
            <w:b w:val="0"/>
          </w:rPr>
          <w:t>Slika 9. Indeksi potrošačkih cijena, bruto i neto plaća (2008. = 100)</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_Toc377635333 \h </w:instrText>
        </w:r>
        <w:r w:rsidR="00A36B38" w:rsidRPr="00BD0D35">
          <w:rPr>
            <w:b w:val="0"/>
            <w:webHidden/>
          </w:rPr>
        </w:r>
        <w:r w:rsidR="00A36B38" w:rsidRPr="00BD0D35">
          <w:rPr>
            <w:b w:val="0"/>
            <w:webHidden/>
          </w:rPr>
          <w:fldChar w:fldCharType="separate"/>
        </w:r>
        <w:r w:rsidR="00661B08">
          <w:rPr>
            <w:b w:val="0"/>
            <w:webHidden/>
          </w:rPr>
          <w:t>32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4" w:history="1">
        <w:r w:rsidR="00BD0D35" w:rsidRPr="00BD0D35">
          <w:rPr>
            <w:rStyle w:val="Hyperlink"/>
            <w:b w:val="0"/>
          </w:rPr>
          <w:t>Slika 10. Indeks proizvođačkih cijena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_Toc377635334 \h </w:instrText>
        </w:r>
        <w:r w:rsidR="00A36B38" w:rsidRPr="00BD0D35">
          <w:rPr>
            <w:b w:val="0"/>
            <w:webHidden/>
          </w:rPr>
        </w:r>
        <w:r w:rsidR="00A36B38" w:rsidRPr="00BD0D35">
          <w:rPr>
            <w:b w:val="0"/>
            <w:webHidden/>
          </w:rPr>
          <w:fldChar w:fldCharType="separate"/>
        </w:r>
        <w:r w:rsidR="00661B08">
          <w:rPr>
            <w:b w:val="0"/>
            <w:webHidden/>
          </w:rPr>
          <w:t>33</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5" w:history="1">
        <w:r w:rsidR="00BD0D35" w:rsidRPr="00BD0D35">
          <w:rPr>
            <w:rStyle w:val="Hyperlink"/>
            <w:b w:val="0"/>
          </w:rPr>
          <w:t>Slika 11. Distribucija kunskih kredita kreditnih institucija bez kredita financijskim institucijama, 2004. – 2012.,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_Toc377635335 \h </w:instrText>
        </w:r>
        <w:r w:rsidR="00A36B38" w:rsidRPr="00BD0D35">
          <w:rPr>
            <w:b w:val="0"/>
            <w:webHidden/>
          </w:rPr>
        </w:r>
        <w:r w:rsidR="00A36B38" w:rsidRPr="00BD0D35">
          <w:rPr>
            <w:b w:val="0"/>
            <w:webHidden/>
          </w:rPr>
          <w:fldChar w:fldCharType="separate"/>
        </w:r>
        <w:r w:rsidR="00661B08">
          <w:rPr>
            <w:b w:val="0"/>
            <w:webHidden/>
          </w:rPr>
          <w:t>34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6" w:history="1">
        <w:r w:rsidR="00BD0D35" w:rsidRPr="00BD0D35">
          <w:rPr>
            <w:rStyle w:val="Hyperlink"/>
            <w:b w:val="0"/>
          </w:rPr>
          <w:t>Slika 12. Distribucija deviznih kredita kreditnih institucija bez kredita financijskim institucijama 2004. – 2012., u milijunima kuna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_Toc377635336 \h </w:instrText>
        </w:r>
        <w:r w:rsidR="00A36B38" w:rsidRPr="00BD0D35">
          <w:rPr>
            <w:b w:val="0"/>
            <w:webHidden/>
          </w:rPr>
        </w:r>
        <w:r w:rsidR="00A36B38" w:rsidRPr="00BD0D35">
          <w:rPr>
            <w:b w:val="0"/>
            <w:webHidden/>
          </w:rPr>
          <w:fldChar w:fldCharType="separate"/>
        </w:r>
        <w:r w:rsidR="00661B08">
          <w:rPr>
            <w:b w:val="0"/>
            <w:webHidden/>
          </w:rPr>
          <w:t>34</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7" w:history="1">
        <w:r w:rsidR="00BD0D35" w:rsidRPr="00BD0D35">
          <w:rPr>
            <w:rStyle w:val="Hyperlink"/>
            <w:b w:val="0"/>
          </w:rPr>
          <w:t>Slika 13. Kamatne stope trgovačkim društvima na kunske kredite bez valutne klauzule,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_Toc377635337 \h </w:instrText>
        </w:r>
        <w:r w:rsidR="00A36B38" w:rsidRPr="00BD0D35">
          <w:rPr>
            <w:b w:val="0"/>
            <w:webHidden/>
          </w:rPr>
        </w:r>
        <w:r w:rsidR="00A36B38" w:rsidRPr="00BD0D35">
          <w:rPr>
            <w:b w:val="0"/>
            <w:webHidden/>
          </w:rPr>
          <w:fldChar w:fldCharType="separate"/>
        </w:r>
        <w:r w:rsidR="00661B08">
          <w:rPr>
            <w:b w:val="0"/>
            <w:webHidden/>
          </w:rPr>
          <w:t>35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8" w:history="1">
        <w:r w:rsidR="00BD0D35" w:rsidRPr="00BD0D35">
          <w:rPr>
            <w:rStyle w:val="Hyperlink"/>
            <w:b w:val="0"/>
          </w:rPr>
          <w:t>Slika 14. Kamatne stope trgovačkim društvima na kunske kredite s valutnom klauzulom,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_Toc377635338 \h </w:instrText>
        </w:r>
        <w:r w:rsidR="00A36B38" w:rsidRPr="00BD0D35">
          <w:rPr>
            <w:b w:val="0"/>
            <w:webHidden/>
          </w:rPr>
        </w:r>
        <w:r w:rsidR="00A36B38" w:rsidRPr="00BD0D35">
          <w:rPr>
            <w:b w:val="0"/>
            <w:webHidden/>
          </w:rPr>
          <w:fldChar w:fldCharType="separate"/>
        </w:r>
        <w:r w:rsidR="00661B08">
          <w:rPr>
            <w:b w:val="0"/>
            <w:webHidden/>
          </w:rPr>
          <w:t>36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39" w:history="1">
        <w:r w:rsidR="00BD0D35" w:rsidRPr="00BD0D35">
          <w:rPr>
            <w:rStyle w:val="Hyperlink"/>
            <w:b w:val="0"/>
          </w:rPr>
          <w:t>Slika 15. Kamatne stope na kredite u eurima 2004. – 2012., godišnji prosjek</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_Toc377635339 \h </w:instrText>
        </w:r>
        <w:r w:rsidR="00A36B38" w:rsidRPr="00BD0D35">
          <w:rPr>
            <w:b w:val="0"/>
            <w:webHidden/>
          </w:rPr>
        </w:r>
        <w:r w:rsidR="00A36B38" w:rsidRPr="00BD0D35">
          <w:rPr>
            <w:b w:val="0"/>
            <w:webHidden/>
          </w:rPr>
          <w:fldChar w:fldCharType="separate"/>
        </w:r>
        <w:r w:rsidR="00661B08">
          <w:rPr>
            <w:b w:val="0"/>
            <w:webHidden/>
          </w:rPr>
          <w:t>36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0" w:history="1">
        <w:r w:rsidR="00BD0D35" w:rsidRPr="00BD0D35">
          <w:rPr>
            <w:rStyle w:val="Hyperlink"/>
            <w:b w:val="0"/>
          </w:rPr>
          <w:t>Slika 16. Izravna inozemna ulaganja , u milijunima kuna, preračunato u kune prema srednjem tečaju HNB-a na dan 31. prosinca., 2004.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_Toc377635340 \h </w:instrText>
        </w:r>
        <w:r w:rsidR="00A36B38" w:rsidRPr="00BD0D35">
          <w:rPr>
            <w:b w:val="0"/>
            <w:webHidden/>
          </w:rPr>
        </w:r>
        <w:r w:rsidR="00A36B38" w:rsidRPr="00BD0D35">
          <w:rPr>
            <w:b w:val="0"/>
            <w:webHidden/>
          </w:rPr>
          <w:fldChar w:fldCharType="separate"/>
        </w:r>
        <w:r w:rsidR="00661B08">
          <w:rPr>
            <w:b w:val="0"/>
            <w:webHidden/>
          </w:rPr>
          <w:t>41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1" w:history="1">
        <w:r w:rsidR="00BD0D35" w:rsidRPr="00BD0D35">
          <w:rPr>
            <w:rStyle w:val="Hyperlink"/>
            <w:b w:val="0"/>
            <w:lang w:eastAsia="hr-HR"/>
          </w:rPr>
          <w:t>Slika 17. Postotna promjena administrativnog broja zaposlenih u pravnim osobama prema NKD-u 2007., razdoblje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_Toc377635341 \h </w:instrText>
        </w:r>
        <w:r w:rsidR="00A36B38" w:rsidRPr="00BD0D35">
          <w:rPr>
            <w:b w:val="0"/>
            <w:webHidden/>
          </w:rPr>
        </w:r>
        <w:r w:rsidR="00A36B38" w:rsidRPr="00BD0D35">
          <w:rPr>
            <w:b w:val="0"/>
            <w:webHidden/>
          </w:rPr>
          <w:fldChar w:fldCharType="separate"/>
        </w:r>
        <w:r w:rsidR="00661B08">
          <w:rPr>
            <w:b w:val="0"/>
            <w:webHidden/>
          </w:rPr>
          <w:t>50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2" w:history="1">
        <w:r w:rsidR="00BD0D35" w:rsidRPr="00BD0D35">
          <w:rPr>
            <w:rStyle w:val="Hyperlink"/>
            <w:b w:val="0"/>
            <w:lang w:eastAsia="hr-HR"/>
          </w:rPr>
          <w:t>Slika 18. Odnos broja slobodnih radnih mjesta i broja zaposlenih prema podacima Hrvatskog zavoda za zapošljavanje,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_Toc377635342 \h </w:instrText>
        </w:r>
        <w:r w:rsidR="00A36B38" w:rsidRPr="00BD0D35">
          <w:rPr>
            <w:b w:val="0"/>
            <w:webHidden/>
          </w:rPr>
        </w:r>
        <w:r w:rsidR="00A36B38" w:rsidRPr="00BD0D35">
          <w:rPr>
            <w:b w:val="0"/>
            <w:webHidden/>
          </w:rPr>
          <w:fldChar w:fldCharType="separate"/>
        </w:r>
        <w:r w:rsidR="00661B08">
          <w:rPr>
            <w:b w:val="0"/>
            <w:webHidden/>
          </w:rPr>
          <w:t>55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3" w:history="1">
        <w:r w:rsidR="00BD0D35" w:rsidRPr="00BD0D35">
          <w:rPr>
            <w:rStyle w:val="Hyperlink"/>
            <w:b w:val="0"/>
          </w:rPr>
          <w:t>Slika 19. Stopa zapošljavanja prema stupnju obrazovanja u 2012. godini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_Toc377635343 \h </w:instrText>
        </w:r>
        <w:r w:rsidR="00A36B38" w:rsidRPr="00BD0D35">
          <w:rPr>
            <w:b w:val="0"/>
            <w:webHidden/>
          </w:rPr>
        </w:r>
        <w:r w:rsidR="00A36B38" w:rsidRPr="00BD0D35">
          <w:rPr>
            <w:b w:val="0"/>
            <w:webHidden/>
          </w:rPr>
          <w:fldChar w:fldCharType="separate"/>
        </w:r>
        <w:r w:rsidR="00661B08">
          <w:rPr>
            <w:b w:val="0"/>
            <w:webHidden/>
          </w:rPr>
          <w:t>58</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4" w:history="1">
        <w:r w:rsidR="00BD0D35" w:rsidRPr="00BD0D35">
          <w:rPr>
            <w:rStyle w:val="Hyperlink"/>
            <w:b w:val="0"/>
            <w:kern w:val="36"/>
          </w:rPr>
          <w:t>Slika 20. Utjecaj europske industrijske politike na nacionalne industrijske politike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_Toc377635344 \h </w:instrText>
        </w:r>
        <w:r w:rsidR="00A36B38" w:rsidRPr="00BD0D35">
          <w:rPr>
            <w:b w:val="0"/>
            <w:webHidden/>
          </w:rPr>
        </w:r>
        <w:r w:rsidR="00A36B38" w:rsidRPr="00BD0D35">
          <w:rPr>
            <w:b w:val="0"/>
            <w:webHidden/>
          </w:rPr>
          <w:fldChar w:fldCharType="separate"/>
        </w:r>
        <w:r w:rsidR="00661B08">
          <w:rPr>
            <w:b w:val="0"/>
            <w:webHidden/>
          </w:rPr>
          <w:t>80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5" w:history="1">
        <w:r w:rsidR="00BD0D35" w:rsidRPr="00BD0D35">
          <w:rPr>
            <w:rStyle w:val="Hyperlink"/>
            <w:b w:val="0"/>
          </w:rPr>
          <w:t>Slika 21. Promjena obujma industrijske proizvodnje prerađivačke industrije 2008. – 2012.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_Toc377635345 \h </w:instrText>
        </w:r>
        <w:r w:rsidR="00A36B38" w:rsidRPr="00BD0D35">
          <w:rPr>
            <w:b w:val="0"/>
            <w:webHidden/>
          </w:rPr>
        </w:r>
        <w:r w:rsidR="00A36B38" w:rsidRPr="00BD0D35">
          <w:rPr>
            <w:b w:val="0"/>
            <w:webHidden/>
          </w:rPr>
          <w:fldChar w:fldCharType="separate"/>
        </w:r>
        <w:r w:rsidR="00661B08">
          <w:rPr>
            <w:b w:val="0"/>
            <w:webHidden/>
          </w:rPr>
          <w:t>92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6" w:history="1">
        <w:r w:rsidR="00BD0D35" w:rsidRPr="00BD0D35">
          <w:rPr>
            <w:rStyle w:val="Hyperlink"/>
            <w:b w:val="0"/>
          </w:rPr>
          <w:t xml:space="preserve">Slika 22. Udjeli u bruto dodanoj vrijednosti i broju zaposlenih u djelatnosti prerađivačke industrije 2012. </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_Toc377635346 \h </w:instrText>
        </w:r>
        <w:r w:rsidR="00A36B38" w:rsidRPr="00BD0D35">
          <w:rPr>
            <w:b w:val="0"/>
            <w:webHidden/>
          </w:rPr>
        </w:r>
        <w:r w:rsidR="00A36B38" w:rsidRPr="00BD0D35">
          <w:rPr>
            <w:b w:val="0"/>
            <w:webHidden/>
          </w:rPr>
          <w:fldChar w:fldCharType="separate"/>
        </w:r>
        <w:r w:rsidR="00661B08">
          <w:rPr>
            <w:b w:val="0"/>
            <w:webHidden/>
          </w:rPr>
          <w:t>120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7" w:history="1">
        <w:r w:rsidR="00BD0D35" w:rsidRPr="00BD0D35">
          <w:rPr>
            <w:rStyle w:val="Hyperlink"/>
            <w:b w:val="0"/>
          </w:rPr>
          <w:t>Slika 23. Razvrstavanje poddjelatnosti u skupine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_Toc377635347 \h </w:instrText>
        </w:r>
        <w:r w:rsidR="00A36B38" w:rsidRPr="00BD0D35">
          <w:rPr>
            <w:b w:val="0"/>
            <w:webHidden/>
          </w:rPr>
        </w:r>
        <w:r w:rsidR="00A36B38" w:rsidRPr="00BD0D35">
          <w:rPr>
            <w:b w:val="0"/>
            <w:webHidden/>
          </w:rPr>
          <w:fldChar w:fldCharType="separate"/>
        </w:r>
        <w:r w:rsidR="00661B08">
          <w:rPr>
            <w:b w:val="0"/>
            <w:webHidden/>
          </w:rPr>
          <w:t>285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8" w:history="1">
        <w:r w:rsidR="00BD0D35" w:rsidRPr="00BD0D35">
          <w:rPr>
            <w:rStyle w:val="Hyperlink"/>
            <w:b w:val="0"/>
          </w:rPr>
          <w:t>Slika 24. Lanac vrijednosti</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_Toc377635348 \h </w:instrText>
        </w:r>
        <w:r w:rsidR="00A36B38" w:rsidRPr="00BD0D35">
          <w:rPr>
            <w:b w:val="0"/>
            <w:webHidden/>
          </w:rPr>
        </w:r>
        <w:r w:rsidR="00A36B38" w:rsidRPr="00BD0D35">
          <w:rPr>
            <w:b w:val="0"/>
            <w:webHidden/>
          </w:rPr>
          <w:fldChar w:fldCharType="separate"/>
        </w:r>
        <w:r w:rsidR="00661B08">
          <w:rPr>
            <w:b w:val="0"/>
            <w:webHidden/>
          </w:rPr>
          <w:t>290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49" w:history="1">
        <w:r w:rsidR="00BD0D35" w:rsidRPr="00BD0D35">
          <w:rPr>
            <w:rStyle w:val="Hyperlink"/>
            <w:b w:val="0"/>
            <w:lang w:eastAsia="hr-HR"/>
          </w:rPr>
          <w:t>Slika 25. Odrednice industrijskoga rasta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_Toc377635349 \h </w:instrText>
        </w:r>
        <w:r w:rsidR="00A36B38" w:rsidRPr="00BD0D35">
          <w:rPr>
            <w:b w:val="0"/>
            <w:webHidden/>
          </w:rPr>
        </w:r>
        <w:r w:rsidR="00A36B38" w:rsidRPr="00BD0D35">
          <w:rPr>
            <w:b w:val="0"/>
            <w:webHidden/>
          </w:rPr>
          <w:fldChar w:fldCharType="separate"/>
        </w:r>
        <w:r w:rsidR="00661B08">
          <w:rPr>
            <w:b w:val="0"/>
            <w:webHidden/>
          </w:rPr>
          <w:t>295</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0" w:history="1">
        <w:r w:rsidR="00BD0D35" w:rsidRPr="00BD0D35">
          <w:rPr>
            <w:rStyle w:val="Hyperlink"/>
            <w:b w:val="0"/>
          </w:rPr>
          <w:t>Slika 26. Lanac vrijednosti – strateški ciljevi hrvatske industrije</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_Toc377635350 \h </w:instrText>
        </w:r>
        <w:r w:rsidR="00A36B38" w:rsidRPr="00BD0D35">
          <w:rPr>
            <w:b w:val="0"/>
            <w:webHidden/>
          </w:rPr>
        </w:r>
        <w:r w:rsidR="00A36B38" w:rsidRPr="00BD0D35">
          <w:rPr>
            <w:b w:val="0"/>
            <w:webHidden/>
          </w:rPr>
          <w:fldChar w:fldCharType="separate"/>
        </w:r>
        <w:r w:rsidR="00661B08">
          <w:rPr>
            <w:b w:val="0"/>
            <w:webHidden/>
          </w:rPr>
          <w:t>300</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1" w:history="1">
        <w:r w:rsidR="00BD0D35" w:rsidRPr="00BD0D35">
          <w:rPr>
            <w:rStyle w:val="Hyperlink"/>
            <w:b w:val="0"/>
            <w:lang w:eastAsia="hr-HR"/>
          </w:rPr>
          <w:t>Slika 27. Konceptualni okvir analize scenarija</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_Toc377635351 \h </w:instrText>
        </w:r>
        <w:r w:rsidR="00A36B38" w:rsidRPr="00BD0D35">
          <w:rPr>
            <w:b w:val="0"/>
            <w:webHidden/>
          </w:rPr>
        </w:r>
        <w:r w:rsidR="00A36B38" w:rsidRPr="00BD0D35">
          <w:rPr>
            <w:b w:val="0"/>
            <w:webHidden/>
          </w:rPr>
          <w:fldChar w:fldCharType="separate"/>
        </w:r>
        <w:r w:rsidR="00661B08">
          <w:rPr>
            <w:b w:val="0"/>
            <w:webHidden/>
          </w:rPr>
          <w:t>306</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2" w:history="1">
        <w:r w:rsidR="00BD0D35" w:rsidRPr="00BD0D35">
          <w:rPr>
            <w:rStyle w:val="Hyperlink"/>
            <w:b w:val="0"/>
          </w:rPr>
          <w:t>Slika 28. Obujam industrijske proizvodnje (referentna godina 2008.) -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_Toc377635352 \h </w:instrText>
        </w:r>
        <w:r w:rsidR="00A36B38" w:rsidRPr="00BD0D35">
          <w:rPr>
            <w:b w:val="0"/>
            <w:webHidden/>
          </w:rPr>
        </w:r>
        <w:r w:rsidR="00A36B38" w:rsidRPr="00BD0D35">
          <w:rPr>
            <w:b w:val="0"/>
            <w:webHidden/>
          </w:rPr>
          <w:fldChar w:fldCharType="separate"/>
        </w:r>
        <w:r w:rsidR="00661B08">
          <w:rPr>
            <w:b w:val="0"/>
            <w:webHidden/>
          </w:rPr>
          <w:t>311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3" w:history="1">
        <w:r w:rsidR="00BD0D35" w:rsidRPr="00BD0D35">
          <w:rPr>
            <w:rStyle w:val="Hyperlink"/>
            <w:b w:val="0"/>
          </w:rPr>
          <w:t>Slika 29. Stope promjene obujma industrijske proizvodnje u odnosu na prethodnu godinu, Scenarij 1</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_Toc377635353 \h </w:instrText>
        </w:r>
        <w:r w:rsidR="00A36B38" w:rsidRPr="00BD0D35">
          <w:rPr>
            <w:b w:val="0"/>
            <w:webHidden/>
          </w:rPr>
        </w:r>
        <w:r w:rsidR="00A36B38" w:rsidRPr="00BD0D35">
          <w:rPr>
            <w:b w:val="0"/>
            <w:webHidden/>
          </w:rPr>
          <w:fldChar w:fldCharType="separate"/>
        </w:r>
        <w:r w:rsidR="00661B08">
          <w:rPr>
            <w:b w:val="0"/>
            <w:webHidden/>
          </w:rPr>
          <w:t>311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4" w:history="1">
        <w:r w:rsidR="00BD0D35" w:rsidRPr="00BD0D35">
          <w:rPr>
            <w:rStyle w:val="Hyperlink"/>
            <w:b w:val="0"/>
          </w:rPr>
          <w:t>Slika 30. Obujam industrijske proizvodnje (referentna godina 2008.),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_Toc377635354 \h </w:instrText>
        </w:r>
        <w:r w:rsidR="00A36B38" w:rsidRPr="00BD0D35">
          <w:rPr>
            <w:b w:val="0"/>
            <w:webHidden/>
          </w:rPr>
        </w:r>
        <w:r w:rsidR="00A36B38" w:rsidRPr="00BD0D35">
          <w:rPr>
            <w:b w:val="0"/>
            <w:webHidden/>
          </w:rPr>
          <w:fldChar w:fldCharType="separate"/>
        </w:r>
        <w:r w:rsidR="00661B08">
          <w:rPr>
            <w:b w:val="0"/>
            <w:webHidden/>
          </w:rPr>
          <w:t>311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5" w:history="1">
        <w:r w:rsidR="00BD0D35" w:rsidRPr="00BD0D35">
          <w:rPr>
            <w:rStyle w:val="Hyperlink"/>
            <w:b w:val="0"/>
          </w:rPr>
          <w:t>Slika 31. Stope rasta obujma industrijske proizvodnje u odnosu na prethodnu godinu, Scenarij 2</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_Toc377635355 \h </w:instrText>
        </w:r>
        <w:r w:rsidR="00A36B38" w:rsidRPr="00BD0D35">
          <w:rPr>
            <w:b w:val="0"/>
            <w:webHidden/>
          </w:rPr>
        </w:r>
        <w:r w:rsidR="00A36B38" w:rsidRPr="00BD0D35">
          <w:rPr>
            <w:b w:val="0"/>
            <w:webHidden/>
          </w:rPr>
          <w:fldChar w:fldCharType="separate"/>
        </w:r>
        <w:r w:rsidR="00661B08">
          <w:rPr>
            <w:b w:val="0"/>
            <w:webHidden/>
          </w:rPr>
          <w:t>311</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6" w:history="1">
        <w:r w:rsidR="00BD0D35" w:rsidRPr="00BD0D35">
          <w:rPr>
            <w:rStyle w:val="Hyperlink"/>
            <w:b w:val="0"/>
          </w:rPr>
          <w:t>Slika 32. Obujam industrijske proizvodnje (referentna godina 2008.) -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_Toc377635356 \h </w:instrText>
        </w:r>
        <w:r w:rsidR="00A36B38" w:rsidRPr="00BD0D35">
          <w:rPr>
            <w:b w:val="0"/>
            <w:webHidden/>
          </w:rPr>
        </w:r>
        <w:r w:rsidR="00A36B38" w:rsidRPr="00BD0D35">
          <w:rPr>
            <w:b w:val="0"/>
            <w:webHidden/>
          </w:rPr>
          <w:fldChar w:fldCharType="separate"/>
        </w:r>
        <w:r w:rsidR="00661B08">
          <w:rPr>
            <w:b w:val="0"/>
            <w:webHidden/>
          </w:rPr>
          <w:t>312</w:t>
        </w:r>
        <w:r w:rsidR="00A36B38" w:rsidRPr="00BD0D35">
          <w:rPr>
            <w:b w:val="0"/>
            <w:webHidden/>
          </w:rPr>
          <w:fldChar w:fldCharType="end"/>
        </w:r>
      </w:hyperlink>
    </w:p>
    <w:p w:rsidR="00BD0D35" w:rsidRPr="00BD0D35" w:rsidRDefault="00BF13E1">
      <w:pPr>
        <w:pStyle w:val="TOC1"/>
        <w:rPr>
          <w:rFonts w:asciiTheme="minorHAnsi" w:eastAsiaTheme="minorEastAsia" w:hAnsiTheme="minorHAnsi" w:cstheme="minorBidi"/>
          <w:b w:val="0"/>
          <w:sz w:val="22"/>
          <w:lang w:eastAsia="hr-HR"/>
        </w:rPr>
      </w:pPr>
      <w:hyperlink w:anchor="_Toc377635357" w:history="1">
        <w:r w:rsidR="00BD0D35" w:rsidRPr="00BD0D35">
          <w:rPr>
            <w:rStyle w:val="Hyperlink"/>
            <w:b w:val="0"/>
          </w:rPr>
          <w:t>Slika 33. Stope rasta obujma industrijske proizvodnje u odnosu na prethodnu godinu - Scenarij 3</w:t>
        </w:r>
        <w:r w:rsidR="00BD0D35" w:rsidRPr="00BD0D35">
          <w:rPr>
            <w:b w:val="0"/>
            <w:webHidden/>
          </w:rPr>
          <w:tab/>
        </w:r>
        <w:r w:rsidR="00A36B38" w:rsidRPr="00BD0D35">
          <w:rPr>
            <w:b w:val="0"/>
            <w:webHidden/>
          </w:rPr>
          <w:fldChar w:fldCharType="begin"/>
        </w:r>
        <w:r w:rsidR="00BD0D35" w:rsidRPr="00BD0D35">
          <w:rPr>
            <w:b w:val="0"/>
            <w:webHidden/>
          </w:rPr>
          <w:instrText xml:space="preserve"> PAGEREF _Toc377635357 \h </w:instrText>
        </w:r>
        <w:r w:rsidR="00A36B38" w:rsidRPr="00BD0D35">
          <w:rPr>
            <w:b w:val="0"/>
            <w:webHidden/>
          </w:rPr>
        </w:r>
        <w:r w:rsidR="00A36B38" w:rsidRPr="00BD0D35">
          <w:rPr>
            <w:b w:val="0"/>
            <w:webHidden/>
          </w:rPr>
          <w:fldChar w:fldCharType="separate"/>
        </w:r>
        <w:r w:rsidR="00661B08">
          <w:rPr>
            <w:b w:val="0"/>
            <w:webHidden/>
          </w:rPr>
          <w:t>312</w:t>
        </w:r>
        <w:r w:rsidR="00A36B38" w:rsidRPr="00BD0D35">
          <w:rPr>
            <w:b w:val="0"/>
            <w:webHidden/>
          </w:rPr>
          <w:fldChar w:fldCharType="end"/>
        </w:r>
      </w:hyperlink>
    </w:p>
    <w:p w:rsidR="00A23CB5" w:rsidRPr="00BD0D35" w:rsidRDefault="00A36B38">
      <w:r w:rsidRPr="00BD0D35">
        <w:fldChar w:fldCharType="end"/>
      </w:r>
    </w:p>
    <w:p w:rsidR="00A23CB5" w:rsidRPr="004E6412" w:rsidRDefault="00A23CB5"/>
    <w:p w:rsidR="00A23CB5" w:rsidRPr="004E6412" w:rsidRDefault="00A23CB5"/>
    <w:p w:rsidR="009E14E1" w:rsidRPr="004E6412" w:rsidRDefault="009E14E1">
      <w:pPr>
        <w:spacing w:after="200"/>
        <w:jc w:val="left"/>
        <w:rPr>
          <w:rFonts w:eastAsia="Times New Roman"/>
          <w:color w:val="17365D"/>
          <w:spacing w:val="5"/>
          <w:kern w:val="28"/>
          <w:sz w:val="52"/>
          <w:szCs w:val="52"/>
        </w:rPr>
      </w:pPr>
      <w:bookmarkStart w:id="11" w:name="_Toc366154350"/>
      <w:bookmarkStart w:id="12" w:name="_Toc366409891"/>
      <w:r w:rsidRPr="004E6412">
        <w:br w:type="page"/>
      </w:r>
    </w:p>
    <w:p w:rsidR="000E0036" w:rsidRPr="004E6412" w:rsidRDefault="000E0036" w:rsidP="007A2EAE">
      <w:pPr>
        <w:pStyle w:val="Title"/>
        <w:rPr>
          <w:rFonts w:ascii="Times New Roman" w:hAnsi="Times New Roman"/>
        </w:rPr>
      </w:pPr>
      <w:bookmarkStart w:id="13" w:name="_Toc378069011"/>
      <w:r w:rsidRPr="004E6412">
        <w:rPr>
          <w:rFonts w:ascii="Times New Roman" w:hAnsi="Times New Roman"/>
        </w:rPr>
        <w:lastRenderedPageBreak/>
        <w:t>Uvod</w:t>
      </w:r>
      <w:bookmarkEnd w:id="11"/>
      <w:bookmarkEnd w:id="12"/>
      <w:bookmarkEnd w:id="13"/>
    </w:p>
    <w:p w:rsidR="008C6C49" w:rsidRPr="004E6412" w:rsidRDefault="008C6C49" w:rsidP="00F81C4C">
      <w:pPr>
        <w:pStyle w:val="Heading2"/>
      </w:pPr>
    </w:p>
    <w:p w:rsidR="00AE6164" w:rsidRPr="004E6412" w:rsidRDefault="00006F29" w:rsidP="00F81C4C">
      <w:pPr>
        <w:pStyle w:val="Heading2"/>
      </w:pPr>
      <w:bookmarkStart w:id="14" w:name="_Toc378069012"/>
      <w:r w:rsidRPr="004E6412">
        <w:t xml:space="preserve">Pojmovno razgraničenje industrijske i gospodarske strategije </w:t>
      </w:r>
      <w:r w:rsidR="00397B51" w:rsidRPr="004E6412">
        <w:t>Republike Hrvatske</w:t>
      </w:r>
      <w:bookmarkEnd w:id="14"/>
      <w:r w:rsidR="00397B51" w:rsidRPr="004E6412">
        <w:t xml:space="preserve"> </w:t>
      </w:r>
    </w:p>
    <w:p w:rsidR="00795057" w:rsidRPr="004E6412" w:rsidRDefault="00795057" w:rsidP="00AE6164">
      <w:pPr>
        <w:rPr>
          <w:rFonts w:eastAsia="Times New Roman"/>
          <w:sz w:val="22"/>
        </w:rPr>
      </w:pPr>
    </w:p>
    <w:p w:rsidR="003717F5" w:rsidRPr="004E6412" w:rsidRDefault="003717F5" w:rsidP="00AE6164">
      <w:pPr>
        <w:rPr>
          <w:rFonts w:eastAsia="Times New Roman"/>
          <w:sz w:val="22"/>
        </w:rPr>
      </w:pPr>
    </w:p>
    <w:p w:rsidR="00006F29" w:rsidRPr="004E6412" w:rsidRDefault="00006F29" w:rsidP="00B15A78">
      <w:pPr>
        <w:numPr>
          <w:ilvl w:val="0"/>
          <w:numId w:val="136"/>
        </w:numPr>
        <w:rPr>
          <w:rFonts w:eastAsia="Times New Roman"/>
          <w:sz w:val="22"/>
        </w:rPr>
      </w:pPr>
      <w:r w:rsidRPr="004E6412">
        <w:rPr>
          <w:rFonts w:eastAsia="Times New Roman"/>
          <w:sz w:val="22"/>
        </w:rPr>
        <w:t>Pojmovi „</w:t>
      </w:r>
      <w:r w:rsidR="004C2739" w:rsidRPr="004E6412">
        <w:rPr>
          <w:rFonts w:eastAsia="Times New Roman"/>
          <w:sz w:val="22"/>
        </w:rPr>
        <w:t xml:space="preserve">gospodarstvo“ i „industrija“ </w:t>
      </w:r>
      <w:r w:rsidRPr="004E6412">
        <w:rPr>
          <w:rFonts w:eastAsia="Times New Roman"/>
          <w:sz w:val="22"/>
        </w:rPr>
        <w:t xml:space="preserve">često </w:t>
      </w:r>
      <w:r w:rsidR="004C2739" w:rsidRPr="004E6412">
        <w:rPr>
          <w:rFonts w:eastAsia="Times New Roman"/>
          <w:sz w:val="22"/>
        </w:rPr>
        <w:t>se smatraju sinonimima</w:t>
      </w:r>
      <w:r w:rsidRPr="004E6412">
        <w:rPr>
          <w:rFonts w:eastAsia="Times New Roman"/>
          <w:sz w:val="22"/>
        </w:rPr>
        <w:t xml:space="preserve"> pa se stoga i pojmovi „gospodarska strategija“ i „industrijska strategija“ poistovjećuju. Budući </w:t>
      </w:r>
      <w:r w:rsidR="004C2739" w:rsidRPr="004E6412">
        <w:rPr>
          <w:rFonts w:eastAsia="Times New Roman"/>
          <w:sz w:val="22"/>
        </w:rPr>
        <w:t xml:space="preserve">da </w:t>
      </w:r>
      <w:r w:rsidRPr="004E6412">
        <w:rPr>
          <w:rFonts w:eastAsia="Times New Roman"/>
          <w:sz w:val="22"/>
        </w:rPr>
        <w:t xml:space="preserve">se radi o dva različita pojma, nužno ih je ukratko razgraničiti. Dok gospodarstvo u najširem smislu riječi znači </w:t>
      </w:r>
      <w:r w:rsidR="00C420A8" w:rsidRPr="004E6412">
        <w:rPr>
          <w:rFonts w:eastAsia="Times New Roman"/>
          <w:sz w:val="22"/>
        </w:rPr>
        <w:t>„</w:t>
      </w:r>
      <w:r w:rsidRPr="004E6412">
        <w:rPr>
          <w:rFonts w:eastAsia="Times New Roman"/>
          <w:sz w:val="22"/>
        </w:rPr>
        <w:t>razboritu uporabu dobara i mogućnosti, što uključuje njihovo pribavljanje, proizvodnju i uvećanje, kao i djelatnosti, pravila i institucije kojima se to postiže</w:t>
      </w:r>
      <w:r w:rsidR="00C420A8" w:rsidRPr="004E6412">
        <w:rPr>
          <w:rFonts w:eastAsia="Times New Roman"/>
          <w:sz w:val="22"/>
        </w:rPr>
        <w:t>“</w:t>
      </w:r>
      <w:r w:rsidRPr="004E6412">
        <w:rPr>
          <w:rFonts w:eastAsia="Times New Roman"/>
          <w:sz w:val="22"/>
          <w:vertAlign w:val="superscript"/>
        </w:rPr>
        <w:footnoteReference w:id="1"/>
      </w:r>
      <w:r w:rsidRPr="004E6412">
        <w:rPr>
          <w:rFonts w:eastAsia="Times New Roman"/>
          <w:sz w:val="22"/>
        </w:rPr>
        <w:t>, pod industrijom se u ovom dokumentu podrazumijevaju industrijski sektori gospoda</w:t>
      </w:r>
      <w:r w:rsidR="00DF44A1">
        <w:rPr>
          <w:rFonts w:eastAsia="Times New Roman"/>
          <w:sz w:val="22"/>
        </w:rPr>
        <w:t>rstva definirani područjima C (P</w:t>
      </w:r>
      <w:r w:rsidRPr="004E6412">
        <w:rPr>
          <w:rFonts w:eastAsia="Times New Roman"/>
          <w:sz w:val="22"/>
        </w:rPr>
        <w:t>rerađivačka industrija), F (Građevinarstvo) i J (Informacije i komunikacije) NKD-a 2007.</w:t>
      </w:r>
    </w:p>
    <w:p w:rsidR="00DE4832" w:rsidRPr="004E6412" w:rsidRDefault="00DE4832" w:rsidP="00DE4832">
      <w:pPr>
        <w:rPr>
          <w:rFonts w:eastAsia="Times New Roman"/>
        </w:rPr>
      </w:pPr>
    </w:p>
    <w:p w:rsidR="00DE4832" w:rsidRPr="004E6412" w:rsidRDefault="00006F29" w:rsidP="00B15A78">
      <w:pPr>
        <w:numPr>
          <w:ilvl w:val="0"/>
          <w:numId w:val="136"/>
        </w:numPr>
        <w:rPr>
          <w:rFonts w:eastAsia="Times New Roman"/>
          <w:sz w:val="22"/>
        </w:rPr>
      </w:pPr>
      <w:r w:rsidRPr="004E6412">
        <w:rPr>
          <w:rFonts w:eastAsia="Times New Roman"/>
          <w:sz w:val="22"/>
        </w:rPr>
        <w:t xml:space="preserve">Iz definicija proizlazi kako je gospodarstvo širi pojam od pojma industrije, odnosno pojam koji uključuje pojam industrije. U skladu s tim, Vlada Republike Hrvatske usvojila je koncept izrade gospodarske strategije </w:t>
      </w:r>
      <w:r w:rsidR="002F10E9" w:rsidRPr="004E6412">
        <w:rPr>
          <w:rFonts w:eastAsia="Times New Roman"/>
          <w:sz w:val="22"/>
        </w:rPr>
        <w:t xml:space="preserve">Republike Hrvatske </w:t>
      </w:r>
      <w:r w:rsidRPr="004E6412">
        <w:rPr>
          <w:rFonts w:eastAsia="Times New Roman"/>
          <w:sz w:val="22"/>
        </w:rPr>
        <w:t>prema kojoj industrijska strategija čini samo jedan od sastavnih dijelova gospodarske strategije, što se može vidjeti na Slici 1.</w:t>
      </w:r>
    </w:p>
    <w:p w:rsidR="00DE4832" w:rsidRPr="004E6412" w:rsidRDefault="00DE4832" w:rsidP="00DE4832">
      <w:pPr>
        <w:pStyle w:val="ListParagraph"/>
        <w:rPr>
          <w:rFonts w:eastAsia="Times New Roman"/>
        </w:rPr>
      </w:pPr>
    </w:p>
    <w:p w:rsidR="00DE4832" w:rsidRPr="004E6412" w:rsidRDefault="00DE4832" w:rsidP="00B15A78">
      <w:pPr>
        <w:pStyle w:val="ListParagraph"/>
        <w:numPr>
          <w:ilvl w:val="0"/>
          <w:numId w:val="136"/>
        </w:numPr>
        <w:spacing w:after="0"/>
        <w:jc w:val="both"/>
        <w:rPr>
          <w:rFonts w:ascii="Times New Roman" w:eastAsia="Times New Roman" w:hAnsi="Times New Roman"/>
        </w:rPr>
      </w:pPr>
      <w:r w:rsidRPr="004E6412">
        <w:rPr>
          <w:rFonts w:ascii="Times New Roman" w:eastAsia="Times New Roman" w:hAnsi="Times New Roman"/>
        </w:rPr>
        <w:t>„Industrijska strategija predstavlja svaki oblik intervencije ili državne politike usmjerene ka unaprjeđenju poslovnog okruženja</w:t>
      </w:r>
      <w:r w:rsidR="0042056D" w:rsidRPr="004E6412">
        <w:rPr>
          <w:rFonts w:ascii="Times New Roman" w:eastAsia="Times New Roman" w:hAnsi="Times New Roman"/>
        </w:rPr>
        <w:t>, odnosno</w:t>
      </w:r>
      <w:r w:rsidRPr="004E6412">
        <w:rPr>
          <w:rFonts w:ascii="Times New Roman" w:eastAsia="Times New Roman" w:hAnsi="Times New Roman"/>
        </w:rPr>
        <w:t xml:space="preserve"> promjene strukture ekonomske aktivnosti prema sektorima, tehnologijama ili zadacima od kojih se očekuje veći doprinos ekonomskom rastu ili društvenom blagostanju</w:t>
      </w:r>
      <w:r w:rsidR="00C84ECE" w:rsidRPr="004E6412">
        <w:rPr>
          <w:rFonts w:ascii="Times New Roman" w:eastAsia="Times New Roman" w:hAnsi="Times New Roman"/>
        </w:rPr>
        <w:t>,</w:t>
      </w:r>
      <w:r w:rsidRPr="004E6412">
        <w:rPr>
          <w:rFonts w:ascii="Times New Roman" w:eastAsia="Times New Roman" w:hAnsi="Times New Roman"/>
        </w:rPr>
        <w:t xml:space="preserve"> nego što bi to bio slučaj kad bi intervencija izostala.“</w:t>
      </w:r>
      <w:r w:rsidRPr="004E6412">
        <w:rPr>
          <w:rStyle w:val="FootnoteReference"/>
          <w:rFonts w:ascii="Times New Roman" w:eastAsia="Times New Roman" w:hAnsi="Times New Roman"/>
        </w:rPr>
        <w:footnoteReference w:id="2"/>
      </w:r>
      <w:r w:rsidRPr="004E6412">
        <w:rPr>
          <w:rFonts w:ascii="Times New Roman" w:eastAsia="Times New Roman" w:hAnsi="Times New Roman"/>
        </w:rPr>
        <w:t xml:space="preserve"> </w:t>
      </w:r>
    </w:p>
    <w:p w:rsidR="00DE4832" w:rsidRPr="004E6412" w:rsidRDefault="00DE4832" w:rsidP="00DE4832">
      <w:pPr>
        <w:ind w:left="720"/>
        <w:rPr>
          <w:rFonts w:eastAsia="Times New Roman"/>
          <w:sz w:val="22"/>
        </w:rPr>
      </w:pPr>
    </w:p>
    <w:p w:rsidR="00006F29" w:rsidRPr="004E6412" w:rsidRDefault="00006F29"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EC39B1" w:rsidRPr="004E6412" w:rsidRDefault="00EC39B1"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FC5A3F" w:rsidRPr="004E6412" w:rsidRDefault="00FC5A3F" w:rsidP="00006F29">
      <w:pPr>
        <w:rPr>
          <w:rFonts w:eastAsia="Times New Roman"/>
          <w:szCs w:val="24"/>
        </w:rPr>
      </w:pPr>
    </w:p>
    <w:p w:rsidR="00FC5A3F" w:rsidRPr="004E6412" w:rsidRDefault="00FC5A3F" w:rsidP="00006F29">
      <w:pPr>
        <w:rPr>
          <w:rFonts w:eastAsia="Times New Roman"/>
          <w:szCs w:val="24"/>
        </w:rPr>
      </w:pPr>
    </w:p>
    <w:p w:rsidR="00C84ECE" w:rsidRPr="004E6412" w:rsidRDefault="00C84ECE" w:rsidP="00006F29">
      <w:pPr>
        <w:rPr>
          <w:rFonts w:eastAsia="Times New Roman"/>
          <w:szCs w:val="24"/>
        </w:rPr>
      </w:pPr>
    </w:p>
    <w:p w:rsidR="00006F29" w:rsidRPr="004E6412" w:rsidRDefault="00755B73" w:rsidP="00755B73">
      <w:pPr>
        <w:pStyle w:val="Subtitle"/>
        <w:rPr>
          <w:lang w:val="hr-HR"/>
        </w:rPr>
      </w:pPr>
      <w:bookmarkStart w:id="15" w:name="_Toc377635325"/>
      <w:r w:rsidRPr="004E6412">
        <w:rPr>
          <w:lang w:val="hr-HR"/>
        </w:rPr>
        <w:lastRenderedPageBreak/>
        <w:t>Slika 1.</w:t>
      </w:r>
      <w:r w:rsidR="00006F29" w:rsidRPr="004E6412">
        <w:rPr>
          <w:lang w:val="hr-HR"/>
        </w:rPr>
        <w:t xml:space="preserve"> </w:t>
      </w:r>
      <w:r w:rsidR="00DC21FD" w:rsidRPr="004E6412">
        <w:rPr>
          <w:lang w:val="hr-HR"/>
        </w:rPr>
        <w:t>Industrijska strategija naspra</w:t>
      </w:r>
      <w:r w:rsidR="00C84FC9" w:rsidRPr="004E6412">
        <w:rPr>
          <w:lang w:val="hr-HR"/>
        </w:rPr>
        <w:t>m gospodarskoj strategiji</w:t>
      </w:r>
      <w:r w:rsidR="00006F29" w:rsidRPr="004E6412">
        <w:rPr>
          <w:lang w:val="hr-HR"/>
        </w:rPr>
        <w:t xml:space="preserve"> u Republici Hrvatskoj</w:t>
      </w:r>
      <w:bookmarkEnd w:id="15"/>
      <w:r w:rsidR="00006F29" w:rsidRPr="004E6412">
        <w:rPr>
          <w:lang w:val="hr-HR"/>
        </w:rPr>
        <w:t xml:space="preserve"> </w:t>
      </w:r>
    </w:p>
    <w:p w:rsidR="00006F29" w:rsidRPr="004E6412" w:rsidRDefault="00006F29" w:rsidP="00006F29">
      <w:pPr>
        <w:rPr>
          <w:rFonts w:eastAsia="Times New Roman"/>
          <w:szCs w:val="24"/>
        </w:rPr>
      </w:pPr>
    </w:p>
    <w:p w:rsidR="00006F29" w:rsidRPr="004E6412" w:rsidRDefault="00294426" w:rsidP="00006F29">
      <w:pPr>
        <w:rPr>
          <w:rFonts w:eastAsia="Times New Roman"/>
          <w:szCs w:val="24"/>
        </w:rPr>
      </w:pPr>
      <w:r>
        <w:rPr>
          <w:rFonts w:eastAsia="Times New Roman"/>
          <w:noProof/>
          <w:szCs w:val="24"/>
          <w:lang w:eastAsia="hr-HR"/>
        </w:rPr>
        <mc:AlternateContent>
          <mc:Choice Requires="wpg">
            <w:drawing>
              <wp:anchor distT="0" distB="0" distL="114300" distR="114300" simplePos="0" relativeHeight="251658752" behindDoc="0" locked="0" layoutInCell="1" allowOverlap="1">
                <wp:simplePos x="0" y="0"/>
                <wp:positionH relativeFrom="column">
                  <wp:posOffset>1530350</wp:posOffset>
                </wp:positionH>
                <wp:positionV relativeFrom="paragraph">
                  <wp:posOffset>-2540</wp:posOffset>
                </wp:positionV>
                <wp:extent cx="4551680" cy="3481705"/>
                <wp:effectExtent l="10795" t="15875" r="38100" b="7620"/>
                <wp:wrapNone/>
                <wp:docPr id="2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3481705"/>
                          <a:chOff x="3827" y="8071"/>
                          <a:chExt cx="7168" cy="5483"/>
                        </a:xfrm>
                      </wpg:grpSpPr>
                      <wps:wsp>
                        <wps:cNvPr id="217" name="AutoShape 40"/>
                        <wps:cNvCnPr>
                          <a:cxnSpLocks noChangeShapeType="1"/>
                        </wps:cNvCnPr>
                        <wps:spPr bwMode="auto">
                          <a:xfrm>
                            <a:off x="3827" y="8463"/>
                            <a:ext cx="4580" cy="2369"/>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18" name="AutoShape 41"/>
                        <wps:cNvCnPr>
                          <a:cxnSpLocks noChangeShapeType="1"/>
                        </wps:cNvCnPr>
                        <wps:spPr bwMode="auto">
                          <a:xfrm>
                            <a:off x="3827" y="9005"/>
                            <a:ext cx="4580" cy="1840"/>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19" name="AutoShape 42"/>
                        <wps:cNvSpPr>
                          <a:spLocks noChangeArrowheads="1"/>
                        </wps:cNvSpPr>
                        <wps:spPr bwMode="auto">
                          <a:xfrm>
                            <a:off x="5127" y="8071"/>
                            <a:ext cx="2310" cy="71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195F" w:rsidRDefault="00683AF5" w:rsidP="00006F29">
                              <w:pPr>
                                <w:spacing w:line="240" w:lineRule="auto"/>
                                <w:jc w:val="center"/>
                                <w:rPr>
                                  <w:b/>
                                  <w:color w:val="365F91"/>
                                  <w:sz w:val="20"/>
                                  <w:szCs w:val="20"/>
                                </w:rPr>
                              </w:pPr>
                              <w:r w:rsidRPr="0097195F">
                                <w:rPr>
                                  <w:b/>
                                  <w:color w:val="365F91"/>
                                  <w:sz w:val="20"/>
                                  <w:szCs w:val="20"/>
                                </w:rPr>
                                <w:t>Strategija regionalnog razvoja</w:t>
                              </w:r>
                            </w:p>
                          </w:txbxContent>
                        </wps:txbx>
                        <wps:bodyPr rot="0" vert="horz" wrap="square" lIns="91440" tIns="45720" rIns="91440" bIns="45720" anchor="t" anchorCtr="0" upright="1">
                          <a:noAutofit/>
                        </wps:bodyPr>
                      </wps:wsp>
                      <wps:wsp>
                        <wps:cNvPr id="220" name="AutoShape 43"/>
                        <wps:cNvSpPr>
                          <a:spLocks noChangeArrowheads="1"/>
                        </wps:cNvSpPr>
                        <wps:spPr bwMode="auto">
                          <a:xfrm>
                            <a:off x="8407" y="10421"/>
                            <a:ext cx="2588" cy="768"/>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683AF5" w:rsidRPr="0097195F" w:rsidRDefault="00683AF5" w:rsidP="00006F29">
                              <w:pPr>
                                <w:spacing w:line="240" w:lineRule="auto"/>
                                <w:jc w:val="center"/>
                                <w:rPr>
                                  <w:b/>
                                  <w:color w:val="FFFFFF"/>
                                  <w:sz w:val="22"/>
                                </w:rPr>
                              </w:pPr>
                              <w:r w:rsidRPr="0097195F">
                                <w:rPr>
                                  <w:b/>
                                  <w:color w:val="FFFFFF"/>
                                  <w:sz w:val="22"/>
                                </w:rPr>
                                <w:t>Gospodarska razvojna strategija</w:t>
                              </w:r>
                            </w:p>
                          </w:txbxContent>
                        </wps:txbx>
                        <wps:bodyPr rot="0" vert="horz" wrap="square" lIns="91440" tIns="45720" rIns="91440" bIns="45720" anchor="t" anchorCtr="0" upright="1">
                          <a:noAutofit/>
                        </wps:bodyPr>
                      </wps:wsp>
                      <wps:wsp>
                        <wps:cNvPr id="221" name="AutoShape 44"/>
                        <wps:cNvSpPr>
                          <a:spLocks noChangeArrowheads="1"/>
                        </wps:cNvSpPr>
                        <wps:spPr bwMode="auto">
                          <a:xfrm>
                            <a:off x="4856" y="10476"/>
                            <a:ext cx="2356" cy="71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195F" w:rsidRDefault="00683AF5" w:rsidP="00006F29">
                              <w:pPr>
                                <w:spacing w:line="240" w:lineRule="auto"/>
                                <w:jc w:val="center"/>
                                <w:rPr>
                                  <w:b/>
                                  <w:color w:val="365F91"/>
                                  <w:sz w:val="20"/>
                                  <w:szCs w:val="20"/>
                                </w:rPr>
                              </w:pPr>
                              <w:r w:rsidRPr="0097195F">
                                <w:rPr>
                                  <w:b/>
                                  <w:color w:val="365F91"/>
                                  <w:sz w:val="20"/>
                                  <w:szCs w:val="20"/>
                                </w:rPr>
                                <w:t>Strategija pametne specijalizacije</w:t>
                              </w:r>
                            </w:p>
                          </w:txbxContent>
                        </wps:txbx>
                        <wps:bodyPr rot="0" vert="horz" wrap="square" lIns="91440" tIns="45720" rIns="91440" bIns="45720" anchor="t" anchorCtr="0" upright="1">
                          <a:noAutofit/>
                        </wps:bodyPr>
                      </wps:wsp>
                      <wps:wsp>
                        <wps:cNvPr id="222" name="AutoShape 45"/>
                        <wps:cNvCnPr>
                          <a:cxnSpLocks noChangeShapeType="1"/>
                        </wps:cNvCnPr>
                        <wps:spPr bwMode="auto">
                          <a:xfrm>
                            <a:off x="3827" y="9673"/>
                            <a:ext cx="1029" cy="1172"/>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3" name="AutoShape 46"/>
                        <wps:cNvCnPr>
                          <a:cxnSpLocks noChangeShapeType="1"/>
                        </wps:cNvCnPr>
                        <wps:spPr bwMode="auto">
                          <a:xfrm>
                            <a:off x="3827" y="10309"/>
                            <a:ext cx="1029" cy="536"/>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4" name="AutoShape 47"/>
                        <wps:cNvCnPr>
                          <a:cxnSpLocks noChangeShapeType="1"/>
                        </wps:cNvCnPr>
                        <wps:spPr bwMode="auto">
                          <a:xfrm flipV="1">
                            <a:off x="3827" y="10832"/>
                            <a:ext cx="1029" cy="108"/>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5" name="AutoShape 48"/>
                        <wps:cNvCnPr>
                          <a:cxnSpLocks noChangeShapeType="1"/>
                        </wps:cNvCnPr>
                        <wps:spPr bwMode="auto">
                          <a:xfrm flipV="1">
                            <a:off x="3827" y="10845"/>
                            <a:ext cx="1029" cy="737"/>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6" name="AutoShape 49"/>
                        <wps:cNvCnPr>
                          <a:cxnSpLocks noChangeShapeType="1"/>
                        </wps:cNvCnPr>
                        <wps:spPr bwMode="auto">
                          <a:xfrm flipV="1">
                            <a:off x="3827" y="10845"/>
                            <a:ext cx="4580" cy="1386"/>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7" name="AutoShape 50"/>
                        <wps:cNvCnPr>
                          <a:cxnSpLocks noChangeShapeType="1"/>
                        </wps:cNvCnPr>
                        <wps:spPr bwMode="auto">
                          <a:xfrm flipV="1">
                            <a:off x="3827" y="10845"/>
                            <a:ext cx="4580" cy="2023"/>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8" name="AutoShape 51"/>
                        <wps:cNvCnPr>
                          <a:cxnSpLocks noChangeShapeType="1"/>
                        </wps:cNvCnPr>
                        <wps:spPr bwMode="auto">
                          <a:xfrm flipV="1">
                            <a:off x="3827" y="10845"/>
                            <a:ext cx="4580" cy="2709"/>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229" name="AutoShape 52"/>
                        <wps:cNvSpPr>
                          <a:spLocks noChangeArrowheads="1"/>
                        </wps:cNvSpPr>
                        <wps:spPr bwMode="auto">
                          <a:xfrm>
                            <a:off x="6135" y="8753"/>
                            <a:ext cx="109" cy="1668"/>
                          </a:xfrm>
                          <a:prstGeom prst="upDownArrow">
                            <a:avLst>
                              <a:gd name="adj1" fmla="val 50000"/>
                              <a:gd name="adj2" fmla="val 306055"/>
                            </a:avLst>
                          </a:prstGeom>
                          <a:solidFill>
                            <a:srgbClr val="95B3D7"/>
                          </a:solidFill>
                          <a:ln w="9525">
                            <a:solidFill>
                              <a:srgbClr val="365F91"/>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120.5pt;margin-top:-.2pt;width:358.4pt;height:274.15pt;z-index:251658752" coordorigin="3827,8071" coordsize="7168,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">
                <v:shapetype id="_x0000_t32" coordsize="21600,21600" o:spt="32" o:oned="t" path="m,l21600,21600e" filled="f">
                  <v:path arrowok="t" fillok="f" o:connecttype="none"/>
                  <o:lock v:ext="edit" shapetype="t"/>
                </v:shapetype>
                <v:shape id="AutoShape 40" o:spid="_x0000_s1027" type="#_x0000_t32" style="position:absolute;left:3827;top:8463;width:4580;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t6cUAAADcAAAADwAAAGRycy9kb3ducmV2LnhtbESPQWvCQBSE74L/YXlCb2YTaWubZhUR&#10;hB560Rro8ZF9TWKyb8PuNsZ/7xYKPQ4z8w1TbCfTi5Gcby0ryJIUBHFldcu1gvPnYfkCwgdkjb1l&#10;UnAjD9vNfFZgru2VjzSeQi0ihH2OCpoQhlxKXzVk0Cd2II7et3UGQ5SultrhNcJNL1dp+iwNthwX&#10;Ghxo31DVnX6MgtJnX2XaPZ0/3IF36/F1erzQUamHxbR7AxFoCv/hv/a7VrDK1v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t6cUAAADcAAAADwAAAAAAAAAA&#10;AAAAAAChAgAAZHJzL2Rvd25yZXYueG1sUEsFBgAAAAAEAAQA+QAAAJMDAAAAAA==&#10;" strokecolor="#95b3d7" strokeweight="1pt">
                  <v:shadow color="#243f60" opacity=".5" offset="1pt"/>
                </v:shape>
                <v:shape id="AutoShape 41" o:spid="_x0000_s1028" type="#_x0000_t32" style="position:absolute;left:3827;top:9005;width:4580;height:1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5m8EAAADcAAAADwAAAGRycy9kb3ducmV2LnhtbERPy4rCMBTdC/MP4Q7MTtPK+KpGkQFh&#10;Fm7UCi4vzbWtNjclydTO35uF4PJw3qtNbxrRkfO1ZQXpKAFBXFhdc6kgP+2GcxA+IGtsLJOCf/Kw&#10;WX8MVphp++ADdcdQihjCPkMFVQhtJqUvKjLoR7YljtzVOoMhQldK7fARw00jx0kylQZrjg0VtvRT&#10;UXE//hkFZ59ezsl9ku/djrezbtF/3+ig1Ndnv12CCNSHt/jl/tUKxmlcG8/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bmbwQAAANwAAAAPAAAAAAAAAAAAAAAA&#10;AKECAABkcnMvZG93bnJldi54bWxQSwUGAAAAAAQABAD5AAAAjwMAAAAA&#10;" strokecolor="#95b3d7" strokeweight="1pt">
                  <v:shadow color="#243f60" opacity=".5" offset="1pt"/>
                </v:shape>
                <v:roundrect id="AutoShape 42" o:spid="_x0000_s1029" style="position:absolute;left:5127;top:8071;width:2310;height: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SicQA&#10;AADcAAAADwAAAGRycy9kb3ducmV2LnhtbESPQWsCMRSE70L/Q3iF3jSrh9JujSJFUaSUqj20t8fm&#10;uVm6eYlJ1PXfm4LgcZiZb5jxtLOtOFGIjWMFw0EBgrhyuuFawfdu0X8BEROyxtYxKbhQhOnkoTfG&#10;Urszb+i0TbXIEI4lKjAp+VLKWBmyGAfOE2dv74LFlGWopQ54znDbylFRPEuLDecFg57eDVV/26NV&#10;MPPrpT/8bj4/0CB+7cNPmC+dUk+P3ewNRKIu3cO39korGA1f4f9MPg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konEAAAA3AAAAA8AAAAAAAAAAAAAAAAAmAIAAGRycy9k&#10;b3ducmV2LnhtbFBLBQYAAAAABAAEAPUAAACJAwAAAAA=&#10;" strokecolor="#4f81bd" strokeweight="2.5pt">
                  <v:shadow color="#868686"/>
                  <v:textbox>
                    <w:txbxContent>
                      <w:p w:rsidR="00683AF5" w:rsidRPr="0097195F" w:rsidRDefault="00683AF5" w:rsidP="00006F29">
                        <w:pPr>
                          <w:spacing w:line="240" w:lineRule="auto"/>
                          <w:jc w:val="center"/>
                          <w:rPr>
                            <w:b/>
                            <w:color w:val="365F91"/>
                            <w:sz w:val="20"/>
                            <w:szCs w:val="20"/>
                          </w:rPr>
                        </w:pPr>
                        <w:r w:rsidRPr="0097195F">
                          <w:rPr>
                            <w:b/>
                            <w:color w:val="365F91"/>
                            <w:sz w:val="20"/>
                            <w:szCs w:val="20"/>
                          </w:rPr>
                          <w:t>Strategija regionalnog razvoja</w:t>
                        </w:r>
                      </w:p>
                    </w:txbxContent>
                  </v:textbox>
                </v:roundrect>
                <v:roundrect id="AutoShape 43" o:spid="_x0000_s1030" style="position:absolute;left:8407;top:10421;width:2588;height:7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OwsIA&#10;AADcAAAADwAAAGRycy9kb3ducmV2LnhtbERPz2vCMBS+C/4P4Qm7aboe5qhGcWMbQ5Rh1Ptb82w7&#10;m5eSZFr/e3MY7Pjx/Z4ve9uKC/nQOFbwOMlAEJfONFwpOOzfx88gQkQ22DomBTcKsFwMB3MsjLvy&#10;ji46ViKFcChQQR1jV0gZyposhonriBN3ct5iTNBX0ni8pnDbyjzLnqTFhlNDjR291lSe9a9VoLcv&#10;x03Z6O+Ple7Ob9Pd6Wftv5R6GPWrGYhIffwX/7k/jYI8T/P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I7CwgAAANwAAAAPAAAAAAAAAAAAAAAAAJgCAABkcnMvZG93&#10;bnJldi54bWxQSwUGAAAAAAQABAD1AAAAhwMAAAAA&#10;" fillcolor="#4f81bd" strokecolor="#f2f2f2" strokeweight="3pt">
                  <v:shadow on="t" color="#243f60" opacity=".5" offset="1pt"/>
                  <v:textbox>
                    <w:txbxContent>
                      <w:p w:rsidR="00683AF5" w:rsidRPr="0097195F" w:rsidRDefault="00683AF5" w:rsidP="00006F29">
                        <w:pPr>
                          <w:spacing w:line="240" w:lineRule="auto"/>
                          <w:jc w:val="center"/>
                          <w:rPr>
                            <w:b/>
                            <w:color w:val="FFFFFF"/>
                            <w:sz w:val="22"/>
                          </w:rPr>
                        </w:pPr>
                        <w:r w:rsidRPr="0097195F">
                          <w:rPr>
                            <w:b/>
                            <w:color w:val="FFFFFF"/>
                            <w:sz w:val="22"/>
                          </w:rPr>
                          <w:t>Gospodarska razvojna strategija</w:t>
                        </w:r>
                      </w:p>
                    </w:txbxContent>
                  </v:textbox>
                </v:roundrect>
                <v:roundrect id="AutoShape 44" o:spid="_x0000_s1031" style="position:absolute;left:4856;top:10476;width:2356;height: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UMsQA&#10;AADcAAAADwAAAGRycy9kb3ducmV2LnhtbESPQWsCMRSE70L/Q3iCN826Bylbo0ixWIqUqj20t8fm&#10;uVm6eUmTVNd/3wiCx2FmvmHmy9524kQhto4VTCcFCOLa6ZYbBZ+Hl/EjiJiQNXaOScGFIiwXD4M5&#10;VtqdeUenfWpEhnCsUIFJyVdSxtqQxThxnjh7RxcspixDI3XAc4bbTpZFMZMWW84LBj09G6p/9n9W&#10;wcq/bfzv9+59iwbx4xi+wnrjlBoN+9UTiER9uodv7VetoCyn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VDLEAAAA3AAAAA8AAAAAAAAAAAAAAAAAmAIAAGRycy9k&#10;b3ducmV2LnhtbFBLBQYAAAAABAAEAPUAAACJAwAAAAA=&#10;" strokecolor="#4f81bd" strokeweight="2.5pt">
                  <v:shadow color="#868686"/>
                  <v:textbox>
                    <w:txbxContent>
                      <w:p w:rsidR="00683AF5" w:rsidRPr="0097195F" w:rsidRDefault="00683AF5" w:rsidP="00006F29">
                        <w:pPr>
                          <w:spacing w:line="240" w:lineRule="auto"/>
                          <w:jc w:val="center"/>
                          <w:rPr>
                            <w:b/>
                            <w:color w:val="365F91"/>
                            <w:sz w:val="20"/>
                            <w:szCs w:val="20"/>
                          </w:rPr>
                        </w:pPr>
                        <w:r w:rsidRPr="0097195F">
                          <w:rPr>
                            <w:b/>
                            <w:color w:val="365F91"/>
                            <w:sz w:val="20"/>
                            <w:szCs w:val="20"/>
                          </w:rPr>
                          <w:t>Strategija pametne specijalizacije</w:t>
                        </w:r>
                      </w:p>
                    </w:txbxContent>
                  </v:textbox>
                </v:roundrect>
                <v:shape id="AutoShape 45" o:spid="_x0000_s1032" type="#_x0000_t32" style="position:absolute;left:3827;top:9673;width:1029;height:1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EzMMAAADcAAAADwAAAGRycy9kb3ducmV2LnhtbESPT4vCMBTE7wv7HcJb8LamFnW1GkUW&#10;BA9e/Ad7fDTPtmvzUpJY67c3guBxmJnfMPNlZ2rRkvOVZQWDfgKCOLe64kLB8bD+noDwAVljbZkU&#10;3MnDcvH5McdM2xvvqN2HQkQI+wwVlCE0mZQ+L8mg79uGOHpn6wyGKF0htcNbhJtapkkylgYrjgsl&#10;NvRbUn7ZX42Ckx/8nZLL6Lh1a179tNNu+E87pXpf3WoGIlAX3uFXe6MVpGkK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RMzDAAAA3AAAAA8AAAAAAAAAAAAA&#10;AAAAoQIAAGRycy9kb3ducmV2LnhtbFBLBQYAAAAABAAEAPkAAACRAwAAAAA=&#10;" strokecolor="#95b3d7" strokeweight="1pt">
                  <v:shadow color="#243f60" opacity=".5" offset="1pt"/>
                </v:shape>
                <v:shape id="AutoShape 46" o:spid="_x0000_s1033" type="#_x0000_t32" style="position:absolute;left:3827;top:10309;width:1029;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3hV8UAAADcAAAADwAAAGRycy9kb3ducmV2LnhtbESPT2vCQBTE74V+h+UVequbpNY/MatI&#10;QejBi1bB4yP7TKLZt2F3G9Nv7wqFHoeZ+Q1TrAbTip6cbywrSEcJCOLS6oYrBYfvzdsMhA/IGlvL&#10;pOCXPKyWz08F5treeEf9PlQiQtjnqKAOocul9GVNBv3IdsTRO1tnMETpKqkd3iLctDJLkok02HBc&#10;qLGjz5rK6/7HKDj69HRMrh+HrdvwetrPh/GFdkq9vgzrBYhAQ/gP/7W/tIIse4f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3hV8UAAADcAAAADwAAAAAAAAAA&#10;AAAAAAChAgAAZHJzL2Rvd25yZXYueG1sUEsFBgAAAAAEAAQA+QAAAJMDAAAAAA==&#10;" strokecolor="#95b3d7" strokeweight="1pt">
                  <v:shadow color="#243f60" opacity=".5" offset="1pt"/>
                </v:shape>
                <v:shape id="AutoShape 47" o:spid="_x0000_s1034" type="#_x0000_t32" style="position:absolute;left:3827;top:10832;width:1029;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9Y8UAAADcAAAADwAAAGRycy9kb3ducmV2LnhtbESPT2vCQBTE74LfYXlCL9JsGoqU1FVE&#10;aWnpQU16yPGRffmD2bchu43pt+8WBI/DzPyGWW8n04mRBtdaVvAUxSCIS6tbrhV852+PLyCcR9bY&#10;WSYFv+Rgu5nP1phqe+UzjZmvRYCwS1FB432fSunKhgy6yPbEwavsYNAHOdRSD3gNcNPJJI5X0mDL&#10;YaHBnvYNlZfsxyg4mNFVOb3TqcDlsXCV/vxirdTDYtq9gvA0+Xv41v7QCpLkGf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69Y8UAAADcAAAADwAAAAAAAAAA&#10;AAAAAAChAgAAZHJzL2Rvd25yZXYueG1sUEsFBgAAAAAEAAQA+QAAAJMDAAAAAA==&#10;" strokecolor="#95b3d7" strokeweight="1pt">
                  <v:shadow color="#243f60" opacity=".5" offset="1pt"/>
                </v:shape>
                <v:shape id="AutoShape 48" o:spid="_x0000_s1035" type="#_x0000_t32" style="position:absolute;left:3827;top:10845;width:1029;height: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Y+MUAAADcAAAADwAAAGRycy9kb3ducmV2LnhtbESPT2vCQBTE74LfYXlCL9JsGqiU1FVE&#10;aWnpQU16yPGRffmD2bchu43pt+8WBI/DzPyGWW8n04mRBtdaVvAUxSCIS6tbrhV852+PLyCcR9bY&#10;WSYFv+Rgu5nP1phqe+UzjZmvRYCwS1FB432fSunKhgy6yPbEwavsYNAHOdRSD3gNcNPJJI5X0mDL&#10;YaHBnvYNlZfsxyg4mNFVOb3TqcDlsXCV/vxirdTDYtq9gvA0+Xv41v7QCpLkGf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Y+MUAAADcAAAADwAAAAAAAAAA&#10;AAAAAAChAgAAZHJzL2Rvd25yZXYueG1sUEsFBgAAAAAEAAQA+QAAAJMDAAAAAA==&#10;" strokecolor="#95b3d7" strokeweight="1pt">
                  <v:shadow color="#243f60" opacity=".5" offset="1pt"/>
                </v:shape>
                <v:shape id="AutoShape 49" o:spid="_x0000_s1036" type="#_x0000_t32" style="position:absolute;left:3827;top:10845;width:4580;height:1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j8MAAADcAAAADwAAAGRycy9kb3ducmV2LnhtbESPT4vCMBTE74LfITxhL6KpPYhUo4ji&#10;ssse1OrB46N5/YPNS2mytfvtN4LgcZiZ3zCrTW9q0VHrKssKZtMIBHFmdcWFguvlMFmAcB5ZY22Z&#10;FPyRg816OFhhou2Dz9SlvhABwi5BBaX3TSKly0oy6Ka2IQ5ebluDPsi2kLrFR4CbWsZRNJcGKw4L&#10;JTa0Kym7p79Gwd50Lr/QJ51uOD7eXK6/f1gr9THqt0sQnnr/Dr/aX1pBHM/heSYc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ho/DAAAA3AAAAA8AAAAAAAAAAAAA&#10;AAAAoQIAAGRycy9kb3ducmV2LnhtbFBLBQYAAAAABAAEAPkAAACRAwAAAAA=&#10;" strokecolor="#95b3d7" strokeweight="1pt">
                  <v:shadow color="#243f60" opacity=".5" offset="1pt"/>
                </v:shape>
                <v:shape id="AutoShape 50" o:spid="_x0000_s1037" type="#_x0000_t32" style="position:absolute;left:3827;top:10845;width:4580;height:2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jFMUAAADcAAAADwAAAGRycy9kb3ducmV2LnhtbESPT2vCQBTE74LfYXlCL9JsmkMtqauI&#10;0tLSg5r0kOMj+/IHs29DdhvTb98tCB6HmfkNs95OphMjDa61rOApikEQl1a3XCv4zt8eX0A4j6yx&#10;s0wKfsnBdjOfrTHV9spnGjNfiwBhl6KCxvs+ldKVDRl0ke2Jg1fZwaAPcqilHvAa4KaTSRw/S4Mt&#10;h4UGe9o3VF6yH6PgYEZX5fROpwKXx8JV+vOLtVIPi2n3CsLT5O/hW/tDK0iSFfy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wjFMUAAADcAAAADwAAAAAAAAAA&#10;AAAAAAChAgAAZHJzL2Rvd25yZXYueG1sUEsFBgAAAAAEAAQA+QAAAJMDAAAAAA==&#10;" strokecolor="#95b3d7" strokeweight="1pt">
                  <v:shadow color="#243f60" opacity=".5" offset="1pt"/>
                </v:shape>
                <v:shape id="AutoShape 51" o:spid="_x0000_s1038" type="#_x0000_t32" style="position:absolute;left:3827;top:10845;width:4580;height:2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3ZsAAAADcAAAADwAAAGRycy9kb3ducmV2LnhtbERPy4rCMBTdC/MP4Q7MRmxqFyLVVGQG&#10;hxEXPhcuL83tA5ub0mRq/XuzEFweznu5GkwjeupcbVnBNIpBEOdW11wquJw3kzkI55E1NpZJwYMc&#10;rLKP0RJTbe98pP7kSxFC2KWooPK+TaV0eUUGXWRb4sAVtjPoA+xKqTu8h3DTyCSOZ9JgzaGhwpa+&#10;K8pvp3+j4Mf0rjjTLx2uON5fXaG3O9ZKfX0O6wUIT4N/i1/uP60gScLacCYcAZ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zt2bAAAAA3AAAAA8AAAAAAAAAAAAAAAAA&#10;oQIAAGRycy9kb3ducmV2LnhtbFBLBQYAAAAABAAEAPkAAACOAwAAAAA=&#10;" strokecolor="#95b3d7" strokeweight="1pt">
                  <v:shadow color="#243f60" opacity=".5" offset="1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2" o:spid="_x0000_s1039" type="#_x0000_t70" style="position:absolute;left:6135;top:8753;width:109;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35sUA&#10;AADcAAAADwAAAGRycy9kb3ducmV2LnhtbESPQWvCQBSE74X+h+UJvdWNOQRNXUWEUC89aOvB2zP7&#10;zIZm36bZV43/vlso9DjMzDfMcj36Tl1piG1gA7NpBoq4DrblxsDHe/U8BxUF2WIXmAzcKcJ69fiw&#10;xNKGG+/pepBGJQjHEg04kb7UOtaOPMZp6ImTdwmDR0lyaLQd8JbgvtN5lhXaY8tpwWFPW0f15+Hb&#10;G7jsin3z9uXmr3eqFoU9V3KSozFPk3HzAkpolP/wX3tnDeT5An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mxQAAANwAAAAPAAAAAAAAAAAAAAAAAJgCAABkcnMv&#10;ZG93bnJldi54bWxQSwUGAAAAAAQABAD1AAAAigMAAAAA&#10;" fillcolor="#95b3d7" strokecolor="#365f91">
                  <v:textbox style="layout-flow:vertical-ideographic"/>
                </v:shape>
              </v:group>
            </w:pict>
          </mc:Fallback>
        </mc:AlternateContent>
      </w:r>
      <w:r>
        <w:rPr>
          <w:rFonts w:eastAsia="Times New Roman"/>
          <w:noProof/>
          <w:szCs w:val="24"/>
          <w:lang w:eastAsia="hr-HR"/>
        </w:rPr>
        <mc:AlternateContent>
          <mc:Choice Requires="wps">
            <w:drawing>
              <wp:anchor distT="0" distB="0" distL="114300" distR="114300" simplePos="0" relativeHeight="251659776" behindDoc="0" locked="0" layoutInCell="1" allowOverlap="1">
                <wp:simplePos x="0" y="0"/>
                <wp:positionH relativeFrom="column">
                  <wp:posOffset>3679825</wp:posOffset>
                </wp:positionH>
                <wp:positionV relativeFrom="paragraph">
                  <wp:posOffset>1758950</wp:posOffset>
                </wp:positionV>
                <wp:extent cx="758825" cy="0"/>
                <wp:effectExtent l="7620" t="15240" r="14605" b="13335"/>
                <wp:wrapNone/>
                <wp:docPr id="2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0"/>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89.75pt;margin-top:138.5pt;width:59.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" strokecolor="#95b3d7" strokeweight="1pt">
                <v:shadow color="#243f60" opacity=".5" offset="1pt"/>
              </v:shape>
            </w:pict>
          </mc:Fallback>
        </mc:AlternateContent>
      </w:r>
      <w:r w:rsidR="008B669D" w:rsidRPr="004E6412">
        <w:rPr>
          <w:rFonts w:eastAsia="Times New Roman"/>
          <w:noProof/>
          <w:szCs w:val="24"/>
          <w:lang w:eastAsia="hr-HR"/>
        </w:rPr>
        <w:drawing>
          <wp:inline distT="0" distB="0" distL="0" distR="0" wp14:anchorId="6D395278" wp14:editId="4B1DB0F7">
            <wp:extent cx="1566407" cy="38086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cstate="print"/>
                    <a:srcRect/>
                    <a:stretch>
                      <a:fillRect/>
                    </a:stretch>
                  </pic:blipFill>
                  <pic:spPr bwMode="auto">
                    <a:xfrm>
                      <a:off x="0" y="0"/>
                      <a:ext cx="1568625" cy="3814068"/>
                    </a:xfrm>
                    <a:prstGeom prst="rect">
                      <a:avLst/>
                    </a:prstGeom>
                    <a:noFill/>
                  </pic:spPr>
                </pic:pic>
              </a:graphicData>
            </a:graphic>
          </wp:inline>
        </w:drawing>
      </w:r>
    </w:p>
    <w:p w:rsidR="00006F29" w:rsidRPr="004E6412" w:rsidRDefault="00006F29" w:rsidP="00006F29">
      <w:pPr>
        <w:rPr>
          <w:rFonts w:eastAsia="Times New Roman"/>
          <w:szCs w:val="24"/>
        </w:rPr>
      </w:pPr>
    </w:p>
    <w:p w:rsidR="003717F5" w:rsidRPr="004E6412" w:rsidRDefault="003717F5" w:rsidP="00006F29">
      <w:pPr>
        <w:rPr>
          <w:rFonts w:eastAsia="Times New Roman"/>
          <w:szCs w:val="24"/>
        </w:rPr>
      </w:pPr>
    </w:p>
    <w:p w:rsidR="003717F5" w:rsidRPr="004E6412" w:rsidRDefault="003717F5" w:rsidP="00006F29">
      <w:pPr>
        <w:rPr>
          <w:rFonts w:eastAsia="Times New Roman"/>
          <w:szCs w:val="24"/>
        </w:rPr>
      </w:pPr>
    </w:p>
    <w:p w:rsidR="00E52334" w:rsidRPr="004E6412" w:rsidRDefault="00006F29" w:rsidP="00B15A78">
      <w:pPr>
        <w:numPr>
          <w:ilvl w:val="0"/>
          <w:numId w:val="137"/>
        </w:numPr>
        <w:rPr>
          <w:rFonts w:eastAsia="Times New Roman"/>
          <w:sz w:val="22"/>
        </w:rPr>
      </w:pPr>
      <w:r w:rsidRPr="004E6412">
        <w:rPr>
          <w:rFonts w:eastAsia="Times New Roman"/>
          <w:sz w:val="22"/>
        </w:rPr>
        <w:t xml:space="preserve">Industrijska strategija Republike Hrvatske, zajedno s inovacijskom strategijom, strategijom odgoja, obrazovanja, znanosti i tehnologije te strategijom razvoja turizma, čini sastavni dio strategije pametne specijalizacije koja, zajedno s energetskom strategijom, strategijom gospodarenja mineralnim sirovinama RH, strategijom poticanja investicija, strategijom razvoja poduzetništva i strategijom razvoja ljudskih potencijala </w:t>
      </w:r>
      <w:r w:rsidR="00B36526">
        <w:rPr>
          <w:rFonts w:eastAsia="Times New Roman"/>
          <w:sz w:val="22"/>
        </w:rPr>
        <w:t>predstavlja osnovu za izradu gospodarske razvojne strategije</w:t>
      </w:r>
      <w:r w:rsidRPr="004E6412">
        <w:rPr>
          <w:rFonts w:eastAsia="Times New Roman"/>
          <w:sz w:val="22"/>
        </w:rPr>
        <w:t>.</w:t>
      </w:r>
    </w:p>
    <w:p w:rsidR="00006F29" w:rsidRPr="004E6412" w:rsidRDefault="00006F29" w:rsidP="00AE6164">
      <w:pPr>
        <w:rPr>
          <w:rFonts w:eastAsia="Times New Roman"/>
          <w:sz w:val="22"/>
        </w:rPr>
      </w:pPr>
    </w:p>
    <w:p w:rsidR="00006F29" w:rsidRPr="004E6412" w:rsidRDefault="00006F29"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173D23" w:rsidP="003717F5">
      <w:pPr>
        <w:pStyle w:val="Heading2"/>
        <w:rPr>
          <w:szCs w:val="24"/>
        </w:rPr>
      </w:pPr>
      <w:bookmarkStart w:id="16" w:name="_Toc378069013"/>
      <w:r w:rsidRPr="004E6412">
        <w:lastRenderedPageBreak/>
        <w:t>Konceptualni okvir</w:t>
      </w:r>
      <w:r w:rsidR="003717F5" w:rsidRPr="004E6412">
        <w:t xml:space="preserve"> </w:t>
      </w:r>
      <w:r w:rsidR="003717F5" w:rsidRPr="004E6412">
        <w:rPr>
          <w:szCs w:val="24"/>
        </w:rPr>
        <w:t>i sadržaj dokumenta</w:t>
      </w:r>
      <w:bookmarkEnd w:id="16"/>
    </w:p>
    <w:p w:rsidR="003717F5" w:rsidRPr="004E6412" w:rsidRDefault="003717F5" w:rsidP="003717F5">
      <w:pPr>
        <w:rPr>
          <w:rFonts w:eastAsia="Times New Roman"/>
          <w:szCs w:val="24"/>
        </w:rPr>
      </w:pPr>
    </w:p>
    <w:p w:rsidR="003717F5" w:rsidRPr="004E6412" w:rsidRDefault="003717F5" w:rsidP="003717F5">
      <w:pPr>
        <w:rPr>
          <w:rFonts w:eastAsia="Times New Roman"/>
          <w:szCs w:val="24"/>
        </w:rPr>
      </w:pPr>
    </w:p>
    <w:p w:rsidR="003717F5" w:rsidRPr="004E6412" w:rsidRDefault="003717F5" w:rsidP="003717F5">
      <w:pPr>
        <w:pStyle w:val="Heading3"/>
        <w:rPr>
          <w:rFonts w:eastAsia="Calibri"/>
        </w:rPr>
      </w:pPr>
      <w:bookmarkStart w:id="17" w:name="_Toc378069014"/>
      <w:r w:rsidRPr="004E6412">
        <w:rPr>
          <w:rFonts w:eastAsia="Calibri"/>
        </w:rPr>
        <w:t>Svrha i ciljevi</w:t>
      </w:r>
      <w:bookmarkEnd w:id="17"/>
      <w:r w:rsidRPr="004E6412">
        <w:rPr>
          <w:rFonts w:eastAsia="Calibri"/>
        </w:rPr>
        <w:t xml:space="preserve"> </w:t>
      </w:r>
    </w:p>
    <w:p w:rsidR="003717F5" w:rsidRPr="004E6412" w:rsidRDefault="001C79B7" w:rsidP="00B15A78">
      <w:pPr>
        <w:numPr>
          <w:ilvl w:val="0"/>
          <w:numId w:val="143"/>
        </w:numPr>
        <w:rPr>
          <w:sz w:val="22"/>
        </w:rPr>
      </w:pPr>
      <w:r w:rsidRPr="004E6412">
        <w:rPr>
          <w:sz w:val="22"/>
        </w:rPr>
        <w:t>Svrha izrade Industrijske</w:t>
      </w:r>
      <w:r w:rsidR="003717F5" w:rsidRPr="004E6412">
        <w:rPr>
          <w:sz w:val="22"/>
        </w:rPr>
        <w:t xml:space="preserve"> strategije Republike Hrvatske 2014.</w:t>
      </w:r>
      <w:r w:rsidR="00C84ECE" w:rsidRPr="004E6412">
        <w:rPr>
          <w:sz w:val="22"/>
        </w:rPr>
        <w:t xml:space="preserve"> – 2020.</w:t>
      </w:r>
      <w:r w:rsidR="003717F5" w:rsidRPr="004E6412">
        <w:rPr>
          <w:sz w:val="22"/>
        </w:rPr>
        <w:t xml:space="preserve"> jest kroz analizu industrije dobiti pregled stanja industrijskih djelatnosti i poddjelatnosti kako bi se:</w:t>
      </w:r>
    </w:p>
    <w:p w:rsidR="003717F5" w:rsidRPr="004E6412" w:rsidRDefault="003717F5" w:rsidP="00B15A78">
      <w:pPr>
        <w:numPr>
          <w:ilvl w:val="0"/>
          <w:numId w:val="128"/>
        </w:numPr>
        <w:rPr>
          <w:sz w:val="22"/>
        </w:rPr>
      </w:pPr>
      <w:r w:rsidRPr="004E6412">
        <w:rPr>
          <w:sz w:val="22"/>
        </w:rPr>
        <w:t>utvrdile perspektive rasta i razvoja te jačanja konkurentnosti,</w:t>
      </w:r>
    </w:p>
    <w:p w:rsidR="003717F5" w:rsidRPr="004E6412" w:rsidRDefault="003717F5" w:rsidP="00B15A78">
      <w:pPr>
        <w:numPr>
          <w:ilvl w:val="0"/>
          <w:numId w:val="128"/>
        </w:numPr>
        <w:rPr>
          <w:sz w:val="22"/>
        </w:rPr>
      </w:pPr>
      <w:r w:rsidRPr="004E6412">
        <w:rPr>
          <w:sz w:val="22"/>
        </w:rPr>
        <w:t>utvrdili strateški ciljevi,</w:t>
      </w:r>
    </w:p>
    <w:p w:rsidR="003717F5" w:rsidRPr="004E6412" w:rsidRDefault="00C84ECE" w:rsidP="00B15A78">
      <w:pPr>
        <w:numPr>
          <w:ilvl w:val="0"/>
          <w:numId w:val="128"/>
        </w:numPr>
        <w:rPr>
          <w:sz w:val="22"/>
        </w:rPr>
      </w:pPr>
      <w:r w:rsidRPr="004E6412">
        <w:rPr>
          <w:sz w:val="22"/>
        </w:rPr>
        <w:t>usvojio smjer djelovanja</w:t>
      </w:r>
      <w:r w:rsidR="003717F5" w:rsidRPr="004E6412">
        <w:rPr>
          <w:sz w:val="22"/>
        </w:rPr>
        <w:t xml:space="preserve"> i alokacije resursa potrebnih za ostvarenje tih cilje</w:t>
      </w:r>
      <w:r w:rsidRPr="004E6412">
        <w:rPr>
          <w:sz w:val="22"/>
        </w:rPr>
        <w:t>va, odnosno provedbeni model</w:t>
      </w:r>
      <w:r w:rsidR="003717F5" w:rsidRPr="004E6412">
        <w:rPr>
          <w:sz w:val="22"/>
        </w:rPr>
        <w:t xml:space="preserve">, te </w:t>
      </w:r>
    </w:p>
    <w:p w:rsidR="003717F5" w:rsidRPr="004E6412" w:rsidRDefault="003717F5" w:rsidP="00B15A78">
      <w:pPr>
        <w:numPr>
          <w:ilvl w:val="0"/>
          <w:numId w:val="128"/>
        </w:numPr>
        <w:rPr>
          <w:sz w:val="22"/>
        </w:rPr>
      </w:pPr>
      <w:r w:rsidRPr="004E6412">
        <w:rPr>
          <w:sz w:val="22"/>
        </w:rPr>
        <w:t xml:space="preserve">pratila provedba strategije. </w:t>
      </w:r>
    </w:p>
    <w:p w:rsidR="003717F5" w:rsidRPr="004E6412" w:rsidRDefault="003717F5" w:rsidP="003717F5">
      <w:pPr>
        <w:rPr>
          <w:sz w:val="22"/>
        </w:rPr>
      </w:pPr>
    </w:p>
    <w:p w:rsidR="003717F5" w:rsidRPr="004E6412" w:rsidRDefault="001C79B7" w:rsidP="00B15A78">
      <w:pPr>
        <w:numPr>
          <w:ilvl w:val="0"/>
          <w:numId w:val="143"/>
        </w:numPr>
        <w:rPr>
          <w:sz w:val="22"/>
        </w:rPr>
      </w:pPr>
      <w:r w:rsidRPr="004E6412">
        <w:rPr>
          <w:sz w:val="22"/>
        </w:rPr>
        <w:t>Industrijska</w:t>
      </w:r>
      <w:r w:rsidR="003717F5" w:rsidRPr="004E6412">
        <w:rPr>
          <w:sz w:val="22"/>
        </w:rPr>
        <w:t xml:space="preserve"> strategija Republike Hr</w:t>
      </w:r>
      <w:r w:rsidRPr="004E6412">
        <w:rPr>
          <w:sz w:val="22"/>
        </w:rPr>
        <w:t>vatske 2014.</w:t>
      </w:r>
      <w:r w:rsidR="00F6393A" w:rsidRPr="004E6412">
        <w:rPr>
          <w:sz w:val="22"/>
        </w:rPr>
        <w:t xml:space="preserve"> – </w:t>
      </w:r>
      <w:r w:rsidRPr="004E6412">
        <w:rPr>
          <w:sz w:val="22"/>
        </w:rPr>
        <w:t>2020.</w:t>
      </w:r>
      <w:r w:rsidR="003717F5" w:rsidRPr="004E6412">
        <w:rPr>
          <w:sz w:val="22"/>
        </w:rPr>
        <w:t xml:space="preserve"> izrađena je polazeći od načela koja u potpunosti uvažavaju postignuća suvremene industrijske politike u Europskoj uniji (EU), ali i onih koja su sadržana u već usvojenim razvojnim dokumentima Republike Hrvatske (RH). </w:t>
      </w:r>
    </w:p>
    <w:p w:rsidR="003717F5" w:rsidRPr="004E6412" w:rsidRDefault="003717F5" w:rsidP="003717F5">
      <w:pPr>
        <w:rPr>
          <w:sz w:val="22"/>
        </w:rPr>
      </w:pPr>
    </w:p>
    <w:p w:rsidR="003717F5" w:rsidRPr="004E6412" w:rsidRDefault="00A83657" w:rsidP="00B15A78">
      <w:pPr>
        <w:numPr>
          <w:ilvl w:val="0"/>
          <w:numId w:val="143"/>
        </w:numPr>
        <w:rPr>
          <w:sz w:val="22"/>
        </w:rPr>
      </w:pPr>
      <w:r w:rsidRPr="004E6412">
        <w:rPr>
          <w:sz w:val="22"/>
        </w:rPr>
        <w:t>Ciljevi izrade dokumenta</w:t>
      </w:r>
      <w:r w:rsidR="003717F5" w:rsidRPr="004E6412">
        <w:rPr>
          <w:sz w:val="22"/>
        </w:rPr>
        <w:t xml:space="preserve"> uključuju: </w:t>
      </w:r>
    </w:p>
    <w:p w:rsidR="003717F5" w:rsidRPr="004E6412" w:rsidRDefault="003717F5" w:rsidP="003717F5">
      <w:pPr>
        <w:numPr>
          <w:ilvl w:val="0"/>
          <w:numId w:val="1"/>
        </w:numPr>
        <w:rPr>
          <w:sz w:val="22"/>
        </w:rPr>
      </w:pPr>
      <w:r w:rsidRPr="004E6412">
        <w:rPr>
          <w:sz w:val="22"/>
        </w:rPr>
        <w:t>definiranje i izradu</w:t>
      </w:r>
      <w:r w:rsidR="00C84FC9" w:rsidRPr="004E6412">
        <w:rPr>
          <w:sz w:val="22"/>
        </w:rPr>
        <w:t xml:space="preserve"> metodološke osnove</w:t>
      </w:r>
      <w:r w:rsidRPr="004E6412">
        <w:rPr>
          <w:sz w:val="22"/>
        </w:rPr>
        <w:t xml:space="preserve">, </w:t>
      </w:r>
    </w:p>
    <w:p w:rsidR="003717F5" w:rsidRPr="004E6412" w:rsidRDefault="003717F5" w:rsidP="003717F5">
      <w:pPr>
        <w:numPr>
          <w:ilvl w:val="0"/>
          <w:numId w:val="1"/>
        </w:numPr>
        <w:rPr>
          <w:sz w:val="22"/>
        </w:rPr>
      </w:pPr>
      <w:r w:rsidRPr="004E6412">
        <w:rPr>
          <w:sz w:val="22"/>
        </w:rPr>
        <w:t>analizu strateških smjernica Europske unije,</w:t>
      </w:r>
    </w:p>
    <w:p w:rsidR="003717F5" w:rsidRPr="004E6412" w:rsidRDefault="003717F5" w:rsidP="003717F5">
      <w:pPr>
        <w:numPr>
          <w:ilvl w:val="0"/>
          <w:numId w:val="1"/>
        </w:numPr>
        <w:rPr>
          <w:sz w:val="22"/>
        </w:rPr>
      </w:pPr>
      <w:r w:rsidRPr="004E6412">
        <w:rPr>
          <w:sz w:val="22"/>
        </w:rPr>
        <w:t xml:space="preserve">analizu kvantitativnih i kvalitativnih obilježja hrvatske industrije, </w:t>
      </w:r>
    </w:p>
    <w:p w:rsidR="003717F5" w:rsidRPr="004E6412" w:rsidRDefault="003717F5" w:rsidP="003717F5">
      <w:pPr>
        <w:numPr>
          <w:ilvl w:val="0"/>
          <w:numId w:val="1"/>
        </w:numPr>
        <w:rPr>
          <w:sz w:val="22"/>
        </w:rPr>
      </w:pPr>
      <w:r w:rsidRPr="004E6412">
        <w:rPr>
          <w:sz w:val="22"/>
        </w:rPr>
        <w:t>razvoj modela vrednovanja industrijskih poddjelatnosti,</w:t>
      </w:r>
    </w:p>
    <w:p w:rsidR="003717F5" w:rsidRPr="004E6412" w:rsidRDefault="003717F5" w:rsidP="003717F5">
      <w:pPr>
        <w:numPr>
          <w:ilvl w:val="0"/>
          <w:numId w:val="1"/>
        </w:numPr>
        <w:rPr>
          <w:sz w:val="22"/>
        </w:rPr>
      </w:pPr>
      <w:r w:rsidRPr="004E6412">
        <w:rPr>
          <w:sz w:val="22"/>
        </w:rPr>
        <w:t xml:space="preserve">utvrđivanje strateških ciljeva i prioritetnih područja, </w:t>
      </w:r>
    </w:p>
    <w:p w:rsidR="00860738" w:rsidRPr="004E6412" w:rsidRDefault="003717F5" w:rsidP="003717F5">
      <w:pPr>
        <w:numPr>
          <w:ilvl w:val="0"/>
          <w:numId w:val="1"/>
        </w:numPr>
        <w:rPr>
          <w:sz w:val="22"/>
        </w:rPr>
      </w:pPr>
      <w:r w:rsidRPr="004E6412">
        <w:rPr>
          <w:sz w:val="22"/>
        </w:rPr>
        <w:t>utvrđivanje mjera realizacije strateških ciljeva,</w:t>
      </w:r>
    </w:p>
    <w:p w:rsidR="003717F5" w:rsidRPr="004E6412" w:rsidRDefault="007D0CFD" w:rsidP="00860738">
      <w:pPr>
        <w:numPr>
          <w:ilvl w:val="0"/>
          <w:numId w:val="1"/>
        </w:numPr>
        <w:rPr>
          <w:sz w:val="22"/>
        </w:rPr>
      </w:pPr>
      <w:r>
        <w:rPr>
          <w:sz w:val="22"/>
        </w:rPr>
        <w:t>razvoj modela provedbe S</w:t>
      </w:r>
      <w:r w:rsidR="00860738" w:rsidRPr="004E6412">
        <w:rPr>
          <w:sz w:val="22"/>
        </w:rPr>
        <w:t>trategije,</w:t>
      </w:r>
      <w:r w:rsidR="003717F5" w:rsidRPr="004E6412">
        <w:rPr>
          <w:sz w:val="22"/>
        </w:rPr>
        <w:t xml:space="preserve"> </w:t>
      </w:r>
    </w:p>
    <w:p w:rsidR="003717F5" w:rsidRPr="004E6412" w:rsidRDefault="00A83657" w:rsidP="003717F5">
      <w:pPr>
        <w:numPr>
          <w:ilvl w:val="0"/>
          <w:numId w:val="1"/>
        </w:numPr>
        <w:rPr>
          <w:sz w:val="22"/>
        </w:rPr>
      </w:pPr>
      <w:r w:rsidRPr="004E6412">
        <w:rPr>
          <w:sz w:val="22"/>
        </w:rPr>
        <w:t>izradu</w:t>
      </w:r>
      <w:r w:rsidR="00C84ECE" w:rsidRPr="004E6412">
        <w:rPr>
          <w:sz w:val="22"/>
        </w:rPr>
        <w:t xml:space="preserve"> plana aktivnosti </w:t>
      </w:r>
      <w:r w:rsidR="007D0CFD">
        <w:rPr>
          <w:sz w:val="22"/>
        </w:rPr>
        <w:t>provedbe</w:t>
      </w:r>
      <w:r w:rsidR="00C84ECE" w:rsidRPr="004E6412">
        <w:rPr>
          <w:sz w:val="22"/>
        </w:rPr>
        <w:t xml:space="preserve"> S</w:t>
      </w:r>
      <w:r w:rsidR="003717F5" w:rsidRPr="004E6412">
        <w:rPr>
          <w:sz w:val="22"/>
        </w:rPr>
        <w:t>trategije.</w:t>
      </w:r>
    </w:p>
    <w:p w:rsidR="003717F5" w:rsidRPr="004E6412" w:rsidRDefault="003717F5" w:rsidP="003717F5">
      <w:pPr>
        <w:rPr>
          <w:sz w:val="22"/>
        </w:rPr>
      </w:pPr>
    </w:p>
    <w:p w:rsidR="003717F5" w:rsidRDefault="003717F5" w:rsidP="003717F5">
      <w:pPr>
        <w:numPr>
          <w:ilvl w:val="0"/>
          <w:numId w:val="144"/>
        </w:numPr>
        <w:rPr>
          <w:sz w:val="22"/>
        </w:rPr>
      </w:pPr>
      <w:r w:rsidRPr="00B36526">
        <w:rPr>
          <w:sz w:val="22"/>
        </w:rPr>
        <w:t>Konceptualni ok</w:t>
      </w:r>
      <w:r w:rsidR="001C79B7" w:rsidRPr="00B36526">
        <w:rPr>
          <w:sz w:val="22"/>
        </w:rPr>
        <w:t>vir izrade Industrijske</w:t>
      </w:r>
      <w:r w:rsidRPr="00B36526">
        <w:rPr>
          <w:sz w:val="22"/>
        </w:rPr>
        <w:t xml:space="preserve"> strategije Republike Hrvatske 2014.</w:t>
      </w:r>
      <w:r w:rsidR="00C84ECE" w:rsidRPr="00B36526">
        <w:rPr>
          <w:sz w:val="22"/>
        </w:rPr>
        <w:t xml:space="preserve"> – 2020.</w:t>
      </w:r>
      <w:r w:rsidRPr="00B36526">
        <w:rPr>
          <w:sz w:val="22"/>
        </w:rPr>
        <w:t xml:space="preserve"> </w:t>
      </w:r>
      <w:r w:rsidR="001C79B7" w:rsidRPr="00B36526">
        <w:rPr>
          <w:sz w:val="22"/>
        </w:rPr>
        <w:t>(prikazan na S</w:t>
      </w:r>
      <w:r w:rsidRPr="00B36526">
        <w:rPr>
          <w:sz w:val="22"/>
        </w:rPr>
        <w:t xml:space="preserve">lici 2.) polazi od (1) uvoda u kojem su: određeni pojam i </w:t>
      </w:r>
      <w:r w:rsidR="00C84FC9" w:rsidRPr="00B36526">
        <w:rPr>
          <w:sz w:val="22"/>
        </w:rPr>
        <w:t>položaj</w:t>
      </w:r>
      <w:r w:rsidR="00C84ECE" w:rsidRPr="00B36526">
        <w:rPr>
          <w:sz w:val="22"/>
        </w:rPr>
        <w:t xml:space="preserve"> i</w:t>
      </w:r>
      <w:r w:rsidRPr="00B36526">
        <w:rPr>
          <w:sz w:val="22"/>
        </w:rPr>
        <w:t>ndustrijske strategije unutar strateških dokumenata Republike Hrvatske, prikazani</w:t>
      </w:r>
      <w:r w:rsidR="00C84FC9" w:rsidRPr="00B36526">
        <w:rPr>
          <w:sz w:val="22"/>
        </w:rPr>
        <w:t xml:space="preserve"> konceptualni okvir</w:t>
      </w:r>
      <w:r w:rsidRPr="00B36526">
        <w:rPr>
          <w:sz w:val="22"/>
        </w:rPr>
        <w:t xml:space="preserve"> i sadržaj dokumenta, analizirani makroekonomski uvjeti poslovanja, ljudi kao</w:t>
      </w:r>
      <w:r w:rsidR="00C84ECE" w:rsidRPr="00B36526">
        <w:rPr>
          <w:sz w:val="22"/>
        </w:rPr>
        <w:t xml:space="preserve"> ključan</w:t>
      </w:r>
      <w:r w:rsidRPr="00B36526">
        <w:rPr>
          <w:sz w:val="22"/>
        </w:rPr>
        <w:t xml:space="preserve"> čimbenik industrijske politike i tržište rada, resursi hrvatskog gospodarstva te strateške smjernice industrij</w:t>
      </w:r>
      <w:r w:rsidR="00C84ECE" w:rsidRPr="00B36526">
        <w:rPr>
          <w:sz w:val="22"/>
        </w:rPr>
        <w:t>ske politike Europske unije</w:t>
      </w:r>
      <w:r w:rsidRPr="00B36526">
        <w:rPr>
          <w:sz w:val="22"/>
        </w:rPr>
        <w:t>. Zatim slijedi (2) strateška analiza industrijskih djelatnosti koja uključuje kvalitati</w:t>
      </w:r>
      <w:r w:rsidR="00C84FC9" w:rsidRPr="00B36526">
        <w:rPr>
          <w:sz w:val="22"/>
        </w:rPr>
        <w:t>vnu i kvantitativnu analizu</w:t>
      </w:r>
      <w:r w:rsidRPr="00B36526">
        <w:rPr>
          <w:sz w:val="22"/>
        </w:rPr>
        <w:t xml:space="preserve"> obilježja industrijskih djelatnosti, a s ciljem (3) prepoznavanja i utvrđivanja onih djelatnosti i poddjelatnosti industrije koje imaju najveću sposobnost razvoja, rasta i zapošlj</w:t>
      </w:r>
      <w:r w:rsidR="00860738" w:rsidRPr="00B36526">
        <w:rPr>
          <w:sz w:val="22"/>
        </w:rPr>
        <w:t>avanja. Nadalje,</w:t>
      </w:r>
      <w:r w:rsidRPr="00B36526">
        <w:rPr>
          <w:sz w:val="22"/>
        </w:rPr>
        <w:t xml:space="preserve"> (4) utvrđeni </w:t>
      </w:r>
      <w:r w:rsidR="00860738" w:rsidRPr="00B36526">
        <w:rPr>
          <w:sz w:val="22"/>
        </w:rPr>
        <w:t xml:space="preserve">su </w:t>
      </w:r>
      <w:r w:rsidRPr="00B36526">
        <w:rPr>
          <w:sz w:val="22"/>
        </w:rPr>
        <w:t xml:space="preserve">strateški ciljevi i prioritetna područja strateških ciljeva te mjere </w:t>
      </w:r>
      <w:r w:rsidR="00C84ECE" w:rsidRPr="00B36526">
        <w:rPr>
          <w:sz w:val="22"/>
        </w:rPr>
        <w:t>za njihovu realizaciju</w:t>
      </w:r>
      <w:r w:rsidRPr="00B36526">
        <w:rPr>
          <w:sz w:val="22"/>
        </w:rPr>
        <w:t>. Na kraju dokumenta izr</w:t>
      </w:r>
      <w:r w:rsidR="00C84ECE" w:rsidRPr="00B36526">
        <w:rPr>
          <w:sz w:val="22"/>
        </w:rPr>
        <w:t>ađen je (5) provedbeni model</w:t>
      </w:r>
      <w:r w:rsidRPr="00B36526">
        <w:rPr>
          <w:sz w:val="22"/>
        </w:rPr>
        <w:t xml:space="preserve"> </w:t>
      </w:r>
      <w:r w:rsidR="00860738" w:rsidRPr="00B36526">
        <w:rPr>
          <w:sz w:val="22"/>
        </w:rPr>
        <w:t xml:space="preserve">(model implementacije) </w:t>
      </w:r>
      <w:r w:rsidRPr="00B36526">
        <w:rPr>
          <w:sz w:val="22"/>
        </w:rPr>
        <w:t>koji uključuje defini</w:t>
      </w:r>
      <w:r w:rsidR="00B36526" w:rsidRPr="00B36526">
        <w:rPr>
          <w:sz w:val="22"/>
        </w:rPr>
        <w:t xml:space="preserve">ranje odgovornosti i nužne pretpostavke za provedbu Strategije. </w:t>
      </w:r>
      <w:r w:rsidR="00B36526">
        <w:rPr>
          <w:sz w:val="22"/>
        </w:rPr>
        <w:t xml:space="preserve">Po prihvaćanju pretpostavki za provedbu Strategije, bit će izrađen akcijski plan kojim će biti definirani rokovi i nositelji provedbe Strategije. </w:t>
      </w:r>
    </w:p>
    <w:p w:rsidR="00B36526" w:rsidRPr="00B36526" w:rsidRDefault="00B36526" w:rsidP="00B36526">
      <w:pPr>
        <w:rPr>
          <w:sz w:val="22"/>
        </w:rPr>
      </w:pPr>
    </w:p>
    <w:p w:rsidR="003717F5" w:rsidRPr="004E6412" w:rsidRDefault="003717F5" w:rsidP="00B15A78">
      <w:pPr>
        <w:numPr>
          <w:ilvl w:val="0"/>
          <w:numId w:val="144"/>
        </w:numPr>
        <w:rPr>
          <w:sz w:val="22"/>
        </w:rPr>
      </w:pPr>
      <w:r w:rsidRPr="004E6412">
        <w:rPr>
          <w:sz w:val="22"/>
        </w:rPr>
        <w:t>Slijedom navedenoga, dokument je podijeljen u 8 dijelova:</w:t>
      </w:r>
    </w:p>
    <w:p w:rsidR="003717F5" w:rsidRPr="004E6412" w:rsidRDefault="003717F5" w:rsidP="003717F5">
      <w:pPr>
        <w:numPr>
          <w:ilvl w:val="0"/>
          <w:numId w:val="2"/>
        </w:numPr>
        <w:rPr>
          <w:sz w:val="22"/>
        </w:rPr>
      </w:pPr>
      <w:r w:rsidRPr="004E6412">
        <w:rPr>
          <w:sz w:val="22"/>
        </w:rPr>
        <w:t>Uvod,</w:t>
      </w:r>
    </w:p>
    <w:p w:rsidR="003717F5" w:rsidRPr="004E6412" w:rsidRDefault="003717F5" w:rsidP="003717F5">
      <w:pPr>
        <w:numPr>
          <w:ilvl w:val="0"/>
          <w:numId w:val="2"/>
        </w:numPr>
        <w:rPr>
          <w:sz w:val="22"/>
        </w:rPr>
      </w:pPr>
      <w:r w:rsidRPr="004E6412">
        <w:rPr>
          <w:sz w:val="22"/>
        </w:rPr>
        <w:t>Prerađivačka industrija,</w:t>
      </w:r>
    </w:p>
    <w:p w:rsidR="003717F5" w:rsidRPr="004E6412" w:rsidRDefault="003717F5" w:rsidP="003717F5">
      <w:pPr>
        <w:numPr>
          <w:ilvl w:val="0"/>
          <w:numId w:val="2"/>
        </w:numPr>
        <w:rPr>
          <w:sz w:val="22"/>
        </w:rPr>
      </w:pPr>
      <w:r w:rsidRPr="004E6412">
        <w:rPr>
          <w:sz w:val="22"/>
        </w:rPr>
        <w:t>Građevinarstvo,</w:t>
      </w:r>
    </w:p>
    <w:p w:rsidR="003717F5" w:rsidRPr="004E6412" w:rsidRDefault="003717F5" w:rsidP="003717F5">
      <w:pPr>
        <w:numPr>
          <w:ilvl w:val="0"/>
          <w:numId w:val="2"/>
        </w:numPr>
        <w:rPr>
          <w:sz w:val="22"/>
        </w:rPr>
      </w:pPr>
      <w:r w:rsidRPr="004E6412">
        <w:rPr>
          <w:sz w:val="22"/>
        </w:rPr>
        <w:t>Informacije i komunikacije,</w:t>
      </w:r>
    </w:p>
    <w:p w:rsidR="003717F5" w:rsidRPr="004E6412" w:rsidRDefault="003717F5" w:rsidP="003717F5">
      <w:pPr>
        <w:numPr>
          <w:ilvl w:val="0"/>
          <w:numId w:val="2"/>
        </w:numPr>
        <w:rPr>
          <w:sz w:val="22"/>
        </w:rPr>
      </w:pPr>
      <w:r w:rsidRPr="004E6412">
        <w:rPr>
          <w:sz w:val="22"/>
        </w:rPr>
        <w:t xml:space="preserve">Model vrednovanja i utvrđivanje ključnih </w:t>
      </w:r>
      <w:r w:rsidR="004E6412" w:rsidRPr="004E6412">
        <w:rPr>
          <w:sz w:val="22"/>
        </w:rPr>
        <w:t xml:space="preserve">djelatnosti i </w:t>
      </w:r>
      <w:r w:rsidRPr="004E6412">
        <w:rPr>
          <w:sz w:val="22"/>
        </w:rPr>
        <w:t>poddjelatnosti,</w:t>
      </w:r>
    </w:p>
    <w:p w:rsidR="003717F5" w:rsidRPr="004E6412" w:rsidRDefault="00095CC0" w:rsidP="003717F5">
      <w:pPr>
        <w:numPr>
          <w:ilvl w:val="0"/>
          <w:numId w:val="2"/>
        </w:numPr>
        <w:rPr>
          <w:sz w:val="22"/>
        </w:rPr>
      </w:pPr>
      <w:r w:rsidRPr="004E6412">
        <w:rPr>
          <w:sz w:val="22"/>
        </w:rPr>
        <w:t>Strateški ciljevi hrvatske industrije 2014. - 2020.</w:t>
      </w:r>
      <w:r w:rsidR="003717F5" w:rsidRPr="004E6412">
        <w:rPr>
          <w:sz w:val="22"/>
        </w:rPr>
        <w:t>,</w:t>
      </w:r>
    </w:p>
    <w:p w:rsidR="003717F5" w:rsidRPr="004E6412" w:rsidRDefault="00095CC0" w:rsidP="003717F5">
      <w:pPr>
        <w:numPr>
          <w:ilvl w:val="0"/>
          <w:numId w:val="2"/>
        </w:numPr>
        <w:rPr>
          <w:sz w:val="22"/>
        </w:rPr>
      </w:pPr>
      <w:r w:rsidRPr="004E6412">
        <w:rPr>
          <w:sz w:val="22"/>
        </w:rPr>
        <w:lastRenderedPageBreak/>
        <w:t>Prioritetna područja i mjere realizacije strateških ciljeva</w:t>
      </w:r>
      <w:r w:rsidR="003717F5" w:rsidRPr="004E6412">
        <w:rPr>
          <w:sz w:val="22"/>
        </w:rPr>
        <w:t>,</w:t>
      </w:r>
    </w:p>
    <w:p w:rsidR="003717F5" w:rsidRPr="004E6412" w:rsidRDefault="007D0CFD" w:rsidP="003717F5">
      <w:pPr>
        <w:numPr>
          <w:ilvl w:val="0"/>
          <w:numId w:val="2"/>
        </w:numPr>
        <w:rPr>
          <w:sz w:val="22"/>
        </w:rPr>
      </w:pPr>
      <w:r>
        <w:rPr>
          <w:sz w:val="22"/>
        </w:rPr>
        <w:t>Provedba</w:t>
      </w:r>
      <w:r w:rsidR="00095CC0" w:rsidRPr="004E6412">
        <w:rPr>
          <w:sz w:val="22"/>
        </w:rPr>
        <w:t xml:space="preserve"> strategije</w:t>
      </w:r>
      <w:r w:rsidR="003717F5" w:rsidRPr="004E6412">
        <w:rPr>
          <w:sz w:val="22"/>
        </w:rPr>
        <w:t>.</w:t>
      </w:r>
    </w:p>
    <w:p w:rsidR="003717F5" w:rsidRPr="004E6412" w:rsidRDefault="003717F5" w:rsidP="003717F5">
      <w:pPr>
        <w:rPr>
          <w:sz w:val="22"/>
        </w:rPr>
      </w:pPr>
    </w:p>
    <w:p w:rsidR="003717F5" w:rsidRPr="004E6412" w:rsidRDefault="003717F5" w:rsidP="00B15A78">
      <w:pPr>
        <w:numPr>
          <w:ilvl w:val="0"/>
          <w:numId w:val="145"/>
        </w:numPr>
        <w:rPr>
          <w:sz w:val="22"/>
        </w:rPr>
      </w:pPr>
      <w:r w:rsidRPr="004E6412">
        <w:rPr>
          <w:sz w:val="22"/>
        </w:rPr>
        <w:t xml:space="preserve">Ovaj je dokument izrađen kao skraćena i dorađena inačica izvornog dokumenta koji </w:t>
      </w:r>
      <w:r w:rsidR="00B62B1E">
        <w:rPr>
          <w:sz w:val="22"/>
        </w:rPr>
        <w:t xml:space="preserve">okvirno </w:t>
      </w:r>
      <w:r w:rsidRPr="004E6412">
        <w:rPr>
          <w:sz w:val="22"/>
        </w:rPr>
        <w:t xml:space="preserve">sadrži </w:t>
      </w:r>
      <w:r w:rsidR="00B62B1E">
        <w:rPr>
          <w:sz w:val="22"/>
          <w:highlight w:val="yellow"/>
        </w:rPr>
        <w:t>1.300 stranica, 900 tablica i 240</w:t>
      </w:r>
      <w:r w:rsidRPr="004E6412">
        <w:rPr>
          <w:sz w:val="22"/>
          <w:highlight w:val="yellow"/>
        </w:rPr>
        <w:t xml:space="preserve"> slika</w:t>
      </w:r>
      <w:r w:rsidRPr="004E6412">
        <w:rPr>
          <w:sz w:val="22"/>
        </w:rPr>
        <w:t>.</w:t>
      </w:r>
      <w:r w:rsidR="00B62B1E">
        <w:rPr>
          <w:sz w:val="22"/>
        </w:rPr>
        <w:t xml:space="preserve"> Skraćena inačica sadrži</w:t>
      </w:r>
      <w:r w:rsidRPr="004E6412">
        <w:rPr>
          <w:sz w:val="22"/>
        </w:rPr>
        <w:t xml:space="preserve"> zaključke po svi</w:t>
      </w:r>
      <w:r w:rsidR="00B62B1E">
        <w:rPr>
          <w:sz w:val="22"/>
        </w:rPr>
        <w:t>m dijelovima izvornog dokumenta</w:t>
      </w:r>
      <w:r w:rsidRPr="004E6412">
        <w:rPr>
          <w:sz w:val="22"/>
        </w:rPr>
        <w:t>.</w:t>
      </w: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pStyle w:val="Heading3"/>
        <w:rPr>
          <w:rFonts w:eastAsia="Calibri"/>
        </w:rPr>
      </w:pPr>
      <w:bookmarkStart w:id="18" w:name="_Toc378069015"/>
      <w:bookmarkStart w:id="19" w:name="_Toc366152975"/>
      <w:bookmarkStart w:id="20" w:name="_Toc366154236"/>
      <w:bookmarkStart w:id="21" w:name="_Toc366154353"/>
      <w:bookmarkStart w:id="22" w:name="_Toc366409894"/>
      <w:r w:rsidRPr="004E6412">
        <w:rPr>
          <w:rFonts w:eastAsia="Calibri"/>
        </w:rPr>
        <w:t>Metodologija</w:t>
      </w:r>
      <w:bookmarkEnd w:id="18"/>
      <w:r w:rsidRPr="004E6412">
        <w:rPr>
          <w:rFonts w:eastAsia="Calibri"/>
        </w:rPr>
        <w:t xml:space="preserve"> </w:t>
      </w:r>
      <w:bookmarkEnd w:id="19"/>
      <w:bookmarkEnd w:id="20"/>
      <w:bookmarkEnd w:id="21"/>
      <w:bookmarkEnd w:id="22"/>
    </w:p>
    <w:p w:rsidR="003717F5" w:rsidRPr="004E6412" w:rsidRDefault="003717F5" w:rsidP="00B15A78">
      <w:pPr>
        <w:numPr>
          <w:ilvl w:val="0"/>
          <w:numId w:val="145"/>
        </w:numPr>
        <w:rPr>
          <w:rFonts w:eastAsia="Times New Roman"/>
          <w:sz w:val="22"/>
        </w:rPr>
      </w:pPr>
      <w:r w:rsidRPr="004E6412">
        <w:rPr>
          <w:rFonts w:eastAsia="Times New Roman"/>
          <w:sz w:val="22"/>
        </w:rPr>
        <w:t>Područje istraživanja je hrvatska industrija koja obuhvaća prerađivačku industriju s pripadajućim djelatnostima i poddjelatnostima (osim djelatnosti C12 Proizvodnja duhanskih proizvoda i C32 Ostala prerađivačka industrija), građevinarstvo s pripadajućim djelatnostima te informacije i komunikacije s pripadajućim djelatnostima.</w:t>
      </w:r>
      <w:r w:rsidRPr="004E6412">
        <w:rPr>
          <w:sz w:val="22"/>
        </w:rPr>
        <w:t xml:space="preserve"> </w:t>
      </w:r>
    </w:p>
    <w:p w:rsidR="003717F5" w:rsidRPr="004E6412" w:rsidRDefault="003717F5" w:rsidP="003717F5">
      <w:pPr>
        <w:rPr>
          <w:rFonts w:eastAsia="Times New Roman"/>
          <w:color w:val="FF0000"/>
          <w:sz w:val="22"/>
        </w:rPr>
      </w:pPr>
    </w:p>
    <w:p w:rsidR="003717F5" w:rsidRDefault="00140D12" w:rsidP="00B15A78">
      <w:pPr>
        <w:numPr>
          <w:ilvl w:val="0"/>
          <w:numId w:val="145"/>
        </w:numPr>
        <w:rPr>
          <w:rFonts w:eastAsia="Times New Roman"/>
          <w:sz w:val="22"/>
        </w:rPr>
      </w:pPr>
      <w:r w:rsidRPr="004E6412">
        <w:rPr>
          <w:rFonts w:eastAsia="Times New Roman"/>
          <w:sz w:val="22"/>
        </w:rPr>
        <w:t>Tablica 1</w:t>
      </w:r>
      <w:r w:rsidR="003717F5" w:rsidRPr="004E6412">
        <w:rPr>
          <w:rFonts w:eastAsia="Times New Roman"/>
          <w:sz w:val="22"/>
        </w:rPr>
        <w:t xml:space="preserve"> prikazuje analizirane industrije, pripadajuće djelatnosti i poddjelatnosti prema Nacionalnoj klasifikaciji djelatnosti iz 2007., a koja je usklađena s EU statističkom klasifikacijom ekonomskih djelatnosti NACE-om Rev. 2. </w:t>
      </w:r>
    </w:p>
    <w:p w:rsidR="007D0CFD" w:rsidRPr="004E6412" w:rsidRDefault="007D0CFD" w:rsidP="007D0CFD">
      <w:pPr>
        <w:rPr>
          <w:rFonts w:eastAsia="Times New Roman"/>
          <w:sz w:val="22"/>
        </w:rPr>
      </w:pPr>
    </w:p>
    <w:p w:rsidR="003717F5" w:rsidRPr="007D0CFD" w:rsidRDefault="003717F5" w:rsidP="007D0CFD">
      <w:pPr>
        <w:pStyle w:val="Heading5"/>
        <w:rPr>
          <w:rStyle w:val="IntenseEmphasis"/>
          <w:b/>
          <w:bCs w:val="0"/>
          <w:iCs w:val="0"/>
          <w:color w:val="548DD4" w:themeColor="text2" w:themeTint="99"/>
          <w:sz w:val="20"/>
        </w:rPr>
      </w:pPr>
      <w:bookmarkStart w:id="23" w:name="_Toc372088099"/>
      <w:bookmarkStart w:id="24" w:name="_Toc377551013"/>
      <w:bookmarkStart w:id="25" w:name="_Toc377635202"/>
      <w:r w:rsidRPr="007D0CFD">
        <w:rPr>
          <w:rStyle w:val="IntenseEmphasis"/>
          <w:b/>
          <w:bCs w:val="0"/>
          <w:iCs w:val="0"/>
          <w:color w:val="548DD4" w:themeColor="text2" w:themeTint="99"/>
          <w:sz w:val="20"/>
        </w:rPr>
        <w:t xml:space="preserve">Tablica </w:t>
      </w:r>
      <w:r w:rsidR="00755B73"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Prikaz analiziranih industrijskih djelatnosti i poddjela</w:t>
      </w:r>
      <w:r w:rsidR="00173D23" w:rsidRPr="007D0CFD">
        <w:rPr>
          <w:rStyle w:val="IntenseEmphasis"/>
          <w:b/>
          <w:bCs w:val="0"/>
          <w:iCs w:val="0"/>
          <w:color w:val="548DD4" w:themeColor="text2" w:themeTint="99"/>
          <w:sz w:val="20"/>
        </w:rPr>
        <w:t>tnosti u Industrijskoj</w:t>
      </w:r>
      <w:r w:rsidRPr="007D0CFD">
        <w:rPr>
          <w:rStyle w:val="IntenseEmphasis"/>
          <w:b/>
          <w:bCs w:val="0"/>
          <w:iCs w:val="0"/>
          <w:color w:val="548DD4" w:themeColor="text2" w:themeTint="99"/>
          <w:sz w:val="20"/>
        </w:rPr>
        <w:t xml:space="preserve"> strategiji Republike Hrvatske za razdoblje 2014. – 2020.</w:t>
      </w:r>
      <w:bookmarkEnd w:id="23"/>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14"/>
        <w:gridCol w:w="3301"/>
        <w:gridCol w:w="763"/>
        <w:gridCol w:w="3160"/>
        <w:gridCol w:w="890"/>
      </w:tblGrid>
      <w:tr w:rsidR="003717F5" w:rsidRPr="004E6412" w:rsidTr="0097195F">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Oznaka djelatnosti</w:t>
            </w:r>
          </w:p>
        </w:tc>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 xml:space="preserve">Opis </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djelatnosti</w:t>
            </w:r>
          </w:p>
        </w:tc>
        <w:tc>
          <w:tcPr>
            <w:tcW w:w="0" w:type="auto"/>
            <w:tcBorders>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Odjeljak</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po NKD-u</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Opis poddjelatnosti</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Skupina po NKD-u</w:t>
            </w:r>
          </w:p>
        </w:tc>
      </w:tr>
      <w:tr w:rsidR="003717F5" w:rsidRPr="004E6412" w:rsidTr="0097195F">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C</w:t>
            </w:r>
          </w:p>
        </w:tc>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Prerađivačka industrija</w:t>
            </w:r>
          </w:p>
        </w:tc>
        <w:tc>
          <w:tcPr>
            <w:tcW w:w="0" w:type="auto"/>
            <w:tcBorders>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r>
      <w:tr w:rsidR="003717F5" w:rsidRPr="004E6412" w:rsidTr="0097195F">
        <w:trPr>
          <w:trHeight w:val="424"/>
        </w:trPr>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prehrambenih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Prerada i konzerviranje mesa i proizvodnja mesnih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riba, rakova i školjki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voća i povrća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biljnih i životinjskih ulja i masti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mliječnih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mlinskih proizvoda, škroba i škrobnih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pekarskih i brašneno-konditorskih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prehrambenih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pripremljene hrane za životinje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pića</w:t>
            </w:r>
          </w:p>
        </w:tc>
        <w:tc>
          <w:tcPr>
            <w:tcW w:w="0" w:type="auto"/>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Proizvodnja pića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tekstila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Priprema i predenje tekstilnih vlakana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Tkanje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Dovršavanje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ostalog tekstila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odjeće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odjeće, osim krznene odjeće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krzna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pletene i kukičane odjeće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kože i srodnih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Štavljenje i obrada kože; proizvodnja putnih i ručnih torba, sedlarskih i remenarskih proizvoda; dorada i bojenje krzna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obuće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Prerada drva i proizvoda od drva i pluta, osim namještaja; proizvodnja proizvoda od slame i pletarskih materijala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Piljenje i blanjanje drva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drva, pluta, slame i pletarskih materijala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papira i proizvoda od papira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celuloze, papira i kartona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papira i kartona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17.2</w:t>
            </w:r>
          </w:p>
          <w:p w:rsidR="003717F5" w:rsidRPr="004E6412" w:rsidRDefault="003717F5" w:rsidP="0097195F">
            <w:pPr>
              <w:spacing w:line="240" w:lineRule="auto"/>
              <w:jc w:val="left"/>
              <w:rPr>
                <w:sz w:val="18"/>
                <w:szCs w:val="18"/>
              </w:rPr>
            </w:pP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Tiskanje i umnožavanje snimljenih zapisa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Tiskanje i uslužne djelatnosti povezane s tiskanjem</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Umnožavanje snimljenih zapisa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koksa i rafiniranih naftnih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koksnih peći</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rafiniranih naftnih proizvoda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kemikalija i kemijskih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kemikalija, gnojiva i dušičnih spojeva, plastike i sintetičkoga kaučuka u primarnim oblicima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pesticida i drugih agrokemijskih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boja, lakova i sličnih premaza, grafičkih boja i kitova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sapuna i deterdženata, sredstava za čišćenje i poliranje,</w:t>
            </w:r>
          </w:p>
          <w:p w:rsidR="003717F5" w:rsidRPr="004E6412" w:rsidRDefault="003717F5" w:rsidP="0097195F">
            <w:pPr>
              <w:spacing w:line="240" w:lineRule="auto"/>
              <w:jc w:val="left"/>
              <w:rPr>
                <w:sz w:val="18"/>
                <w:szCs w:val="18"/>
              </w:rPr>
            </w:pPr>
            <w:r w:rsidRPr="004E6412">
              <w:rPr>
                <w:sz w:val="18"/>
                <w:szCs w:val="18"/>
              </w:rPr>
              <w:t>parfema i toaletno-kozmetičkih preparata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umjetnih vlakana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osnovnih farmaceutskih proizvoda i farmaceutskih pripravaka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farmaceutskih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farmaceutskih pripravaka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proizvoda od gume i plastike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gume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plastike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nemetalnih mineralnih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stakla i proizvoda od stakla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vatrostalnih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gline za građevinarstvo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od porculana i keramike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cementa, vapna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betona, cementa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Rezanje, oblikovanje i obrada kamena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brusnih proizvoda i nemetalnih mineralnih proizvoda,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metala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sirovog željeza, čelika i ferolegura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čeličnih cijevi i pribora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primarne prerade čelika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plemenitih i ostalih obojenih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Lijevanje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gotovih metalnih proizvoda, osim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konstrukcija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cisterni, rezervoara i sličnih posuda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parnih kotlova, osim kotlova za centralno grijanje toplom vodom</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oružja i streljiva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Kovanje, prešanje, štancanje i valjanje metala; metalurgija praha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Obrada i prevlačenje metala; strojna obrada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sječiva, alata i opće željezne robe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gotovih proizvoda od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računala te elektroničkih i optičkih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komponenata i ploča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računala i periferne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komunikacijske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uređaja za široku potrošnju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instrumenata i aparata za mjerenje, ispitivanje i navigaciju; proizvodnja satova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opreme za zračenje, elektromedicinske i elektroterapeutske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optičkih instrumenata i fotografske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magnetskih i optičkih medija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električne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elektromotora, generatora, transformatora te uređaja za</w:t>
            </w:r>
          </w:p>
          <w:p w:rsidR="003717F5" w:rsidRPr="004E6412" w:rsidRDefault="003717F5" w:rsidP="0097195F">
            <w:pPr>
              <w:spacing w:line="240" w:lineRule="auto"/>
              <w:jc w:val="left"/>
              <w:rPr>
                <w:sz w:val="18"/>
                <w:szCs w:val="18"/>
              </w:rPr>
            </w:pPr>
            <w:r w:rsidRPr="004E6412">
              <w:rPr>
                <w:sz w:val="18"/>
                <w:szCs w:val="18"/>
              </w:rPr>
              <w:t>distribuciju i kontrolu električne energije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baterija i akumulatora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žice i elektroinstalacijskog materijala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električne opreme za rasvjetu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aparata za kućanstvo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ostale električne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strojeva i uređaja, d. n.</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opće namjene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opće namjene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poljoprivredu i šumarstvo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obradu metala i alatnih strojeva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posebne namjene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motornih vozila, prikolica i poluprikolica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motornih vozila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karoserija za motorna vozila, prikolica i poluprikolica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dijelova i pribora za motorna vozila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prijevoznih sredstava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Gradnja brodova i čamaca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željezničkih lokomotiva i tračničkih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zrakoplova i svemirskih letjelica te srodnih prijevoznih</w:t>
            </w:r>
          </w:p>
          <w:p w:rsidR="003717F5" w:rsidRPr="004E6412" w:rsidRDefault="003717F5" w:rsidP="0097195F">
            <w:pPr>
              <w:spacing w:line="240" w:lineRule="auto"/>
              <w:jc w:val="left"/>
              <w:rPr>
                <w:sz w:val="18"/>
                <w:szCs w:val="18"/>
              </w:rPr>
            </w:pPr>
            <w:r w:rsidRPr="004E6412">
              <w:rPr>
                <w:sz w:val="18"/>
                <w:szCs w:val="18"/>
              </w:rPr>
              <w:t>sredstava i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vojnih borbenih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prijevoznih sredstava,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b/>
                <w:sz w:val="18"/>
                <w:szCs w:val="18"/>
              </w:rPr>
            </w:pPr>
            <w:r w:rsidRPr="004E6412">
              <w:rPr>
                <w:b/>
                <w:sz w:val="18"/>
                <w:szCs w:val="18"/>
              </w:rPr>
              <w:t>Proizvodnja namještaja</w:t>
            </w:r>
          </w:p>
        </w:tc>
        <w:tc>
          <w:tcPr>
            <w:tcW w:w="0" w:type="auto"/>
            <w:shd w:val="clear" w:color="auto" w:fill="auto"/>
          </w:tcPr>
          <w:p w:rsidR="003717F5" w:rsidRPr="004E6412" w:rsidRDefault="003717F5" w:rsidP="0097195F">
            <w:pPr>
              <w:spacing w:line="240" w:lineRule="auto"/>
              <w:jc w:val="left"/>
              <w:rPr>
                <w:sz w:val="18"/>
                <w:szCs w:val="18"/>
              </w:rPr>
            </w:pPr>
            <w:r w:rsidRPr="004E6412">
              <w:rPr>
                <w:sz w:val="18"/>
                <w:szCs w:val="18"/>
              </w:rPr>
              <w:t>31</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namještaja</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Popravak i instaliranje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Popravak proizvoda od metala, strojeva i opreme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Instaliranje industrijskih strojeva i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33.2</w:t>
            </w:r>
          </w:p>
        </w:tc>
      </w:tr>
      <w:tr w:rsidR="003717F5" w:rsidRPr="004E6412" w:rsidTr="0097195F">
        <w:tc>
          <w:tcPr>
            <w:tcW w:w="0" w:type="auto"/>
            <w:gridSpan w:val="5"/>
            <w:shd w:val="clear" w:color="auto" w:fill="auto"/>
          </w:tcPr>
          <w:p w:rsidR="003717F5" w:rsidRPr="004E6412" w:rsidRDefault="003717F5" w:rsidP="0097195F">
            <w:pPr>
              <w:spacing w:line="240" w:lineRule="auto"/>
              <w:jc w:val="left"/>
              <w:rPr>
                <w:sz w:val="18"/>
                <w:szCs w:val="18"/>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F</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Građevinarstvo</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Gradnja zgrada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Gradnja građevina niskogradnje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Specijalizirane građevinske djelatnosti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43</w:t>
            </w:r>
          </w:p>
        </w:tc>
      </w:tr>
      <w:tr w:rsidR="003717F5" w:rsidRPr="004E6412" w:rsidTr="0097195F">
        <w:tc>
          <w:tcPr>
            <w:tcW w:w="0" w:type="auto"/>
            <w:gridSpan w:val="5"/>
            <w:shd w:val="clear" w:color="auto" w:fill="auto"/>
          </w:tcPr>
          <w:p w:rsidR="003717F5" w:rsidRPr="004E6412" w:rsidRDefault="003717F5" w:rsidP="0097195F">
            <w:pPr>
              <w:spacing w:line="240" w:lineRule="auto"/>
              <w:rPr>
                <w:rFonts w:eastAsia="Times New Roman"/>
                <w:sz w:val="19"/>
                <w:szCs w:val="19"/>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J</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Informacije i komunikacije</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Izdavačke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58</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Proizvodnja filmova, videofilmova i televizijskog programa, djelatnosti snimanja zvučnih zapisa i izdavanja glazbenih zapisa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59</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Emitiranje programa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60</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Telekomunikacije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Računalno programiranje, savjetovanje i djelatnosti povezane s njima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Informacijske uslužne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63</w:t>
            </w:r>
          </w:p>
        </w:tc>
      </w:tr>
    </w:tbl>
    <w:p w:rsidR="003717F5" w:rsidRPr="004E6412" w:rsidRDefault="003717F5" w:rsidP="003717F5">
      <w:pPr>
        <w:ind w:right="-2"/>
        <w:rPr>
          <w:rFonts w:eastAsia="Times New Roman"/>
          <w:sz w:val="22"/>
          <w:highlight w:val="yellow"/>
        </w:rPr>
      </w:pPr>
    </w:p>
    <w:p w:rsidR="003717F5" w:rsidRPr="004E6412" w:rsidRDefault="003717F5" w:rsidP="00B15A78">
      <w:pPr>
        <w:numPr>
          <w:ilvl w:val="0"/>
          <w:numId w:val="141"/>
        </w:numPr>
        <w:ind w:right="-2"/>
        <w:rPr>
          <w:rFonts w:eastAsia="Times New Roman"/>
          <w:sz w:val="22"/>
        </w:rPr>
      </w:pPr>
      <w:r w:rsidRPr="004E6412">
        <w:rPr>
          <w:rFonts w:eastAsia="Times New Roman"/>
          <w:sz w:val="22"/>
        </w:rPr>
        <w:lastRenderedPageBreak/>
        <w:t>Polazišna osnova za strukturiranje metodološkog koncepta ovoga dokumenta bila je metodologija korištena u str</w:t>
      </w:r>
      <w:r w:rsidR="004E6412" w:rsidRPr="004E6412">
        <w:rPr>
          <w:rFonts w:eastAsia="Times New Roman"/>
          <w:sz w:val="22"/>
        </w:rPr>
        <w:t>ategijama/studijama/analizama Europske unije</w:t>
      </w:r>
      <w:r w:rsidRPr="004E6412">
        <w:rPr>
          <w:rFonts w:eastAsia="Times New Roman"/>
          <w:sz w:val="22"/>
        </w:rPr>
        <w:t xml:space="preserve"> (Peneder, M.: Sectoral Growth Drivers and Com</w:t>
      </w:r>
      <w:r w:rsidR="006C7029" w:rsidRPr="004E6412">
        <w:rPr>
          <w:rFonts w:eastAsia="Times New Roman"/>
          <w:sz w:val="22"/>
        </w:rPr>
        <w:t xml:space="preserve">petitiveness in the EU, 2009; </w:t>
      </w:r>
      <w:r w:rsidRPr="004E6412">
        <w:rPr>
          <w:rFonts w:eastAsia="Times New Roman"/>
          <w:sz w:val="22"/>
        </w:rPr>
        <w:t>European Commission: Member States' C</w:t>
      </w:r>
      <w:r w:rsidR="006C7029" w:rsidRPr="004E6412">
        <w:rPr>
          <w:rFonts w:eastAsia="Times New Roman"/>
          <w:sz w:val="22"/>
        </w:rPr>
        <w:t>ompetitiveness Performance and P</w:t>
      </w:r>
      <w:r w:rsidRPr="004E6412">
        <w:rPr>
          <w:rFonts w:eastAsia="Times New Roman"/>
          <w:sz w:val="22"/>
        </w:rPr>
        <w:t>olicies; A Europ</w:t>
      </w:r>
      <w:r w:rsidR="006C7029" w:rsidRPr="004E6412">
        <w:rPr>
          <w:rFonts w:eastAsia="Times New Roman"/>
          <w:sz w:val="22"/>
        </w:rPr>
        <w:t>e 2020 initiative, 2012</w:t>
      </w:r>
      <w:r w:rsidRPr="004E6412">
        <w:rPr>
          <w:rFonts w:eastAsia="Times New Roman"/>
          <w:sz w:val="22"/>
        </w:rPr>
        <w:t>).</w:t>
      </w:r>
    </w:p>
    <w:p w:rsidR="003717F5" w:rsidRPr="004E6412" w:rsidRDefault="003717F5" w:rsidP="003717F5">
      <w:pPr>
        <w:ind w:right="-2" w:firstLine="60"/>
        <w:rPr>
          <w:rFonts w:eastAsia="Times New Roman"/>
          <w:sz w:val="22"/>
        </w:rPr>
      </w:pPr>
    </w:p>
    <w:p w:rsidR="003717F5" w:rsidRPr="004E6412" w:rsidRDefault="003717F5" w:rsidP="00B15A78">
      <w:pPr>
        <w:numPr>
          <w:ilvl w:val="0"/>
          <w:numId w:val="141"/>
        </w:numPr>
        <w:ind w:right="-2"/>
        <w:rPr>
          <w:rFonts w:eastAsia="Times New Roman"/>
          <w:sz w:val="22"/>
        </w:rPr>
      </w:pPr>
      <w:r w:rsidRPr="004E6412">
        <w:rPr>
          <w:rFonts w:eastAsia="Times New Roman"/>
          <w:sz w:val="22"/>
        </w:rPr>
        <w:t>Pri strateškoj analizi industrijskih djelatnosti primijenj</w:t>
      </w:r>
      <w:r w:rsidR="006C7029" w:rsidRPr="004E6412">
        <w:rPr>
          <w:rFonts w:eastAsia="Times New Roman"/>
          <w:sz w:val="22"/>
        </w:rPr>
        <w:t>ena je kombinirana metodologija</w:t>
      </w:r>
      <w:r w:rsidRPr="004E6412">
        <w:rPr>
          <w:rFonts w:eastAsia="Times New Roman"/>
          <w:sz w:val="22"/>
        </w:rPr>
        <w:t xml:space="preserve"> </w:t>
      </w:r>
      <w:r w:rsidR="004E6412" w:rsidRPr="004E6412">
        <w:rPr>
          <w:rFonts w:eastAsia="Times New Roman"/>
          <w:sz w:val="22"/>
        </w:rPr>
        <w:t>(</w:t>
      </w:r>
      <w:r w:rsidRPr="004E6412">
        <w:rPr>
          <w:rFonts w:eastAsia="Times New Roman"/>
          <w:sz w:val="22"/>
        </w:rPr>
        <w:t>kvantitativne i kvalitativne metode istraživanja</w:t>
      </w:r>
      <w:r w:rsidR="004E6412" w:rsidRPr="004E6412">
        <w:rPr>
          <w:rFonts w:eastAsia="Times New Roman"/>
          <w:sz w:val="22"/>
        </w:rPr>
        <w:t>)</w:t>
      </w:r>
      <w:r w:rsidRPr="004E6412">
        <w:rPr>
          <w:rFonts w:eastAsia="Times New Roman"/>
          <w:sz w:val="22"/>
        </w:rPr>
        <w:t xml:space="preserve">. </w:t>
      </w:r>
    </w:p>
    <w:p w:rsidR="003717F5" w:rsidRPr="004E6412" w:rsidRDefault="003717F5" w:rsidP="003717F5">
      <w:pPr>
        <w:ind w:right="-2"/>
        <w:rPr>
          <w:rFonts w:eastAsia="Times New Roman"/>
          <w:sz w:val="22"/>
        </w:rPr>
      </w:pPr>
    </w:p>
    <w:p w:rsidR="003717F5" w:rsidRPr="004E6412" w:rsidRDefault="006C7029" w:rsidP="00B15A78">
      <w:pPr>
        <w:numPr>
          <w:ilvl w:val="0"/>
          <w:numId w:val="141"/>
        </w:numPr>
        <w:ind w:right="-2"/>
        <w:rPr>
          <w:rFonts w:eastAsia="Times New Roman"/>
          <w:spacing w:val="-2"/>
          <w:sz w:val="22"/>
          <w:lang w:eastAsia="hr-HR"/>
        </w:rPr>
      </w:pPr>
      <w:r w:rsidRPr="004E6412">
        <w:rPr>
          <w:rFonts w:eastAsia="Times New Roman"/>
          <w:b/>
          <w:spacing w:val="-4"/>
          <w:sz w:val="22"/>
          <w:lang w:eastAsia="hr-HR"/>
        </w:rPr>
        <w:t>Kvantitativna analiza</w:t>
      </w:r>
      <w:r w:rsidR="003717F5" w:rsidRPr="004E6412">
        <w:rPr>
          <w:rFonts w:eastAsia="Times New Roman"/>
          <w:spacing w:val="-4"/>
          <w:sz w:val="22"/>
          <w:lang w:eastAsia="hr-HR"/>
        </w:rPr>
        <w:t xml:space="preserve"> proveden</w:t>
      </w:r>
      <w:r w:rsidRPr="004E6412">
        <w:rPr>
          <w:rFonts w:eastAsia="Times New Roman"/>
          <w:spacing w:val="-4"/>
          <w:sz w:val="22"/>
          <w:lang w:eastAsia="hr-HR"/>
        </w:rPr>
        <w:t>a</w:t>
      </w:r>
      <w:r w:rsidR="003717F5" w:rsidRPr="004E6412">
        <w:rPr>
          <w:rFonts w:eastAsia="Times New Roman"/>
          <w:spacing w:val="-4"/>
          <w:sz w:val="22"/>
          <w:lang w:eastAsia="hr-HR"/>
        </w:rPr>
        <w:t xml:space="preserve"> je za razdoblje 2010.</w:t>
      </w:r>
      <w:r w:rsidRPr="004E6412">
        <w:rPr>
          <w:rFonts w:eastAsia="Times New Roman"/>
          <w:spacing w:val="-4"/>
          <w:sz w:val="22"/>
          <w:lang w:eastAsia="hr-HR"/>
        </w:rPr>
        <w:t xml:space="preserve"> – 2012.</w:t>
      </w:r>
      <w:r w:rsidR="003717F5" w:rsidRPr="004E6412">
        <w:rPr>
          <w:rFonts w:eastAsia="Times New Roman"/>
          <w:spacing w:val="-4"/>
          <w:sz w:val="22"/>
          <w:lang w:eastAsia="hr-HR"/>
        </w:rPr>
        <w:t xml:space="preserve"> i temelji se na (1) izračunu odabranih kvantitativnih pokazatelja djelatnosti </w:t>
      </w:r>
      <w:r w:rsidR="003717F5" w:rsidRPr="004E6412">
        <w:rPr>
          <w:color w:val="000000"/>
          <w:sz w:val="22"/>
          <w:shd w:val="clear" w:color="auto" w:fill="FFFFFF"/>
        </w:rPr>
        <w:t>(financijskih pokazatelja, pokazatelja međunarodne razmjene, pokazatelja industrijske strukture,</w:t>
      </w:r>
      <w:r w:rsidR="003717F5" w:rsidRPr="004E6412">
        <w:rPr>
          <w:rStyle w:val="apple-converted-space"/>
          <w:color w:val="000000"/>
          <w:sz w:val="22"/>
          <w:shd w:val="clear" w:color="auto" w:fill="FFFFFF"/>
        </w:rPr>
        <w:t> </w:t>
      </w:r>
      <w:r w:rsidR="003717F5" w:rsidRPr="004E6412">
        <w:rPr>
          <w:color w:val="000000"/>
          <w:sz w:val="22"/>
          <w:shd w:val="clear" w:color="auto" w:fill="FFFFFF"/>
        </w:rPr>
        <w:t xml:space="preserve"> pokazatelja proizvodnosti, pokazatelja stupnja tehnološkog razvoja i inovativnosti, pokazatelja zaposlenosti i produktivnosti prilagođenih analizi </w:t>
      </w:r>
      <w:r w:rsidR="005C1A61" w:rsidRPr="004E6412">
        <w:rPr>
          <w:color w:val="000000"/>
          <w:sz w:val="22"/>
          <w:shd w:val="clear" w:color="auto" w:fill="FFFFFF"/>
        </w:rPr>
        <w:t>objedinjenih</w:t>
      </w:r>
      <w:r w:rsidR="003717F5" w:rsidRPr="004E6412">
        <w:rPr>
          <w:color w:val="000000"/>
          <w:sz w:val="22"/>
          <w:shd w:val="clear" w:color="auto" w:fill="FFFFFF"/>
        </w:rPr>
        <w:t xml:space="preserve"> podataka)</w:t>
      </w:r>
      <w:r w:rsidR="003717F5" w:rsidRPr="004E6412">
        <w:rPr>
          <w:rFonts w:eastAsia="Times New Roman"/>
          <w:spacing w:val="-4"/>
          <w:sz w:val="22"/>
          <w:lang w:eastAsia="hr-HR"/>
        </w:rPr>
        <w:t xml:space="preserve">, (2) horizontalnoj i vertikalnoj financijskoj analizi </w:t>
      </w:r>
      <w:r w:rsidR="005C1A61" w:rsidRPr="004E6412">
        <w:rPr>
          <w:rFonts w:eastAsia="Times New Roman"/>
          <w:spacing w:val="-4"/>
          <w:sz w:val="22"/>
          <w:lang w:eastAsia="hr-HR"/>
        </w:rPr>
        <w:t>objedinjenih</w:t>
      </w:r>
      <w:r w:rsidR="003717F5" w:rsidRPr="004E6412">
        <w:rPr>
          <w:rFonts w:eastAsia="Times New Roman"/>
          <w:spacing w:val="-4"/>
          <w:sz w:val="22"/>
          <w:lang w:eastAsia="hr-HR"/>
        </w:rPr>
        <w:t xml:space="preserve"> financijskih izvješća te (3) analizi poddjelatnosti. </w:t>
      </w:r>
      <w:r w:rsidR="003717F5" w:rsidRPr="004E6412">
        <w:rPr>
          <w:sz w:val="22"/>
        </w:rPr>
        <w:t>Baze podataka izrađene su korištenjem postojećih administrativnih i statističkih izvora. Glavni izvor</w:t>
      </w:r>
      <w:r w:rsidRPr="004E6412">
        <w:rPr>
          <w:sz w:val="22"/>
        </w:rPr>
        <w:t xml:space="preserve">i su </w:t>
      </w:r>
      <w:r w:rsidR="003717F5" w:rsidRPr="004E6412">
        <w:rPr>
          <w:sz w:val="22"/>
        </w:rPr>
        <w:t xml:space="preserve">podaci dobiveni iz Financijske agencije (FINA) i Državnog zavoda za statistiku </w:t>
      </w:r>
      <w:r w:rsidR="003717F5" w:rsidRPr="004E6412">
        <w:rPr>
          <w:rFonts w:eastAsia="Times New Roman"/>
          <w:spacing w:val="-2"/>
          <w:sz w:val="22"/>
          <w:lang w:eastAsia="hr-HR"/>
        </w:rPr>
        <w:t xml:space="preserve">Republike Hrvatske </w:t>
      </w:r>
      <w:r w:rsidRPr="004E6412">
        <w:rPr>
          <w:sz w:val="22"/>
        </w:rPr>
        <w:t>(DZS). Dodatne izvore podataka pružaju</w:t>
      </w:r>
      <w:r w:rsidR="003717F5" w:rsidRPr="004E6412">
        <w:rPr>
          <w:sz w:val="22"/>
        </w:rPr>
        <w:t xml:space="preserve"> Ministarstvo gospodarstva (MINGO), </w:t>
      </w:r>
      <w:r w:rsidR="003717F5" w:rsidRPr="004E6412">
        <w:rPr>
          <w:rFonts w:eastAsia="Times New Roman"/>
          <w:spacing w:val="-2"/>
          <w:sz w:val="22"/>
          <w:lang w:eastAsia="hr-HR"/>
        </w:rPr>
        <w:t>Hrvatska narodna banka (HNB), Hrvatska gospodarska komora (HGK), Ministarstvo financija (MFIN) te Statistički ured Europske unije (Eurostat).</w:t>
      </w:r>
    </w:p>
    <w:p w:rsidR="003717F5" w:rsidRPr="004E6412" w:rsidRDefault="003717F5" w:rsidP="003717F5">
      <w:pPr>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Ograničenja provedene makroekonomske i kvantitativne an</w:t>
      </w:r>
      <w:r w:rsidR="001C79B7" w:rsidRPr="004E6412">
        <w:rPr>
          <w:rFonts w:eastAsia="Times New Roman"/>
          <w:sz w:val="22"/>
        </w:rPr>
        <w:t>alize industrijskih područja</w:t>
      </w:r>
      <w:r w:rsidR="006C7029" w:rsidRPr="004E6412">
        <w:rPr>
          <w:rFonts w:eastAsia="Times New Roman"/>
          <w:sz w:val="22"/>
        </w:rPr>
        <w:t xml:space="preserve"> su: ograničenost</w:t>
      </w:r>
      <w:r w:rsidRPr="004E6412">
        <w:rPr>
          <w:rFonts w:eastAsia="Times New Roman"/>
          <w:sz w:val="22"/>
        </w:rPr>
        <w:t xml:space="preserve"> postojećih</w:t>
      </w:r>
      <w:r w:rsidR="006C7029" w:rsidRPr="004E6412">
        <w:rPr>
          <w:rFonts w:eastAsia="Times New Roman"/>
          <w:sz w:val="22"/>
        </w:rPr>
        <w:t xml:space="preserve"> informacija (problem valjanosti</w:t>
      </w:r>
      <w:r w:rsidRPr="004E6412">
        <w:rPr>
          <w:rFonts w:eastAsia="Times New Roman"/>
          <w:sz w:val="22"/>
        </w:rPr>
        <w:t xml:space="preserve">) i kvaliteta postojećih statistika (problem pouzdanosti). </w:t>
      </w:r>
    </w:p>
    <w:p w:rsidR="003717F5" w:rsidRPr="004E6412" w:rsidRDefault="003717F5" w:rsidP="003717F5">
      <w:pPr>
        <w:rPr>
          <w:rFonts w:eastAsia="Times New Roman"/>
          <w:sz w:val="22"/>
        </w:rPr>
      </w:pPr>
    </w:p>
    <w:p w:rsidR="003717F5" w:rsidRPr="004E6412" w:rsidRDefault="006C7029" w:rsidP="00B15A78">
      <w:pPr>
        <w:numPr>
          <w:ilvl w:val="0"/>
          <w:numId w:val="141"/>
        </w:numPr>
        <w:rPr>
          <w:rFonts w:eastAsia="Times New Roman"/>
          <w:bCs/>
          <w:sz w:val="22"/>
        </w:rPr>
      </w:pPr>
      <w:r w:rsidRPr="004E6412">
        <w:rPr>
          <w:b/>
          <w:sz w:val="22"/>
        </w:rPr>
        <w:t>Kvalitativna analiza</w:t>
      </w:r>
      <w:r w:rsidRPr="004E6412">
        <w:rPr>
          <w:sz w:val="22"/>
        </w:rPr>
        <w:t xml:space="preserve"> obuhvatila</w:t>
      </w:r>
      <w:r w:rsidR="003717F5" w:rsidRPr="004E6412">
        <w:rPr>
          <w:sz w:val="22"/>
        </w:rPr>
        <w:t xml:space="preserve"> je pregled postojeće literature, u prvom redu relevantnih teorijskih i empirijskih radova koji se bave predmetnom problematikom</w:t>
      </w:r>
      <w:r w:rsidR="003717F5" w:rsidRPr="004E6412">
        <w:rPr>
          <w:rFonts w:eastAsia="Times New Roman"/>
          <w:sz w:val="22"/>
        </w:rPr>
        <w:t xml:space="preserve">. Korišteni su i odabrani sekundarni izvori podataka dostupni u bazama podataka međunarodnih institucija. Dodatno, </w:t>
      </w:r>
      <w:r w:rsidR="003717F5" w:rsidRPr="004E6412">
        <w:rPr>
          <w:sz w:val="22"/>
        </w:rPr>
        <w:t>s ciljem prikupljanja primarnih podataka u svrhu detaljnije analize osnovnih obilježja poduzeća predstavnika pojedine industrijske djelatnosti, tržišnih aspekata poslovanja i financiranja, ulaganja u tehnologiju i razvoj, konkurentnosti i izvoznog potencijala te potencijalnih učinaka ulaska u EU na hrvatsku industriju, primijenjene su tri metode istraživanja u suradnji s HGK: (1) anketa, (2) dubinski</w:t>
      </w:r>
      <w:r w:rsidRPr="004E6412">
        <w:rPr>
          <w:sz w:val="22"/>
        </w:rPr>
        <w:t xml:space="preserve"> intervjui i (3) intervjui </w:t>
      </w:r>
      <w:r w:rsidR="00B356D9" w:rsidRPr="004E6412">
        <w:rPr>
          <w:sz w:val="22"/>
        </w:rPr>
        <w:t>s ciljnim</w:t>
      </w:r>
      <w:r w:rsidRPr="004E6412">
        <w:rPr>
          <w:sz w:val="22"/>
        </w:rPr>
        <w:t xml:space="preserve"> skupina</w:t>
      </w:r>
      <w:r w:rsidR="00B356D9" w:rsidRPr="004E6412">
        <w:rPr>
          <w:sz w:val="22"/>
        </w:rPr>
        <w:t>ma</w:t>
      </w:r>
      <w:r w:rsidR="003717F5" w:rsidRPr="004E6412">
        <w:rPr>
          <w:sz w:val="22"/>
        </w:rPr>
        <w:t>.</w:t>
      </w:r>
      <w:r w:rsidR="003717F5" w:rsidRPr="004E6412">
        <w:rPr>
          <w:rFonts w:eastAsia="Times New Roman"/>
          <w:bCs/>
          <w:sz w:val="22"/>
        </w:rPr>
        <w:t xml:space="preserve"> Veliki broj poduzeća registriran je u odjeljcima NKD-a koji ne predstavlja njihovu temeljnu djelatnost, odnosno ne predstavlja glavni izvor njihovih pr</w:t>
      </w:r>
      <w:r w:rsidRPr="004E6412">
        <w:rPr>
          <w:rFonts w:eastAsia="Times New Roman"/>
          <w:bCs/>
          <w:sz w:val="22"/>
        </w:rPr>
        <w:t>ihoda. Upravo zbog te činjenice kod odabira</w:t>
      </w:r>
      <w:r w:rsidR="003717F5" w:rsidRPr="004E6412">
        <w:rPr>
          <w:rFonts w:eastAsia="Times New Roman"/>
          <w:bCs/>
          <w:sz w:val="22"/>
        </w:rPr>
        <w:t xml:space="preserve"> poduzeća u uzorak za provedbu kvalitativnog dijela istraživanja, obavljene su dodatne konzultacije sa stručnjacima iz HGK.</w:t>
      </w:r>
    </w:p>
    <w:p w:rsidR="003717F5" w:rsidRPr="004E6412" w:rsidRDefault="003717F5" w:rsidP="003717F5">
      <w:pPr>
        <w:ind w:right="-2"/>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 xml:space="preserve">Ograničenje provedenog kvalitativnog istraživanja je nedovoljna zainteresiranost poduzeća za uključivanje u izradu </w:t>
      </w:r>
      <w:r w:rsidR="00E04386" w:rsidRPr="004E6412">
        <w:rPr>
          <w:rFonts w:eastAsia="Times New Roman"/>
          <w:sz w:val="22"/>
        </w:rPr>
        <w:t>Strategije</w:t>
      </w:r>
      <w:r w:rsidR="006C7029" w:rsidRPr="004E6412">
        <w:rPr>
          <w:rFonts w:eastAsia="Times New Roman"/>
          <w:sz w:val="22"/>
        </w:rPr>
        <w:t>, a time i relativno slab odaziv</w:t>
      </w:r>
      <w:r w:rsidRPr="004E6412">
        <w:rPr>
          <w:rFonts w:eastAsia="Times New Roman"/>
          <w:sz w:val="22"/>
        </w:rPr>
        <w:t xml:space="preserve"> popunjenih upitnika. Često se veličina uzorka poistovjećuje s pouzdanošću i vjerodostojnošću istraživanja, no to se u većoj mjeri odnosi na kvantitativna istraživanja. </w:t>
      </w:r>
      <w:r w:rsidRPr="004E6412">
        <w:rPr>
          <w:sz w:val="22"/>
        </w:rPr>
        <w:t>Kritike i ograničenja metode intervjua očituju se u činjenici da se pitanja ne postavljaju uvijek isto bez obzira na predloške koji se koriste. Rezultate je teško kvantificirati te zaključci ovise o interpretaciji istraživača.</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Kako bi se utvrdile poddjelatnosti ključne za rast i razvoj industrije, odnosno poddjelatnosi koje imaju najveći potencijal daljnjeg razvoja</w:t>
      </w:r>
      <w:r w:rsidR="006C7029" w:rsidRPr="004E6412">
        <w:rPr>
          <w:sz w:val="22"/>
        </w:rPr>
        <w:t>, rasta i zapošljavanja, stvoren</w:t>
      </w:r>
      <w:r w:rsidRPr="004E6412">
        <w:rPr>
          <w:sz w:val="22"/>
        </w:rPr>
        <w:t xml:space="preserve"> je model kojim se </w:t>
      </w:r>
      <w:r w:rsidR="006C7029" w:rsidRPr="004E6412">
        <w:rPr>
          <w:sz w:val="22"/>
        </w:rPr>
        <w:t>te poddjelatnosti utvrđuju i rangiraju. Na temelju</w:t>
      </w:r>
      <w:r w:rsidRPr="004E6412">
        <w:rPr>
          <w:sz w:val="22"/>
        </w:rPr>
        <w:t xml:space="preserve"> modelom utvrđenih kriterij</w:t>
      </w:r>
      <w:r w:rsidR="004E6412" w:rsidRPr="004E6412">
        <w:rPr>
          <w:sz w:val="22"/>
        </w:rPr>
        <w:t>a te primjenom metode kvadratnog programiranja i ekspertne procjene,</w:t>
      </w:r>
      <w:r w:rsidRPr="004E6412">
        <w:rPr>
          <w:sz w:val="22"/>
        </w:rPr>
        <w:t xml:space="preserve"> industrijske po</w:t>
      </w:r>
      <w:r w:rsidR="00E04386" w:rsidRPr="004E6412">
        <w:rPr>
          <w:sz w:val="22"/>
        </w:rPr>
        <w:t xml:space="preserve">ddjelatnosti razvrstane </w:t>
      </w:r>
      <w:r w:rsidR="00E04386" w:rsidRPr="004E6412">
        <w:rPr>
          <w:sz w:val="22"/>
        </w:rPr>
        <w:lastRenderedPageBreak/>
        <w:t>su u četiri skupine</w:t>
      </w:r>
      <w:r w:rsidRPr="004E6412">
        <w:rPr>
          <w:sz w:val="22"/>
        </w:rPr>
        <w:t xml:space="preserve"> i rangirane u</w:t>
      </w:r>
      <w:r w:rsidR="006C7029" w:rsidRPr="004E6412">
        <w:rPr>
          <w:sz w:val="22"/>
        </w:rPr>
        <w:t>nutar skupina</w:t>
      </w:r>
      <w:r w:rsidRPr="004E6412">
        <w:rPr>
          <w:sz w:val="22"/>
        </w:rPr>
        <w:t xml:space="preserve"> kojima pripadaju. Kriteriji razvrstavanja i rangiranja su: (1) profitabilnost poddjelatnosti (EBITDA), (2) izvozna orijentacija poddjelatnosti (udio prihoda od izvoza u ukupnim prihodima) i (3) veličina poddjelatnosti (broj zaposlenih</w:t>
      </w:r>
      <w:r w:rsidR="00E04386" w:rsidRPr="004E6412">
        <w:rPr>
          <w:sz w:val="22"/>
        </w:rPr>
        <w:t xml:space="preserve"> poddjelatnosti</w:t>
      </w:r>
      <w:r w:rsidRPr="004E6412">
        <w:rPr>
          <w:sz w:val="22"/>
        </w:rPr>
        <w:t>).</w:t>
      </w:r>
      <w:r w:rsidR="004E6412" w:rsidRPr="004E6412">
        <w:rPr>
          <w:sz w:val="22"/>
        </w:rPr>
        <w:t xml:space="preserve"> </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Tije</w:t>
      </w:r>
      <w:r w:rsidR="001C79B7" w:rsidRPr="004E6412">
        <w:rPr>
          <w:sz w:val="22"/>
        </w:rPr>
        <w:t>kom izrade Industrijske</w:t>
      </w:r>
      <w:r w:rsidRPr="004E6412">
        <w:rPr>
          <w:sz w:val="22"/>
        </w:rPr>
        <w:t xml:space="preserve"> strategije Republike Hrvatske 2014.</w:t>
      </w:r>
      <w:r w:rsidR="006C7029" w:rsidRPr="004E6412">
        <w:rPr>
          <w:sz w:val="22"/>
        </w:rPr>
        <w:t xml:space="preserve"> – 2020., primijenjeno</w:t>
      </w:r>
      <w:r w:rsidRPr="004E6412">
        <w:rPr>
          <w:sz w:val="22"/>
        </w:rPr>
        <w:t xml:space="preserve"> je i analizirano nekoliko modela za utvrđivanje ključnih poddjelatnosti, a u ovoj sk</w:t>
      </w:r>
      <w:r w:rsidR="004E6412">
        <w:rPr>
          <w:sz w:val="22"/>
        </w:rPr>
        <w:t>raćenoj inačici, u dijelu pod nazivom „</w:t>
      </w:r>
      <w:r w:rsidR="004E6412" w:rsidRPr="004E6412">
        <w:rPr>
          <w:sz w:val="22"/>
        </w:rPr>
        <w:t>Model vrednovanja i grupiranja ključnih poddjelatnosti</w:t>
      </w:r>
      <w:r w:rsidR="004E6412">
        <w:rPr>
          <w:sz w:val="22"/>
        </w:rPr>
        <w:t>“</w:t>
      </w:r>
      <w:r w:rsidRPr="004E6412">
        <w:rPr>
          <w:sz w:val="22"/>
        </w:rPr>
        <w:t>, detaljno je pojašnjen samo odabrani model.</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Empirijski utemeljene spoznaje o ograničavajući</w:t>
      </w:r>
      <w:r w:rsidR="00E04386" w:rsidRPr="004E6412">
        <w:rPr>
          <w:sz w:val="22"/>
        </w:rPr>
        <w:t>m</w:t>
      </w:r>
      <w:r w:rsidRPr="004E6412">
        <w:rPr>
          <w:sz w:val="22"/>
        </w:rPr>
        <w:t xml:space="preserve"> čimbenicima i čimbenicima uspješnog poslovanja, te spoznaje o ključnim industrijskim poddjelatnostima, </w:t>
      </w:r>
      <w:r w:rsidR="003B6886" w:rsidRPr="004E6412">
        <w:rPr>
          <w:sz w:val="22"/>
        </w:rPr>
        <w:t xml:space="preserve">poslužit će u praksi </w:t>
      </w:r>
      <w:r w:rsidRPr="004E6412">
        <w:rPr>
          <w:sz w:val="22"/>
        </w:rPr>
        <w:t xml:space="preserve">nositeljima ekonomskih politika u smislu donošenja mjera za unaprjeđenje uvjeta poslovanja te preporuka za područja usmjeravanja budućih investicija (u kojima bi jedinica ulaganja trebala dati najveći prinos u smislu rasta, razvoja i zapošljavanja). </w:t>
      </w:r>
    </w:p>
    <w:p w:rsidR="003717F5" w:rsidRPr="004E6412" w:rsidRDefault="003717F5" w:rsidP="003717F5">
      <w:pPr>
        <w:rPr>
          <w:sz w:val="22"/>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E04386" w:rsidRPr="004E6412" w:rsidRDefault="00E04386" w:rsidP="003717F5">
      <w:pPr>
        <w:rPr>
          <w:szCs w:val="24"/>
        </w:rPr>
      </w:pPr>
    </w:p>
    <w:p w:rsidR="00140D12" w:rsidRPr="004E6412" w:rsidRDefault="00140D12" w:rsidP="003717F5">
      <w:pPr>
        <w:rPr>
          <w:szCs w:val="24"/>
        </w:rPr>
      </w:pPr>
    </w:p>
    <w:p w:rsidR="00140D12" w:rsidRPr="004E6412" w:rsidRDefault="00140D12" w:rsidP="003717F5">
      <w:pPr>
        <w:rPr>
          <w:szCs w:val="24"/>
        </w:rPr>
      </w:pPr>
    </w:p>
    <w:p w:rsidR="003717F5" w:rsidRPr="004E6412" w:rsidRDefault="003717F5" w:rsidP="00755B73">
      <w:pPr>
        <w:pStyle w:val="Subtitle"/>
        <w:rPr>
          <w:lang w:val="hr-HR"/>
        </w:rPr>
      </w:pPr>
      <w:bookmarkStart w:id="26" w:name="_Toc371763061"/>
      <w:bookmarkStart w:id="27" w:name="_Toc377635326"/>
      <w:r w:rsidRPr="004E6412">
        <w:rPr>
          <w:lang w:val="hr-HR"/>
        </w:rPr>
        <w:lastRenderedPageBreak/>
        <w:t>Slika 2. Konceptualni ok</w:t>
      </w:r>
      <w:r w:rsidR="001C79B7" w:rsidRPr="004E6412">
        <w:rPr>
          <w:lang w:val="hr-HR"/>
        </w:rPr>
        <w:t>vir izrade Industrijske</w:t>
      </w:r>
      <w:r w:rsidRPr="004E6412">
        <w:rPr>
          <w:lang w:val="hr-HR"/>
        </w:rPr>
        <w:t xml:space="preserve"> strategije Republike Hrvatske 2014.</w:t>
      </w:r>
      <w:r w:rsidR="003B6886" w:rsidRPr="004E6412">
        <w:rPr>
          <w:lang w:val="hr-HR"/>
        </w:rPr>
        <w:t xml:space="preserve"> – </w:t>
      </w:r>
      <w:r w:rsidRPr="004E6412">
        <w:rPr>
          <w:lang w:val="hr-HR"/>
        </w:rPr>
        <w:t>2020.</w:t>
      </w:r>
      <w:bookmarkEnd w:id="26"/>
      <w:bookmarkEnd w:id="27"/>
    </w:p>
    <w:p w:rsidR="00E04386" w:rsidRPr="004E6412" w:rsidRDefault="00E04386" w:rsidP="00E04386"/>
    <w:p w:rsidR="006976CB" w:rsidRPr="004E6412" w:rsidRDefault="001E199D" w:rsidP="003717F5">
      <w:pPr>
        <w:rPr>
          <w:sz w:val="22"/>
          <w:lang w:eastAsia="hr-HR"/>
        </w:rPr>
        <w:sectPr w:rsidR="006976CB" w:rsidRPr="004E6412" w:rsidSect="00D61C16">
          <w:footerReference w:type="default" r:id="rId15"/>
          <w:pgSz w:w="11906" w:h="16838"/>
          <w:pgMar w:top="1417" w:right="1417" w:bottom="1417" w:left="1417" w:header="708" w:footer="708" w:gutter="0"/>
          <w:pgNumType w:start="1"/>
          <w:cols w:space="708"/>
          <w:titlePg/>
          <w:docGrid w:linePitch="360"/>
        </w:sectPr>
      </w:pPr>
      <w:r w:rsidRPr="004E6412">
        <w:rPr>
          <w:noProof/>
          <w:sz w:val="22"/>
          <w:lang w:eastAsia="hr-HR"/>
        </w:rPr>
        <w:drawing>
          <wp:inline distT="0" distB="0" distL="0" distR="0" wp14:anchorId="4D1AD8CF" wp14:editId="19FC5851">
            <wp:extent cx="5764696" cy="7275443"/>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06F29" w:rsidRPr="004E6412" w:rsidRDefault="008C6C49" w:rsidP="008C6C49">
      <w:pPr>
        <w:pStyle w:val="Heading2"/>
      </w:pPr>
      <w:bookmarkStart w:id="28" w:name="_Toc378069016"/>
      <w:r w:rsidRPr="004E6412">
        <w:lastRenderedPageBreak/>
        <w:t>Polazišna dokumentacija/okvir</w:t>
      </w:r>
      <w:bookmarkEnd w:id="28"/>
    </w:p>
    <w:p w:rsidR="00006F29" w:rsidRPr="004E6412" w:rsidRDefault="00006F29" w:rsidP="00AE6164">
      <w:pPr>
        <w:rPr>
          <w:rFonts w:eastAsia="Times New Roman"/>
          <w:szCs w:val="24"/>
        </w:rPr>
      </w:pPr>
    </w:p>
    <w:p w:rsidR="008C6C49" w:rsidRPr="004E6412" w:rsidRDefault="008C6C49" w:rsidP="00AE6164">
      <w:pPr>
        <w:rPr>
          <w:rFonts w:eastAsia="Times New Roman"/>
          <w:szCs w:val="24"/>
        </w:rPr>
      </w:pPr>
    </w:p>
    <w:p w:rsidR="008C6C49" w:rsidRPr="004E6412" w:rsidRDefault="008C6C49" w:rsidP="00A55C27">
      <w:pPr>
        <w:pStyle w:val="Heading3"/>
      </w:pPr>
      <w:bookmarkStart w:id="29" w:name="_Toc378069017"/>
      <w:r w:rsidRPr="004E6412">
        <w:t>Makroekonomski uvjeti poslovanja</w:t>
      </w:r>
      <w:bookmarkEnd w:id="29"/>
    </w:p>
    <w:p w:rsidR="008C6C49" w:rsidRPr="004E6412" w:rsidRDefault="008C6C49" w:rsidP="00AE6164">
      <w:pPr>
        <w:rPr>
          <w:rFonts w:eastAsia="Times New Roman"/>
          <w:sz w:val="22"/>
        </w:rPr>
      </w:pPr>
    </w:p>
    <w:p w:rsidR="00D20BAA" w:rsidRPr="004E6412" w:rsidRDefault="00D20BAA" w:rsidP="00B15A78">
      <w:pPr>
        <w:numPr>
          <w:ilvl w:val="0"/>
          <w:numId w:val="158"/>
        </w:numPr>
        <w:rPr>
          <w:sz w:val="22"/>
        </w:rPr>
      </w:pPr>
      <w:r w:rsidRPr="004E6412">
        <w:rPr>
          <w:sz w:val="22"/>
        </w:rPr>
        <w:t>Makroekonomski uvjeti poslovanja Republike Hrvats</w:t>
      </w:r>
      <w:r w:rsidR="006B5F6F" w:rsidRPr="004E6412">
        <w:rPr>
          <w:sz w:val="22"/>
        </w:rPr>
        <w:t>ke prikazani su u sv</w:t>
      </w:r>
      <w:r w:rsidR="00A77C43">
        <w:rPr>
          <w:sz w:val="22"/>
        </w:rPr>
        <w:t>r</w:t>
      </w:r>
      <w:r w:rsidR="006B5F6F" w:rsidRPr="004E6412">
        <w:rPr>
          <w:sz w:val="22"/>
        </w:rPr>
        <w:t>hu stjecanja</w:t>
      </w:r>
      <w:r w:rsidRPr="004E6412">
        <w:rPr>
          <w:sz w:val="22"/>
        </w:rPr>
        <w:t xml:space="preserve"> uvida u stanje </w:t>
      </w:r>
      <w:r w:rsidR="00667927" w:rsidRPr="004E6412">
        <w:rPr>
          <w:sz w:val="22"/>
        </w:rPr>
        <w:t>domaćeg gospodarstva</w:t>
      </w:r>
      <w:r w:rsidRPr="004E6412">
        <w:rPr>
          <w:sz w:val="22"/>
        </w:rPr>
        <w:t xml:space="preserve"> </w:t>
      </w:r>
      <w:r w:rsidR="00667927" w:rsidRPr="004E6412">
        <w:rPr>
          <w:sz w:val="22"/>
        </w:rPr>
        <w:t>u 2012. godini kao i kretanja u ključnim makroekonomskim varijablama</w:t>
      </w:r>
      <w:r w:rsidR="00432A17" w:rsidRPr="004E6412">
        <w:rPr>
          <w:sz w:val="22"/>
        </w:rPr>
        <w:t xml:space="preserve"> u razdoblju 2004.</w:t>
      </w:r>
      <w:r w:rsidR="006B5F6F" w:rsidRPr="004E6412">
        <w:rPr>
          <w:sz w:val="22"/>
        </w:rPr>
        <w:t xml:space="preserve"> – 2012.</w:t>
      </w:r>
      <w:r w:rsidR="00432A17" w:rsidRPr="004E6412">
        <w:rPr>
          <w:sz w:val="22"/>
        </w:rPr>
        <w:t xml:space="preserve"> godine</w:t>
      </w:r>
      <w:r w:rsidR="00667927" w:rsidRPr="004E6412">
        <w:rPr>
          <w:sz w:val="22"/>
        </w:rPr>
        <w:t xml:space="preserve">, s posebnim osvrtom na stanje gospodarstva </w:t>
      </w:r>
      <w:r w:rsidR="00432A17" w:rsidRPr="004E6412">
        <w:rPr>
          <w:sz w:val="22"/>
        </w:rPr>
        <w:t xml:space="preserve">2012. godine </w:t>
      </w:r>
      <w:r w:rsidR="00667927" w:rsidRPr="004E6412">
        <w:rPr>
          <w:sz w:val="22"/>
        </w:rPr>
        <w:t>u odnosu na predkriznu 2008. godinu.</w:t>
      </w:r>
    </w:p>
    <w:p w:rsidR="00667927" w:rsidRPr="004E6412" w:rsidRDefault="00667927" w:rsidP="00D20BAA">
      <w:pPr>
        <w:rPr>
          <w:sz w:val="22"/>
        </w:rPr>
      </w:pPr>
    </w:p>
    <w:p w:rsidR="00F65446" w:rsidRPr="004E6412" w:rsidRDefault="00AE218E" w:rsidP="00B15A78">
      <w:pPr>
        <w:numPr>
          <w:ilvl w:val="0"/>
          <w:numId w:val="158"/>
        </w:numPr>
        <w:rPr>
          <w:sz w:val="22"/>
        </w:rPr>
      </w:pPr>
      <w:r w:rsidRPr="004E6412">
        <w:rPr>
          <w:sz w:val="22"/>
        </w:rPr>
        <w:t xml:space="preserve">Cilj </w:t>
      </w:r>
      <w:r w:rsidR="00D20BAA" w:rsidRPr="004E6412">
        <w:rPr>
          <w:sz w:val="22"/>
        </w:rPr>
        <w:t xml:space="preserve">makroekonomske analize je pružiti podatke i analitički okvir </w:t>
      </w:r>
      <w:r w:rsidR="00C13A2D" w:rsidRPr="004E6412">
        <w:rPr>
          <w:sz w:val="22"/>
        </w:rPr>
        <w:t xml:space="preserve">kao pomoć </w:t>
      </w:r>
      <w:r w:rsidR="00D20BAA" w:rsidRPr="004E6412">
        <w:rPr>
          <w:sz w:val="22"/>
        </w:rPr>
        <w:t xml:space="preserve">izradi </w:t>
      </w:r>
      <w:r w:rsidR="0042056D" w:rsidRPr="004E6412">
        <w:rPr>
          <w:sz w:val="22"/>
        </w:rPr>
        <w:t>Industrijske s</w:t>
      </w:r>
      <w:r w:rsidR="00E04386" w:rsidRPr="004E6412">
        <w:rPr>
          <w:sz w:val="22"/>
        </w:rPr>
        <w:t>trategije</w:t>
      </w:r>
      <w:r w:rsidR="0042056D" w:rsidRPr="004E6412">
        <w:rPr>
          <w:sz w:val="22"/>
        </w:rPr>
        <w:t xml:space="preserve"> Republike Hrvatske </w:t>
      </w:r>
      <w:r w:rsidR="00D20BAA" w:rsidRPr="004E6412">
        <w:rPr>
          <w:sz w:val="22"/>
        </w:rPr>
        <w:t xml:space="preserve">2014. – 2020. </w:t>
      </w:r>
      <w:r w:rsidR="00E04386" w:rsidRPr="004E6412">
        <w:rPr>
          <w:sz w:val="22"/>
        </w:rPr>
        <w:t>godine.</w:t>
      </w:r>
    </w:p>
    <w:p w:rsidR="00F65446" w:rsidRPr="004E6412" w:rsidRDefault="00F65446" w:rsidP="00D20BAA">
      <w:pPr>
        <w:rPr>
          <w:sz w:val="22"/>
        </w:rPr>
      </w:pPr>
    </w:p>
    <w:p w:rsidR="00D20BAA" w:rsidRPr="004E6412" w:rsidRDefault="006B5F6F" w:rsidP="00B15A78">
      <w:pPr>
        <w:numPr>
          <w:ilvl w:val="0"/>
          <w:numId w:val="158"/>
        </w:numPr>
        <w:rPr>
          <w:sz w:val="22"/>
        </w:rPr>
      </w:pPr>
      <w:r w:rsidRPr="004E6412">
        <w:rPr>
          <w:sz w:val="22"/>
        </w:rPr>
        <w:t>Posebna pozornost</w:t>
      </w:r>
      <w:r w:rsidR="00D20BAA" w:rsidRPr="004E6412">
        <w:rPr>
          <w:sz w:val="22"/>
        </w:rPr>
        <w:t xml:space="preserve"> posvećena je analizi sljedećih kategorija:</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BDP</w:t>
      </w:r>
      <w:r w:rsidR="009E3961" w:rsidRPr="004E6412">
        <w:rPr>
          <w:rFonts w:ascii="Times New Roman" w:hAnsi="Times New Roman"/>
        </w:rPr>
        <w:t>-a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Plaća, potrošnje građana i kupovne</w:t>
      </w:r>
      <w:r w:rsidR="00D20BAA" w:rsidRPr="004E6412">
        <w:rPr>
          <w:rFonts w:ascii="Times New Roman" w:hAnsi="Times New Roman"/>
        </w:rPr>
        <w:t xml:space="preserve"> moć</w:t>
      </w:r>
      <w:r w:rsidRPr="004E6412">
        <w:rPr>
          <w:rFonts w:ascii="Times New Roman" w:hAnsi="Times New Roman"/>
        </w:rPr>
        <w:t>i</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Promjena</w:t>
      </w:r>
      <w:r w:rsidR="00D20BAA" w:rsidRPr="004E6412">
        <w:rPr>
          <w:rFonts w:ascii="Times New Roman" w:hAnsi="Times New Roman"/>
        </w:rPr>
        <w:t xml:space="preserve"> potrošačkih i proizvođačkih cijena</w:t>
      </w:r>
      <w:r w:rsidR="006B5F6F" w:rsidRPr="004E6412">
        <w:rPr>
          <w:rFonts w:ascii="Times New Roman" w:hAnsi="Times New Roman"/>
        </w:rPr>
        <w:t>,</w:t>
      </w:r>
    </w:p>
    <w:p w:rsidR="009E3961" w:rsidRPr="004E6412" w:rsidRDefault="005E641C" w:rsidP="00B15A78">
      <w:pPr>
        <w:pStyle w:val="ListParagraph"/>
        <w:numPr>
          <w:ilvl w:val="0"/>
          <w:numId w:val="156"/>
        </w:numPr>
        <w:rPr>
          <w:rFonts w:ascii="Times New Roman" w:hAnsi="Times New Roman"/>
        </w:rPr>
      </w:pPr>
      <w:r w:rsidRPr="004E6412">
        <w:rPr>
          <w:rFonts w:ascii="Times New Roman" w:hAnsi="Times New Roman"/>
        </w:rPr>
        <w:t>Kredit</w:t>
      </w:r>
      <w:r w:rsidR="009E3961" w:rsidRPr="004E6412">
        <w:rPr>
          <w:rFonts w:ascii="Times New Roman" w:hAnsi="Times New Roman"/>
        </w:rPr>
        <w:t>a i kamatnih stopa</w:t>
      </w:r>
      <w:r w:rsidR="006B5F6F" w:rsidRPr="004E6412">
        <w:rPr>
          <w:rFonts w:ascii="Times New Roman" w:hAnsi="Times New Roman"/>
        </w:rPr>
        <w:t>,</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Zaposlenost</w:t>
      </w:r>
      <w:r w:rsidR="009E3961" w:rsidRPr="004E6412">
        <w:rPr>
          <w:rFonts w:ascii="Times New Roman" w:hAnsi="Times New Roman"/>
        </w:rPr>
        <w:t>i</w:t>
      </w:r>
      <w:r w:rsidRPr="004E6412">
        <w:rPr>
          <w:rFonts w:ascii="Times New Roman" w:hAnsi="Times New Roman"/>
        </w:rPr>
        <w:t xml:space="preserve"> i nezaposlenost</w:t>
      </w:r>
      <w:r w:rsidR="009E3961" w:rsidRPr="004E6412">
        <w:rPr>
          <w:rFonts w:ascii="Times New Roman" w:hAnsi="Times New Roman"/>
        </w:rPr>
        <w:t>i</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Ekonomskih odnosa s inozemstvom</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Inozemnih izravnih ulaganja</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Deviznog tečaja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Inozemnog duga</w:t>
      </w:r>
      <w:r w:rsidR="00E04386" w:rsidRPr="004E6412">
        <w:rPr>
          <w:rFonts w:ascii="Times New Roman" w:hAnsi="Times New Roman"/>
        </w:rPr>
        <w:t>.</w:t>
      </w:r>
    </w:p>
    <w:p w:rsidR="00D20BAA" w:rsidRPr="004E6412" w:rsidRDefault="00D20BAA"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5C3AEC">
      <w:pPr>
        <w:rPr>
          <w:sz w:val="22"/>
          <w:highlight w:val="yellow"/>
        </w:rPr>
      </w:pPr>
    </w:p>
    <w:p w:rsidR="005C3AEC" w:rsidRPr="007D0CFD" w:rsidRDefault="005C3AEC" w:rsidP="007D0CFD">
      <w:pPr>
        <w:pStyle w:val="Heading5"/>
        <w:rPr>
          <w:rStyle w:val="IntenseEmphasis"/>
          <w:b/>
          <w:bCs w:val="0"/>
          <w:iCs w:val="0"/>
          <w:color w:val="548DD4" w:themeColor="text2" w:themeTint="99"/>
          <w:sz w:val="20"/>
        </w:rPr>
        <w:sectPr w:rsidR="005C3AEC" w:rsidRPr="007D0CFD" w:rsidSect="00B02488">
          <w:footerReference w:type="default" r:id="rId21"/>
          <w:pgSz w:w="11906" w:h="16838"/>
          <w:pgMar w:top="1417" w:right="1417" w:bottom="1417" w:left="1417" w:header="708" w:footer="708" w:gutter="0"/>
          <w:cols w:space="708"/>
          <w:docGrid w:linePitch="360"/>
        </w:sectPr>
      </w:pPr>
    </w:p>
    <w:p w:rsidR="005C3AEC" w:rsidRPr="004E6412" w:rsidRDefault="005C3AEC" w:rsidP="007D0CFD">
      <w:pPr>
        <w:pStyle w:val="Heading5"/>
      </w:pPr>
      <w:bookmarkStart w:id="30" w:name="_Toc377551014"/>
      <w:bookmarkStart w:id="31" w:name="_Toc377635203"/>
      <w:r w:rsidRPr="007D0CFD">
        <w:rPr>
          <w:rStyle w:val="IntenseEmphasis"/>
          <w:b/>
          <w:bCs w:val="0"/>
          <w:iCs w:val="0"/>
          <w:color w:val="548DD4" w:themeColor="text2" w:themeTint="99"/>
          <w:sz w:val="20"/>
        </w:rPr>
        <w:lastRenderedPageBreak/>
        <w:t>Tablica 2</w:t>
      </w:r>
      <w:r w:rsidR="006B5F6F" w:rsidRPr="007D0CFD">
        <w:rPr>
          <w:rStyle w:val="IntenseEmphasis"/>
          <w:b/>
          <w:bCs w:val="0"/>
          <w:iCs w:val="0"/>
          <w:color w:val="548DD4" w:themeColor="text2" w:themeTint="99"/>
          <w:sz w:val="20"/>
        </w:rPr>
        <w:t>. Izdvojeni ekonomski pokazatelji</w:t>
      </w:r>
      <w:r w:rsidRPr="007D0CFD">
        <w:rPr>
          <w:rStyle w:val="IntenseEmphasis"/>
          <w:b/>
          <w:bCs w:val="0"/>
          <w:iCs w:val="0"/>
          <w:color w:val="548DD4" w:themeColor="text2" w:themeTint="99"/>
          <w:sz w:val="20"/>
        </w:rPr>
        <w:t>, 2004. – 2012.</w:t>
      </w:r>
      <w:bookmarkEnd w:id="30"/>
      <w:bookmarkEnd w:id="31"/>
    </w:p>
    <w:tbl>
      <w:tblPr>
        <w:tblW w:w="5000" w:type="pct"/>
        <w:tblCellMar>
          <w:top w:w="57" w:type="dxa"/>
          <w:left w:w="28" w:type="dxa"/>
          <w:bottom w:w="57" w:type="dxa"/>
          <w:right w:w="28" w:type="dxa"/>
        </w:tblCellMar>
        <w:tblLook w:val="04A0" w:firstRow="1" w:lastRow="0" w:firstColumn="1" w:lastColumn="0" w:noHBand="0" w:noVBand="1"/>
      </w:tblPr>
      <w:tblGrid>
        <w:gridCol w:w="6367"/>
        <w:gridCol w:w="854"/>
        <w:gridCol w:w="855"/>
        <w:gridCol w:w="855"/>
        <w:gridCol w:w="855"/>
        <w:gridCol w:w="855"/>
        <w:gridCol w:w="855"/>
        <w:gridCol w:w="855"/>
        <w:gridCol w:w="855"/>
        <w:gridCol w:w="852"/>
      </w:tblGrid>
      <w:tr w:rsidR="005C3AEC" w:rsidRPr="004E6412" w:rsidTr="00802F45">
        <w:tc>
          <w:tcPr>
            <w:tcW w:w="5000" w:type="pct"/>
            <w:gridSpan w:val="10"/>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670A47" w:rsidP="00802F45">
            <w:pPr>
              <w:jc w:val="left"/>
              <w:rPr>
                <w:sz w:val="18"/>
                <w:szCs w:val="18"/>
                <w:lang w:eastAsia="hr-HR"/>
              </w:rPr>
            </w:pPr>
            <w:r w:rsidRPr="004E6412">
              <w:rPr>
                <w:sz w:val="18"/>
                <w:szCs w:val="18"/>
                <w:lang w:eastAsia="hr-HR"/>
              </w:rPr>
              <w:t>ODABRANI EKONOMSKI POKAZATELJI</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GODINA</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2004</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2005</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2006</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2007</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2008</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2009</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2010</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2011</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2012</w:t>
            </w:r>
            <w:r w:rsidR="006E57B1" w:rsidRPr="004E6412">
              <w:rPr>
                <w:sz w:val="18"/>
                <w:szCs w:val="18"/>
                <w:lang w:eastAsia="hr-HR"/>
              </w:rPr>
              <w:t>.</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3132CD" w:rsidP="00802F45">
            <w:pPr>
              <w:jc w:val="left"/>
              <w:rPr>
                <w:sz w:val="18"/>
                <w:szCs w:val="18"/>
                <w:lang w:eastAsia="hr-HR"/>
              </w:rPr>
            </w:pPr>
            <w:r w:rsidRPr="004E6412">
              <w:rPr>
                <w:sz w:val="18"/>
                <w:szCs w:val="18"/>
                <w:lang w:eastAsia="hr-HR"/>
              </w:rPr>
              <w:t>Stanovništvo sredinom godine</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4.442.000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4.436.000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4.434.000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4.429.000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4.418.000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4.280.000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4.268.000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247.428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266.652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291.044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318.308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343.412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328.672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323.807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330.170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330.231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po stanovniku, tekuće cijene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60.030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65.550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71.756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77.450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74.209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77.143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77.374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realna godišnja stopa rasta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209.092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226.127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246.674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271.134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293.486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282.592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279.577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283.195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280.405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stalne cijene u cijenama prethodne godine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199.864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218.217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237.158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258.822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277.672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274.955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275.367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275.067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274.385</w:t>
            </w:r>
          </w:p>
        </w:tc>
      </w:tr>
      <w:tr w:rsidR="005C3AEC" w:rsidRPr="004E6412" w:rsidTr="00802F45">
        <w:tc>
          <w:tcPr>
            <w:tcW w:w="2265" w:type="pct"/>
            <w:tcBorders>
              <w:top w:val="single" w:sz="4" w:space="0" w:color="auto"/>
              <w:left w:val="single" w:sz="4" w:space="0" w:color="auto"/>
              <w:bottom w:val="single" w:sz="4" w:space="0" w:color="auto"/>
              <w:right w:val="nil"/>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Stopa nezaposlenosti prema anketi o radnoj snazi</w:t>
            </w:r>
          </w:p>
        </w:tc>
        <w:tc>
          <w:tcPr>
            <w:tcW w:w="304" w:type="pct"/>
            <w:tcBorders>
              <w:top w:val="nil"/>
              <w:left w:val="single" w:sz="4" w:space="0" w:color="auto"/>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15,90%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Prosječna godišnja stopa inflacije, mjerena indeksom potrošačkih cijena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proizvođačkih cijena industrije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obujma ostvarene industrijske proizvodnje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izvoz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106.226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112.925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124.687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134.596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144.454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128.693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139.549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143.245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uvoz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121.564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129.516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157.662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171.118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131.932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130.149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139.768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140.971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Neto izvoz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-15.338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-16.591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-19.583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-23.066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-11.639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Saldo robne razmjene (mil</w:t>
            </w:r>
            <w:r w:rsidR="00ED1B56" w:rsidRPr="004E6412">
              <w:rPr>
                <w:sz w:val="18"/>
                <w:szCs w:val="18"/>
                <w:lang w:eastAsia="hr-HR"/>
              </w:rPr>
              <w:t>.</w:t>
            </w:r>
            <w:r w:rsidRPr="004E6412">
              <w:rPr>
                <w:sz w:val="18"/>
                <w:szCs w:val="18"/>
                <w:lang w:eastAsia="hr-HR"/>
              </w:rPr>
              <w:t xml:space="preserv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-51.724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-58.313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-64.830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-81.131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-56.446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-45.406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-49.802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-49.507</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Inozemna izravna ulaganja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7.285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10.826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26.980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31.099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17.561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8.289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7.953</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RH (mlrd.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338</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kao postotak BDP-a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85,40%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101,00%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102,10%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w:t>
            </w:r>
            <w:r w:rsidR="00B6594D" w:rsidRPr="004E6412">
              <w:rPr>
                <w:sz w:val="18"/>
                <w:szCs w:val="18"/>
                <w:lang w:eastAsia="hr-HR"/>
              </w:rPr>
              <w:t>ečni godišnji devizni tečaj EUR/</w:t>
            </w:r>
            <w:r w:rsidRPr="004E6412">
              <w:rPr>
                <w:sz w:val="18"/>
                <w:szCs w:val="18"/>
                <w:lang w:eastAsia="hr-HR"/>
              </w:rPr>
              <w:t>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7,52</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B6594D" w:rsidP="00802F45">
            <w:pPr>
              <w:jc w:val="left"/>
              <w:rPr>
                <w:sz w:val="18"/>
                <w:szCs w:val="18"/>
                <w:lang w:eastAsia="hr-HR"/>
              </w:rPr>
            </w:pPr>
            <w:r w:rsidRPr="004E6412">
              <w:rPr>
                <w:sz w:val="18"/>
                <w:szCs w:val="18"/>
                <w:lang w:eastAsia="hr-HR"/>
              </w:rPr>
              <w:t>Devizni tečaj EUR/</w:t>
            </w:r>
            <w:r w:rsidR="005C3AEC" w:rsidRPr="004E6412">
              <w:rPr>
                <w:sz w:val="18"/>
                <w:szCs w:val="18"/>
                <w:lang w:eastAsia="hr-HR"/>
              </w:rPr>
              <w:t>HRK na 31. prosinca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7,55</w:t>
            </w:r>
          </w:p>
        </w:tc>
      </w:tr>
    </w:tbl>
    <w:p w:rsidR="005C3AEC" w:rsidRPr="004E6412" w:rsidRDefault="005C3AEC" w:rsidP="00D20BAA">
      <w:pPr>
        <w:sectPr w:rsidR="005C3AEC" w:rsidRPr="004E6412" w:rsidSect="005C3AEC">
          <w:pgSz w:w="16838" w:h="11906" w:orient="landscape"/>
          <w:pgMar w:top="1418" w:right="1418" w:bottom="1418" w:left="1418" w:header="709" w:footer="709" w:gutter="0"/>
          <w:cols w:space="708"/>
          <w:docGrid w:linePitch="360"/>
        </w:sectPr>
      </w:pPr>
    </w:p>
    <w:p w:rsidR="00D20BAA" w:rsidRPr="004E6412" w:rsidRDefault="00D20BAA" w:rsidP="00447DBE">
      <w:pPr>
        <w:pStyle w:val="Heading4"/>
      </w:pPr>
      <w:bookmarkStart w:id="32" w:name="_Toc372308882"/>
      <w:bookmarkStart w:id="33" w:name="_Toc372553994"/>
      <w:r w:rsidRPr="004E6412">
        <w:lastRenderedPageBreak/>
        <w:t>Bruto domaći proizvod</w:t>
      </w:r>
      <w:bookmarkEnd w:id="32"/>
      <w:bookmarkEnd w:id="33"/>
    </w:p>
    <w:p w:rsidR="00D20BAA" w:rsidRPr="004E6412" w:rsidRDefault="00D20BAA" w:rsidP="00B15A78">
      <w:pPr>
        <w:pStyle w:val="ListParagraph"/>
        <w:numPr>
          <w:ilvl w:val="0"/>
          <w:numId w:val="151"/>
        </w:numPr>
        <w:spacing w:after="0"/>
        <w:jc w:val="both"/>
        <w:rPr>
          <w:rFonts w:ascii="Times New Roman" w:hAnsi="Times New Roman"/>
        </w:rPr>
      </w:pPr>
      <w:r w:rsidRPr="004E6412">
        <w:rPr>
          <w:rFonts w:ascii="Times New Roman" w:hAnsi="Times New Roman"/>
        </w:rPr>
        <w:t>Promatrajući realni BDP, Hrvatska je 2008. ostvarila pozitivan rast, no u 2009. se dogodio nagli pad od 6,9%. Sljedeće, 2010.</w:t>
      </w:r>
      <w:r w:rsidR="00B6594D" w:rsidRPr="004E6412">
        <w:rPr>
          <w:rFonts w:ascii="Times New Roman" w:hAnsi="Times New Roman"/>
        </w:rPr>
        <w:t>,</w:t>
      </w:r>
      <w:r w:rsidR="00432A17" w:rsidRPr="004E6412">
        <w:rPr>
          <w:rFonts w:ascii="Times New Roman" w:hAnsi="Times New Roman"/>
        </w:rPr>
        <w:t xml:space="preserve"> godine</w:t>
      </w:r>
      <w:r w:rsidRPr="004E6412">
        <w:rPr>
          <w:rFonts w:ascii="Times New Roman" w:hAnsi="Times New Roman"/>
        </w:rPr>
        <w:t xml:space="preserve"> realni BDP je smanjen za dodatnih 2,3%, a </w:t>
      </w:r>
      <w:r w:rsidR="00B6594D" w:rsidRPr="004E6412">
        <w:rPr>
          <w:rFonts w:ascii="Times New Roman" w:hAnsi="Times New Roman"/>
        </w:rPr>
        <w:t xml:space="preserve">taj se pad </w:t>
      </w:r>
      <w:r w:rsidRPr="004E6412">
        <w:rPr>
          <w:rFonts w:ascii="Times New Roman" w:hAnsi="Times New Roman"/>
        </w:rPr>
        <w:t>privremeno zaustavio u 2011. U 2012. godini ponovno je došlo do pada realn</w:t>
      </w:r>
      <w:r w:rsidR="00432A17" w:rsidRPr="004E6412">
        <w:rPr>
          <w:rFonts w:ascii="Times New Roman" w:hAnsi="Times New Roman"/>
        </w:rPr>
        <w:t xml:space="preserve">og BDP-a za </w:t>
      </w:r>
      <w:r w:rsidRPr="004E6412">
        <w:rPr>
          <w:rFonts w:ascii="Times New Roman" w:hAnsi="Times New Roman"/>
        </w:rPr>
        <w:t xml:space="preserve">2%. Realni BDP Hrvatske po stanovniku 2012. iznosio je 63.897 HRK te nije dostigao vrijednosti iz predkrizne 2008. </w:t>
      </w:r>
    </w:p>
    <w:p w:rsidR="00D20BAA" w:rsidRPr="004E6412" w:rsidRDefault="00D20BAA" w:rsidP="00755B73">
      <w:pPr>
        <w:pStyle w:val="Subtitle"/>
        <w:rPr>
          <w:rFonts w:eastAsia="Calibri"/>
          <w:sz w:val="22"/>
          <w:szCs w:val="22"/>
          <w:highlight w:val="yellow"/>
          <w:lang w:val="hr-HR"/>
        </w:rPr>
      </w:pPr>
    </w:p>
    <w:p w:rsidR="00D20BAA" w:rsidRPr="004E6412" w:rsidRDefault="00D20BAA" w:rsidP="00755B73">
      <w:pPr>
        <w:pStyle w:val="Subtitle"/>
        <w:rPr>
          <w:lang w:val="hr-HR"/>
        </w:rPr>
      </w:pPr>
      <w:bookmarkStart w:id="34" w:name="_Toc372309184"/>
      <w:bookmarkStart w:id="35" w:name="_Toc377635327"/>
      <w:r w:rsidRPr="004E6412">
        <w:rPr>
          <w:lang w:val="hr-HR"/>
        </w:rPr>
        <w:t xml:space="preserve">Slika </w:t>
      </w:r>
      <w:r w:rsidR="00755B73" w:rsidRPr="004E6412">
        <w:rPr>
          <w:lang w:val="hr-HR"/>
        </w:rPr>
        <w:t>3</w:t>
      </w:r>
      <w:r w:rsidRPr="004E6412">
        <w:rPr>
          <w:lang w:val="hr-HR"/>
        </w:rPr>
        <w:t>. Kretanje  realnog BDP-a Hrvatske, 2004. – 2012.</w:t>
      </w:r>
      <w:bookmarkEnd w:id="34"/>
      <w:bookmarkEnd w:id="35"/>
    </w:p>
    <w:p w:rsidR="00D20BAA" w:rsidRPr="004E6412" w:rsidRDefault="001E199D" w:rsidP="00D20BAA">
      <w:pPr>
        <w:rPr>
          <w:lang w:eastAsia="hr-HR"/>
        </w:rPr>
      </w:pPr>
      <w:r w:rsidRPr="004E6412">
        <w:rPr>
          <w:noProof/>
          <w:lang w:eastAsia="hr-HR"/>
        </w:rPr>
        <w:drawing>
          <wp:inline distT="0" distB="0" distL="0" distR="0" wp14:anchorId="00D4CA1C" wp14:editId="7E5A4DDD">
            <wp:extent cx="4263902" cy="2198221"/>
            <wp:effectExtent l="6094" t="6107" r="7999" b="6107"/>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lang w:eastAsia="hr-HR"/>
        </w:rPr>
      </w:pPr>
    </w:p>
    <w:p w:rsidR="00D20BAA" w:rsidRPr="007D0CFD" w:rsidRDefault="00D20BAA" w:rsidP="00B15A78">
      <w:pPr>
        <w:pStyle w:val="ListParagraph"/>
        <w:numPr>
          <w:ilvl w:val="0"/>
          <w:numId w:val="157"/>
        </w:numPr>
        <w:jc w:val="both"/>
        <w:rPr>
          <w:rFonts w:ascii="Times New Roman" w:hAnsi="Times New Roman"/>
        </w:rPr>
      </w:pPr>
      <w:r w:rsidRPr="004E6412">
        <w:rPr>
          <w:rFonts w:ascii="Times New Roman" w:hAnsi="Times New Roman"/>
          <w:szCs w:val="24"/>
        </w:rPr>
        <w:t xml:space="preserve">Slika </w:t>
      </w:r>
      <w:r w:rsidR="001C79B7" w:rsidRPr="004E6412">
        <w:rPr>
          <w:rFonts w:ascii="Times New Roman" w:hAnsi="Times New Roman"/>
          <w:szCs w:val="24"/>
        </w:rPr>
        <w:t>4</w:t>
      </w:r>
      <w:r w:rsidRPr="004E6412">
        <w:rPr>
          <w:rFonts w:ascii="Times New Roman" w:hAnsi="Times New Roman"/>
          <w:szCs w:val="24"/>
        </w:rPr>
        <w:t>. prikazuje kako je realni BDP Hrvatske rastao bržom stopom od prosjeka EU28 zemalja sve do 2009. godine. Pad realnog BDP-a koji je nastupio bio je veći od prosjeka EU28.</w:t>
      </w:r>
    </w:p>
    <w:p w:rsidR="007D0CFD" w:rsidRPr="004E6412" w:rsidRDefault="007D0CFD" w:rsidP="007D0CFD">
      <w:pPr>
        <w:pStyle w:val="ListParagraph"/>
        <w:jc w:val="both"/>
        <w:rPr>
          <w:rFonts w:ascii="Times New Roman" w:hAnsi="Times New Roman"/>
        </w:rPr>
      </w:pPr>
    </w:p>
    <w:p w:rsidR="00D20BAA" w:rsidRPr="004E6412" w:rsidRDefault="00D20BAA" w:rsidP="00755B73">
      <w:pPr>
        <w:pStyle w:val="Subtitle"/>
        <w:rPr>
          <w:lang w:val="hr-HR"/>
        </w:rPr>
      </w:pPr>
      <w:bookmarkStart w:id="36" w:name="_Toc377635328"/>
      <w:r w:rsidRPr="004E6412">
        <w:rPr>
          <w:lang w:val="hr-HR"/>
        </w:rPr>
        <w:t xml:space="preserve">Slika </w:t>
      </w:r>
      <w:r w:rsidR="00755B73" w:rsidRPr="004E6412">
        <w:rPr>
          <w:lang w:val="hr-HR"/>
        </w:rPr>
        <w:t>4</w:t>
      </w:r>
      <w:r w:rsidRPr="004E6412">
        <w:rPr>
          <w:lang w:val="hr-HR"/>
        </w:rPr>
        <w:t>. Usporedba promjene realnog BDP-a Hrvatske i zemalja EU28, 2004. – 2012.</w:t>
      </w:r>
      <w:bookmarkEnd w:id="36"/>
    </w:p>
    <w:p w:rsidR="00D20BAA" w:rsidRPr="004E6412" w:rsidRDefault="001E199D" w:rsidP="00D20BAA">
      <w:pPr>
        <w:rPr>
          <w:lang w:eastAsia="hr-HR"/>
        </w:rPr>
      </w:pPr>
      <w:r w:rsidRPr="004E6412">
        <w:rPr>
          <w:noProof/>
          <w:lang w:eastAsia="hr-HR"/>
        </w:rPr>
        <w:drawing>
          <wp:inline distT="0" distB="0" distL="0" distR="0" wp14:anchorId="696A123E" wp14:editId="254ABC9A">
            <wp:extent cx="4575673" cy="2748776"/>
            <wp:effectExtent l="6101" t="6103" r="6101" b="4196"/>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BAA" w:rsidRPr="004E6412" w:rsidRDefault="00D20BAA" w:rsidP="00D20BAA">
      <w:pPr>
        <w:rPr>
          <w:sz w:val="20"/>
          <w:szCs w:val="20"/>
        </w:rPr>
      </w:pPr>
      <w:r w:rsidRPr="004E6412">
        <w:rPr>
          <w:sz w:val="20"/>
          <w:szCs w:val="20"/>
        </w:rPr>
        <w:t>Izvor: Eurostat. Dostupno na:  http://epp.eurostat.ec.europa.eu [11.7.2013.]; obrada autora.</w:t>
      </w:r>
    </w:p>
    <w:p w:rsidR="00D20BAA" w:rsidRPr="004E6412" w:rsidRDefault="00D20BAA" w:rsidP="00D20BAA">
      <w:pPr>
        <w:rPr>
          <w:highlight w:val="yellow"/>
        </w:rPr>
      </w:pPr>
    </w:p>
    <w:p w:rsidR="002D1F5C" w:rsidRPr="004E6412" w:rsidRDefault="002D1F5C" w:rsidP="00D20BAA">
      <w:pPr>
        <w:rPr>
          <w:highlight w:val="yellow"/>
        </w:rPr>
      </w:pPr>
    </w:p>
    <w:p w:rsidR="00CB2FA5" w:rsidRPr="004E6412" w:rsidRDefault="00CB2FA5" w:rsidP="00D20BAA">
      <w:pPr>
        <w:rPr>
          <w:highlight w:val="yellow"/>
        </w:rPr>
      </w:pPr>
    </w:p>
    <w:p w:rsidR="00D20BAA" w:rsidRPr="004E6412" w:rsidRDefault="00D20BAA" w:rsidP="00447DBE">
      <w:pPr>
        <w:pStyle w:val="Heading4"/>
      </w:pPr>
      <w:r w:rsidRPr="004E6412">
        <w:lastRenderedPageBreak/>
        <w:t>Proizvodna struktura BDP-a</w:t>
      </w:r>
    </w:p>
    <w:p w:rsidR="00D20BAA" w:rsidRPr="004E6412" w:rsidRDefault="00F65446" w:rsidP="00B15A78">
      <w:pPr>
        <w:pStyle w:val="ListParagraph"/>
        <w:numPr>
          <w:ilvl w:val="0"/>
          <w:numId w:val="160"/>
        </w:numPr>
        <w:jc w:val="both"/>
        <w:rPr>
          <w:rFonts w:ascii="Times New Roman" w:hAnsi="Times New Roman"/>
        </w:rPr>
      </w:pPr>
      <w:r w:rsidRPr="004E6412">
        <w:rPr>
          <w:rFonts w:ascii="Times New Roman" w:hAnsi="Times New Roman"/>
        </w:rPr>
        <w:t>U izdvojenom razdoblju</w:t>
      </w:r>
      <w:r w:rsidR="00432A17" w:rsidRPr="004E6412">
        <w:rPr>
          <w:rFonts w:ascii="Times New Roman" w:hAnsi="Times New Roman"/>
        </w:rPr>
        <w:t xml:space="preserve"> 2008.–</w:t>
      </w:r>
      <w:r w:rsidR="00D20BAA" w:rsidRPr="004E6412">
        <w:rPr>
          <w:rFonts w:ascii="Times New Roman" w:hAnsi="Times New Roman"/>
        </w:rPr>
        <w:t>2012. ukupno ostvarena bruto dodana vrijednost svih gospodarskih subjekata,</w:t>
      </w:r>
      <w:r w:rsidR="00432A17" w:rsidRPr="004E6412">
        <w:rPr>
          <w:rFonts w:ascii="Times New Roman" w:hAnsi="Times New Roman"/>
        </w:rPr>
        <w:t xml:space="preserve"> mjerena u stalnim cijenama, </w:t>
      </w:r>
      <w:r w:rsidR="00D20BAA" w:rsidRPr="004E6412">
        <w:rPr>
          <w:rFonts w:ascii="Times New Roman" w:hAnsi="Times New Roman"/>
        </w:rPr>
        <w:t>promijenila</w:t>
      </w:r>
      <w:r w:rsidR="00432A17" w:rsidRPr="004E6412">
        <w:rPr>
          <w:rFonts w:ascii="Times New Roman" w:hAnsi="Times New Roman"/>
        </w:rPr>
        <w:t xml:space="preserve"> se</w:t>
      </w:r>
      <w:r w:rsidR="0035746B" w:rsidRPr="004E6412">
        <w:rPr>
          <w:rFonts w:ascii="Times New Roman" w:hAnsi="Times New Roman"/>
        </w:rPr>
        <w:t xml:space="preserve"> s</w:t>
      </w:r>
      <w:r w:rsidR="00D20BAA" w:rsidRPr="004E6412">
        <w:rPr>
          <w:rFonts w:ascii="Times New Roman" w:hAnsi="Times New Roman"/>
        </w:rPr>
        <w:t xml:space="preserve"> 277,67 milijardi kuna n</w:t>
      </w:r>
      <w:r w:rsidR="0035746B" w:rsidRPr="004E6412">
        <w:rPr>
          <w:rFonts w:ascii="Times New Roman" w:hAnsi="Times New Roman"/>
        </w:rPr>
        <w:t>a 274,39 milijardi kuna. Od pred</w:t>
      </w:r>
      <w:r w:rsidR="00D20BAA" w:rsidRPr="004E6412">
        <w:rPr>
          <w:rFonts w:ascii="Times New Roman" w:hAnsi="Times New Roman"/>
        </w:rPr>
        <w:t>krizne 2008. godine do kraja promatranog razdoblja došlo je do smanjenja bruto dodane vrijednosti u iznosu od 1,18%, odnosno za 3,29 milijardi kuna.</w:t>
      </w:r>
    </w:p>
    <w:p w:rsidR="00D20BAA" w:rsidRPr="004E6412" w:rsidRDefault="00D20BAA" w:rsidP="00D20BAA">
      <w:pPr>
        <w:pStyle w:val="ListParagraph"/>
        <w:jc w:val="both"/>
        <w:rPr>
          <w:rFonts w:ascii="Times New Roman" w:hAnsi="Times New Roman"/>
        </w:rPr>
      </w:pPr>
    </w:p>
    <w:p w:rsidR="00D20BAA" w:rsidRPr="004E6412" w:rsidRDefault="00D20BAA" w:rsidP="00B15A78">
      <w:pPr>
        <w:pStyle w:val="ListParagraph"/>
        <w:numPr>
          <w:ilvl w:val="0"/>
          <w:numId w:val="160"/>
        </w:numPr>
        <w:jc w:val="both"/>
        <w:rPr>
          <w:rFonts w:ascii="Times New Roman" w:hAnsi="Times New Roman"/>
        </w:rPr>
      </w:pPr>
      <w:r w:rsidRPr="004E6412">
        <w:rPr>
          <w:rFonts w:ascii="Times New Roman" w:hAnsi="Times New Roman"/>
        </w:rPr>
        <w:t>Promatra</w:t>
      </w:r>
      <w:r w:rsidR="00F65446" w:rsidRPr="004E6412">
        <w:rPr>
          <w:rFonts w:ascii="Times New Roman" w:hAnsi="Times New Roman"/>
        </w:rPr>
        <w:t>no po područjima NKD-a za razdoblje</w:t>
      </w:r>
      <w:r w:rsidR="00432A17" w:rsidRPr="004E6412">
        <w:rPr>
          <w:rFonts w:ascii="Times New Roman" w:hAnsi="Times New Roman"/>
        </w:rPr>
        <w:t xml:space="preserve"> 2008.</w:t>
      </w:r>
      <w:r w:rsidR="0035746B" w:rsidRPr="004E6412">
        <w:rPr>
          <w:rFonts w:ascii="Times New Roman" w:hAnsi="Times New Roman"/>
        </w:rPr>
        <w:t xml:space="preserve"> – 2012.</w:t>
      </w:r>
      <w:r w:rsidR="0015048F" w:rsidRPr="004E6412">
        <w:rPr>
          <w:rFonts w:ascii="Times New Roman" w:hAnsi="Times New Roman"/>
        </w:rPr>
        <w:t>,</w:t>
      </w:r>
      <w:r w:rsidRPr="004E6412">
        <w:rPr>
          <w:rFonts w:ascii="Times New Roman" w:hAnsi="Times New Roman"/>
        </w:rPr>
        <w:t xml:space="preserve"> najveće povećanje bruto dodane vrijednosti ostvarile su zajedno O - javna uprava i obrana, P - obvezno socijalno osiguranje, obrazovanje i Q - djelatnosti zdravstvene zaštite i socijalne skrbi</w:t>
      </w:r>
      <w:r w:rsidR="0035746B" w:rsidRPr="004E6412">
        <w:rPr>
          <w:rFonts w:ascii="Times New Roman" w:hAnsi="Times New Roman"/>
        </w:rPr>
        <w:t>,</w:t>
      </w:r>
      <w:r w:rsidRPr="004E6412">
        <w:rPr>
          <w:rFonts w:ascii="Times New Roman" w:hAnsi="Times New Roman"/>
        </w:rPr>
        <w:t xml:space="preserve"> i to za 15,10%. Iza njih</w:t>
      </w:r>
      <w:r w:rsidR="0035746B" w:rsidRPr="004E6412">
        <w:rPr>
          <w:rFonts w:ascii="Times New Roman" w:hAnsi="Times New Roman"/>
        </w:rPr>
        <w:t xml:space="preserve"> slijede B – rudarstvo i iskopavanje ruda</w:t>
      </w:r>
      <w:r w:rsidRPr="004E6412">
        <w:rPr>
          <w:rFonts w:ascii="Times New Roman" w:hAnsi="Times New Roman"/>
        </w:rPr>
        <w:t>, D – opskrba električnom energijom, plinom, parom i klimatizacijom i E – opskrba vodom, uklanjanje otpadnih voda, gospodarenje otpadom te djel</w:t>
      </w:r>
      <w:r w:rsidR="0035746B" w:rsidRPr="004E6412">
        <w:rPr>
          <w:rFonts w:ascii="Times New Roman" w:hAnsi="Times New Roman"/>
        </w:rPr>
        <w:t>atnosti sanacije okoliša s</w:t>
      </w:r>
      <w:r w:rsidRPr="004E6412">
        <w:rPr>
          <w:rFonts w:ascii="Times New Roman" w:hAnsi="Times New Roman"/>
        </w:rPr>
        <w:t xml:space="preserve"> ostvarenim povećanjem bruto dodane vrijednosti za 10,76%, a potom slijede K - financijske djelatn</w:t>
      </w:r>
      <w:r w:rsidR="0035746B" w:rsidRPr="004E6412">
        <w:rPr>
          <w:rFonts w:ascii="Times New Roman" w:hAnsi="Times New Roman"/>
        </w:rPr>
        <w:t>osti i djelatnosti osiguranja s</w:t>
      </w:r>
      <w:r w:rsidRPr="004E6412">
        <w:rPr>
          <w:rFonts w:ascii="Times New Roman" w:hAnsi="Times New Roman"/>
        </w:rPr>
        <w:t xml:space="preserve"> povećanjem</w:t>
      </w:r>
      <w:r w:rsidR="0035746B" w:rsidRPr="004E6412">
        <w:rPr>
          <w:rFonts w:ascii="Times New Roman" w:hAnsi="Times New Roman"/>
        </w:rPr>
        <w:t xml:space="preserve"> od 9,48%. U promatranom razdoblju</w:t>
      </w:r>
      <w:r w:rsidRPr="004E6412">
        <w:rPr>
          <w:rFonts w:ascii="Times New Roman" w:hAnsi="Times New Roman"/>
        </w:rPr>
        <w:t xml:space="preserve"> najveći pad</w:t>
      </w:r>
      <w:r w:rsidRPr="004E6412">
        <w:rPr>
          <w:rFonts w:ascii="Times New Roman" w:hAnsi="Times New Roman"/>
          <w:i/>
        </w:rPr>
        <w:t xml:space="preserve"> </w:t>
      </w:r>
      <w:r w:rsidRPr="004E6412">
        <w:rPr>
          <w:rFonts w:ascii="Times New Roman" w:hAnsi="Times New Roman"/>
        </w:rPr>
        <w:t xml:space="preserve">bruto dodane vrijednosti ostvarilo je F – građevinarstvo za -35,54%, a slijedi ga </w:t>
      </w:r>
      <w:r w:rsidR="0035746B" w:rsidRPr="004E6412">
        <w:rPr>
          <w:rFonts w:ascii="Times New Roman" w:hAnsi="Times New Roman"/>
        </w:rPr>
        <w:t>A – poljoprivreda i šumarstvo s</w:t>
      </w:r>
      <w:r w:rsidRPr="004E6412">
        <w:rPr>
          <w:rFonts w:ascii="Times New Roman" w:hAnsi="Times New Roman"/>
        </w:rPr>
        <w:t xml:space="preserve"> -7,45% t</w:t>
      </w:r>
      <w:r w:rsidR="0035746B" w:rsidRPr="004E6412">
        <w:rPr>
          <w:rFonts w:ascii="Times New Roman" w:hAnsi="Times New Roman"/>
        </w:rPr>
        <w:t>e C – prerađivačka industrija s</w:t>
      </w:r>
      <w:r w:rsidRPr="004E6412">
        <w:rPr>
          <w:rFonts w:ascii="Times New Roman" w:hAnsi="Times New Roman"/>
        </w:rPr>
        <w:t xml:space="preserve"> padom od 2,59%.</w:t>
      </w:r>
    </w:p>
    <w:p w:rsidR="00D20BAA" w:rsidRPr="004E6412" w:rsidRDefault="00D20BAA"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sectPr w:rsidR="003C5F5C" w:rsidRPr="004E6412" w:rsidSect="00234105">
          <w:footerReference w:type="default" r:id="rId24"/>
          <w:pgSz w:w="11906" w:h="16838"/>
          <w:pgMar w:top="1418" w:right="1418" w:bottom="1418" w:left="1418" w:header="709" w:footer="709" w:gutter="0"/>
          <w:cols w:space="708"/>
          <w:docGrid w:linePitch="360"/>
        </w:sectPr>
      </w:pPr>
    </w:p>
    <w:p w:rsidR="00D20BAA" w:rsidRPr="007D0CFD" w:rsidRDefault="00D20BAA" w:rsidP="007D0CFD">
      <w:pPr>
        <w:pStyle w:val="Heading5"/>
        <w:rPr>
          <w:rStyle w:val="IntenseEmphasis"/>
          <w:b/>
          <w:bCs w:val="0"/>
          <w:iCs w:val="0"/>
          <w:color w:val="548DD4" w:themeColor="text2" w:themeTint="99"/>
          <w:sz w:val="20"/>
        </w:rPr>
      </w:pPr>
      <w:bookmarkStart w:id="37" w:name="_Toc377551015"/>
      <w:bookmarkStart w:id="38" w:name="_Toc377635204"/>
      <w:r w:rsidRPr="007D0CFD">
        <w:rPr>
          <w:rStyle w:val="IntenseEmphasis"/>
          <w:b/>
          <w:bCs w:val="0"/>
          <w:iCs w:val="0"/>
          <w:color w:val="548DD4" w:themeColor="text2" w:themeTint="99"/>
          <w:sz w:val="20"/>
        </w:rPr>
        <w:lastRenderedPageBreak/>
        <w:t xml:space="preserve">Tablica </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Bruto dodana vrijednost po područjima NKD-a 2007., stalne cijene u cijenama prethodne godine, 2008. – 2012.</w:t>
      </w:r>
      <w:bookmarkEnd w:id="37"/>
      <w:bookmarkEnd w:id="38"/>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11"/>
        <w:gridCol w:w="5716"/>
        <w:gridCol w:w="1319"/>
        <w:gridCol w:w="1319"/>
        <w:gridCol w:w="1316"/>
        <w:gridCol w:w="1316"/>
        <w:gridCol w:w="1321"/>
        <w:gridCol w:w="1440"/>
      </w:tblGrid>
      <w:tr w:rsidR="008F55F0" w:rsidRPr="004E6412" w:rsidTr="008F55F0">
        <w:trPr>
          <w:trHeight w:val="470"/>
        </w:trPr>
        <w:tc>
          <w:tcPr>
            <w:tcW w:w="2144" w:type="pct"/>
            <w:gridSpan w:val="2"/>
            <w:vMerge w:val="restart"/>
            <w:tcBorders>
              <w:top w:val="single" w:sz="4" w:space="0" w:color="auto"/>
              <w:left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PODRUČJE NKD-</w:t>
            </w:r>
            <w:r w:rsidR="00AE218E" w:rsidRPr="004E6412">
              <w:rPr>
                <w:rFonts w:eastAsia="Times New Roman"/>
                <w:b/>
                <w:bCs/>
                <w:color w:val="000000"/>
                <w:sz w:val="20"/>
                <w:szCs w:val="20"/>
                <w:lang w:eastAsia="hr-HR"/>
              </w:rPr>
              <w:t>a</w:t>
            </w:r>
          </w:p>
        </w:tc>
        <w:tc>
          <w:tcPr>
            <w:tcW w:w="2344" w:type="pct"/>
            <w:gridSpan w:val="5"/>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BRU</w:t>
            </w:r>
            <w:r w:rsidR="00215532" w:rsidRPr="004E6412">
              <w:rPr>
                <w:rFonts w:eastAsia="Times New Roman"/>
                <w:b/>
                <w:bCs/>
                <w:color w:val="000000"/>
                <w:sz w:val="20"/>
                <w:szCs w:val="20"/>
                <w:lang w:eastAsia="hr-HR"/>
              </w:rPr>
              <w:t>TO DODANA VRIJEDNOST PREMA NKD-u</w:t>
            </w:r>
            <w:r w:rsidRPr="004E6412">
              <w:rPr>
                <w:rFonts w:eastAsia="Times New Roman"/>
                <w:b/>
                <w:bCs/>
                <w:color w:val="000000"/>
                <w:sz w:val="20"/>
                <w:szCs w:val="20"/>
                <w:lang w:eastAsia="hr-HR"/>
              </w:rPr>
              <w:t xml:space="preserve"> 2007., stalne cijene </w:t>
            </w:r>
            <w:r w:rsidR="00215532" w:rsidRPr="004E6412">
              <w:rPr>
                <w:rFonts w:eastAsia="Times New Roman"/>
                <w:b/>
                <w:bCs/>
                <w:color w:val="000000"/>
                <w:sz w:val="20"/>
                <w:szCs w:val="20"/>
                <w:lang w:eastAsia="hr-HR"/>
              </w:rPr>
              <w:t>u cijenama prethodne godine, (HRK</w:t>
            </w:r>
            <w:r w:rsidRPr="004E6412">
              <w:rPr>
                <w:rFonts w:eastAsia="Times New Roman"/>
                <w:b/>
                <w:bCs/>
                <w:color w:val="000000"/>
                <w:sz w:val="20"/>
                <w:szCs w:val="20"/>
                <w:lang w:eastAsia="hr-HR"/>
              </w:rPr>
              <w:t>)</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Promjena 2008. / 2012.</w:t>
            </w:r>
          </w:p>
        </w:tc>
      </w:tr>
      <w:tr w:rsidR="008F55F0" w:rsidRPr="004E6412" w:rsidTr="008F55F0">
        <w:trPr>
          <w:trHeight w:val="225"/>
        </w:trPr>
        <w:tc>
          <w:tcPr>
            <w:tcW w:w="2144" w:type="pct"/>
            <w:gridSpan w:val="2"/>
            <w:vMerge/>
            <w:tcBorders>
              <w:left w:val="single" w:sz="4" w:space="0" w:color="auto"/>
              <w:bottom w:val="single" w:sz="4" w:space="0" w:color="auto"/>
              <w:right w:val="single" w:sz="4" w:space="0" w:color="auto"/>
            </w:tcBorders>
            <w:vAlign w:val="center"/>
          </w:tcPr>
          <w:p w:rsidR="008F55F0" w:rsidRPr="004E6412" w:rsidRDefault="008F55F0" w:rsidP="008F55F0">
            <w:pPr>
              <w:spacing w:line="240" w:lineRule="auto"/>
              <w:jc w:val="left"/>
              <w:rPr>
                <w:rFonts w:eastAsia="Times New Roman"/>
                <w:b/>
                <w:bCs/>
                <w:color w:val="000000"/>
                <w:sz w:val="20"/>
                <w:szCs w:val="20"/>
                <w:lang w:eastAsia="hr-HR"/>
              </w:rPr>
            </w:pP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513" w:type="pct"/>
            <w:vMerge/>
            <w:tcBorders>
              <w:top w:val="single" w:sz="4" w:space="0" w:color="auto"/>
              <w:left w:val="single" w:sz="4" w:space="0" w:color="auto"/>
              <w:bottom w:val="single" w:sz="4" w:space="0" w:color="auto"/>
              <w:right w:val="single" w:sz="4" w:space="0" w:color="auto"/>
            </w:tcBorders>
            <w:noWrap/>
            <w:vAlign w:val="center"/>
          </w:tcPr>
          <w:p w:rsidR="008F55F0" w:rsidRPr="004E6412" w:rsidRDefault="008F55F0" w:rsidP="003C5F5C">
            <w:pPr>
              <w:spacing w:line="240" w:lineRule="auto"/>
              <w:jc w:val="left"/>
              <w:rPr>
                <w:rFonts w:eastAsia="Times New Roman"/>
                <w:b/>
                <w:bCs/>
                <w:color w:val="000000"/>
                <w:sz w:val="20"/>
                <w:szCs w:val="20"/>
                <w:lang w:eastAsia="hr-HR"/>
              </w:rPr>
            </w:pP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A</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Poljoprivreda, šumarstvo i ribarstvo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13.956.022.000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14.298.937.000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13.459.000.000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13.009.000.000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12.916.000.000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C165F3">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Prerađivačka indsutrija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45.146.110.000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40.991.325.000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42.518.000.000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43.926.000.000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43.977.000.000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 D, E</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215532"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Rudarstvo i iskopavanje ruda; o</w:t>
            </w:r>
            <w:r w:rsidR="008F55F0" w:rsidRPr="004E6412">
              <w:rPr>
                <w:rFonts w:eastAsia="Times New Roman"/>
                <w:bCs/>
                <w:color w:val="000000"/>
                <w:sz w:val="20"/>
                <w:szCs w:val="20"/>
                <w:lang w:eastAsia="hr-HR"/>
              </w:rPr>
              <w:t xml:space="preserve">pskrba električnom energijom, plinom, parom i klimatizacija;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Opskrba vodom; uklanjanje otpadnih voda, gospodarenje otpadom te djelatnosti sanacije okoliša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9.043.811.000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9.619.093.000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11.476.000.000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10.068.000.000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10.017.000.000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F</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Građevinarstvo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23.471.570.000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22.238.628.000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18.903.000.000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16.910.000.000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15.130.000.000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G, H, I</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Trgovina na veliko i na malo; popravak motornih vozila i motocikala; Prijevoz i kladištenje;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Djelatnosti pružanja smještaja te pripreme i usluživanja hrane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59.841.125.000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56.423.138.000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54.941.000.000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56.234.000.000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56.343.000.000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J</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Informacije i komunikacije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13.090.936.000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14.286.866.000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14.134.000.000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13.953.000.000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13.554.000.000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K</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Financijske djelatnosti i djelatnosti osiguranja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18.090.726.000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19.521.089.000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19.783.000.000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19.519.000.000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19.805.000.000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L</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Poslovanje nekretninama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28.332.292.000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29.152.074.000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29.837.000.000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29.634.000.000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30.241.000.000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M, N</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Stručne, znanstvene i tehničke djelatnosti;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Administrativne i pomoćne uslužne djelatnosti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20.942.884.000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20.017.874.000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19.925.000.000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20.879.000.000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20.484.000.000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O, P, Q</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Javna uprava i obrana;</w:t>
            </w:r>
            <w:r w:rsidR="00215532" w:rsidRPr="004E6412">
              <w:rPr>
                <w:rFonts w:eastAsia="Times New Roman"/>
                <w:bCs/>
                <w:color w:val="000000"/>
                <w:sz w:val="20"/>
                <w:szCs w:val="20"/>
                <w:lang w:eastAsia="hr-HR"/>
              </w:rPr>
              <w:t xml:space="preserve"> obvezno socijalno osiguranje; o</w:t>
            </w:r>
            <w:r w:rsidRPr="004E6412">
              <w:rPr>
                <w:rFonts w:eastAsia="Times New Roman"/>
                <w:bCs/>
                <w:color w:val="000000"/>
                <w:sz w:val="20"/>
                <w:szCs w:val="20"/>
                <w:lang w:eastAsia="hr-HR"/>
              </w:rPr>
              <w:t xml:space="preserve">brazovanje; </w:t>
            </w:r>
          </w:p>
          <w:p w:rsidR="008F55F0" w:rsidRPr="004E6412" w:rsidRDefault="008F55F0" w:rsidP="00C165F3">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Djelatnosti zdravstvene zaštite i socijalne skrbi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38.721.622.000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41.260.402.000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43.222.000.000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43.665.000.000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44.569.000.000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15,10%</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R, S, T, U</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U</w:t>
            </w:r>
            <w:r w:rsidR="00215532" w:rsidRPr="004E6412">
              <w:rPr>
                <w:rFonts w:eastAsia="Times New Roman"/>
                <w:bCs/>
                <w:color w:val="000000"/>
                <w:sz w:val="20"/>
                <w:szCs w:val="20"/>
                <w:lang w:eastAsia="hr-HR"/>
              </w:rPr>
              <w:t>mjetnost, zabava i rekreacija; o</w:t>
            </w:r>
            <w:r w:rsidRPr="004E6412">
              <w:rPr>
                <w:rFonts w:eastAsia="Times New Roman"/>
                <w:bCs/>
                <w:color w:val="000000"/>
                <w:sz w:val="20"/>
                <w:szCs w:val="20"/>
                <w:lang w:eastAsia="hr-HR"/>
              </w:rPr>
              <w:t xml:space="preserve">stale uslužne djelatnosti;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kao poslodavaca;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koja proizvode različitu robu i obavljaju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različi</w:t>
            </w:r>
            <w:r w:rsidR="00215532" w:rsidRPr="004E6412">
              <w:rPr>
                <w:rFonts w:eastAsia="Times New Roman"/>
                <w:bCs/>
                <w:color w:val="000000"/>
                <w:sz w:val="20"/>
                <w:szCs w:val="20"/>
                <w:lang w:eastAsia="hr-HR"/>
              </w:rPr>
              <w:t>te usluge za vlastite potrebe; d</w:t>
            </w:r>
            <w:r w:rsidRPr="004E6412">
              <w:rPr>
                <w:rFonts w:eastAsia="Times New Roman"/>
                <w:bCs/>
                <w:color w:val="000000"/>
                <w:sz w:val="20"/>
                <w:szCs w:val="20"/>
                <w:lang w:eastAsia="hr-HR"/>
              </w:rPr>
              <w:t>jelatnosti izvanteritorijalnih organizacija i tijela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7.034.482.000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7.145.836.000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7.169.000.000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7.270.000.000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7.349.000.000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4,47%</w:t>
            </w:r>
          </w:p>
        </w:tc>
      </w:tr>
    </w:tbl>
    <w:p w:rsidR="00D20BAA" w:rsidRPr="004E6412" w:rsidRDefault="00447DBE" w:rsidP="00D20BAA">
      <w:pPr>
        <w:spacing w:after="120"/>
        <w:rPr>
          <w:sz w:val="20"/>
          <w:szCs w:val="20"/>
          <w:lang w:eastAsia="hr-HR"/>
        </w:rPr>
      </w:pPr>
      <w:r w:rsidRPr="004E6412">
        <w:rPr>
          <w:sz w:val="20"/>
          <w:szCs w:val="20"/>
          <w:lang w:eastAsia="hr-HR"/>
        </w:rPr>
        <w:t>Izvor:</w:t>
      </w:r>
      <w:r w:rsidR="000F40B2" w:rsidRPr="004E6412">
        <w:rPr>
          <w:sz w:val="20"/>
          <w:szCs w:val="20"/>
          <w:lang w:eastAsia="hr-HR"/>
        </w:rPr>
        <w:t xml:space="preserve"> </w:t>
      </w:r>
      <w:r w:rsidR="000F40B2" w:rsidRPr="004E6412">
        <w:rPr>
          <w:sz w:val="20"/>
          <w:szCs w:val="20"/>
        </w:rPr>
        <w:t>Državni zavod za statistiku. Dostupno na:  www.dzs.hr [11.7.2013.]; obrada autora</w:t>
      </w:r>
    </w:p>
    <w:p w:rsidR="002D1F5C" w:rsidRPr="004E6412" w:rsidRDefault="002D1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B15A78">
      <w:pPr>
        <w:pStyle w:val="ListParagraph"/>
        <w:numPr>
          <w:ilvl w:val="0"/>
          <w:numId w:val="159"/>
        </w:numPr>
        <w:jc w:val="both"/>
        <w:rPr>
          <w:rFonts w:ascii="Times New Roman" w:hAnsi="Times New Roman"/>
        </w:rPr>
        <w:sectPr w:rsidR="003C5F5C" w:rsidRPr="004E6412" w:rsidSect="003C5F5C">
          <w:pgSz w:w="16838" w:h="11906" w:orient="landscape"/>
          <w:pgMar w:top="1418" w:right="1418" w:bottom="1418" w:left="1418" w:header="709" w:footer="709" w:gutter="0"/>
          <w:cols w:space="708"/>
          <w:docGrid w:linePitch="360"/>
        </w:sectPr>
      </w:pPr>
    </w:p>
    <w:p w:rsidR="00D20BAA" w:rsidRPr="004E6412" w:rsidRDefault="00D20BAA" w:rsidP="00B15A78">
      <w:pPr>
        <w:pStyle w:val="ListParagraph"/>
        <w:numPr>
          <w:ilvl w:val="0"/>
          <w:numId w:val="159"/>
        </w:numPr>
        <w:jc w:val="both"/>
        <w:rPr>
          <w:rFonts w:ascii="Times New Roman" w:hAnsi="Times New Roman"/>
        </w:rPr>
      </w:pPr>
      <w:r w:rsidRPr="004E6412">
        <w:rPr>
          <w:rFonts w:ascii="Times New Roman" w:hAnsi="Times New Roman"/>
        </w:rPr>
        <w:lastRenderedPageBreak/>
        <w:t>Izdvoji li se prerađivačka industrija, nje</w:t>
      </w:r>
      <w:r w:rsidR="00215532" w:rsidRPr="004E6412">
        <w:rPr>
          <w:rFonts w:ascii="Times New Roman" w:hAnsi="Times New Roman"/>
        </w:rPr>
        <w:t>zi</w:t>
      </w:r>
      <w:r w:rsidRPr="004E6412">
        <w:rPr>
          <w:rFonts w:ascii="Times New Roman" w:hAnsi="Times New Roman"/>
        </w:rPr>
        <w:t xml:space="preserve">na bruto dodana vrijednost </w:t>
      </w:r>
      <w:r w:rsidR="00C66F85" w:rsidRPr="004E6412">
        <w:rPr>
          <w:rFonts w:ascii="Times New Roman" w:hAnsi="Times New Roman"/>
        </w:rPr>
        <w:t>u 2012. godi</w:t>
      </w:r>
      <w:r w:rsidR="00215532" w:rsidRPr="004E6412">
        <w:rPr>
          <w:rFonts w:ascii="Times New Roman" w:hAnsi="Times New Roman"/>
        </w:rPr>
        <w:t>ni</w:t>
      </w:r>
      <w:r w:rsidR="00C66F85" w:rsidRPr="004E6412">
        <w:rPr>
          <w:rFonts w:ascii="Times New Roman" w:hAnsi="Times New Roman"/>
        </w:rPr>
        <w:t xml:space="preserve"> </w:t>
      </w:r>
      <w:r w:rsidRPr="004E6412">
        <w:rPr>
          <w:rFonts w:ascii="Times New Roman" w:hAnsi="Times New Roman"/>
        </w:rPr>
        <w:t>iznosila je 43,</w:t>
      </w:r>
      <w:r w:rsidR="00C66F85" w:rsidRPr="004E6412">
        <w:rPr>
          <w:rFonts w:ascii="Times New Roman" w:hAnsi="Times New Roman"/>
        </w:rPr>
        <w:t>97 milijardi kuna,</w:t>
      </w:r>
      <w:r w:rsidRPr="004E6412">
        <w:rPr>
          <w:rFonts w:ascii="Times New Roman" w:hAnsi="Times New Roman"/>
        </w:rPr>
        <w:t xml:space="preserve"> što je </w:t>
      </w:r>
      <w:r w:rsidR="00C66F85" w:rsidRPr="004E6412">
        <w:rPr>
          <w:rFonts w:ascii="Times New Roman" w:hAnsi="Times New Roman"/>
        </w:rPr>
        <w:t>za 1,17 milijardi kuna manje od vrijednosti</w:t>
      </w:r>
      <w:r w:rsidRPr="004E6412">
        <w:rPr>
          <w:rFonts w:ascii="Times New Roman" w:hAnsi="Times New Roman"/>
        </w:rPr>
        <w:t xml:space="preserve"> ostvarene u 2008.</w:t>
      </w:r>
      <w:r w:rsidR="00C66F85" w:rsidRPr="004E6412">
        <w:rPr>
          <w:rFonts w:ascii="Times New Roman" w:hAnsi="Times New Roman"/>
        </w:rPr>
        <w:t xml:space="preserve"> godini.</w:t>
      </w:r>
      <w:r w:rsidRPr="004E6412">
        <w:rPr>
          <w:rFonts w:ascii="Times New Roman" w:hAnsi="Times New Roman"/>
        </w:rPr>
        <w:t xml:space="preserve"> Najniža bruto dodana vrijednost prerađivačke industrije ostvarena je u 2009. godini</w:t>
      </w:r>
      <w:r w:rsidR="00C66F85" w:rsidRPr="004E6412">
        <w:rPr>
          <w:rFonts w:ascii="Times New Roman" w:hAnsi="Times New Roman"/>
        </w:rPr>
        <w:t xml:space="preserve"> i  iznosila je</w:t>
      </w:r>
      <w:r w:rsidRPr="004E6412">
        <w:rPr>
          <w:rFonts w:ascii="Times New Roman" w:hAnsi="Times New Roman"/>
        </w:rPr>
        <w:t xml:space="preserve"> 40,99 milijardi kuna.</w:t>
      </w:r>
    </w:p>
    <w:p w:rsidR="00D20BAA" w:rsidRPr="004E6412" w:rsidRDefault="00D20BAA" w:rsidP="00D20BAA">
      <w:pPr>
        <w:pStyle w:val="ListParagraph"/>
        <w:jc w:val="both"/>
        <w:rPr>
          <w:rFonts w:ascii="Times New Roman" w:hAnsi="Times New Roman"/>
        </w:rPr>
      </w:pPr>
    </w:p>
    <w:p w:rsidR="009C25D6" w:rsidRPr="004E6412" w:rsidRDefault="00D20BAA"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Udio prerađivačke industrije u ukupnoj bruto dodanoj vrijednosti u 2012. godini iznosio je 16,03%.</w:t>
      </w:r>
    </w:p>
    <w:p w:rsidR="00C66F85" w:rsidRPr="004E6412" w:rsidRDefault="00C66F85" w:rsidP="00C66F85">
      <w:pPr>
        <w:pStyle w:val="ListParagraph"/>
        <w:rPr>
          <w:rFonts w:ascii="Times New Roman" w:hAnsi="Times New Roman"/>
          <w:lang w:eastAsia="hr-HR"/>
        </w:rPr>
      </w:pPr>
    </w:p>
    <w:p w:rsidR="002D1F5C" w:rsidRPr="004E6412" w:rsidRDefault="00C66F85"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Na Slici 5</w:t>
      </w:r>
      <w:r w:rsidR="00215532" w:rsidRPr="004E6412">
        <w:rPr>
          <w:rFonts w:ascii="Times New Roman" w:hAnsi="Times New Roman"/>
          <w:lang w:eastAsia="hr-HR"/>
        </w:rPr>
        <w:t>.</w:t>
      </w:r>
      <w:r w:rsidRPr="004E6412">
        <w:rPr>
          <w:rFonts w:ascii="Times New Roman" w:hAnsi="Times New Roman"/>
          <w:lang w:eastAsia="hr-HR"/>
        </w:rPr>
        <w:t xml:space="preserve"> prikazano je kretanje udjela BDV-a: područja C (prerađivačka industrija), područja G,</w:t>
      </w:r>
      <w:r w:rsidR="00215532" w:rsidRPr="004E6412">
        <w:rPr>
          <w:rFonts w:ascii="Times New Roman" w:hAnsi="Times New Roman"/>
          <w:lang w:eastAsia="hr-HR"/>
        </w:rPr>
        <w:t xml:space="preserve"> </w:t>
      </w:r>
      <w:r w:rsidRPr="004E6412">
        <w:rPr>
          <w:rFonts w:ascii="Times New Roman" w:hAnsi="Times New Roman"/>
          <w:lang w:eastAsia="hr-HR"/>
        </w:rPr>
        <w:t>H,</w:t>
      </w:r>
      <w:r w:rsidR="00215532" w:rsidRPr="004E6412">
        <w:rPr>
          <w:rFonts w:ascii="Times New Roman" w:hAnsi="Times New Roman"/>
          <w:lang w:eastAsia="hr-HR"/>
        </w:rPr>
        <w:t xml:space="preserve"> </w:t>
      </w:r>
      <w:r w:rsidRPr="004E6412">
        <w:rPr>
          <w:rFonts w:ascii="Times New Roman" w:hAnsi="Times New Roman"/>
          <w:lang w:eastAsia="hr-HR"/>
        </w:rPr>
        <w:t>I (Trgovina na veliko i malo, popravak motornih vozila i motocikala; Prijevoz i skladištenje; Djelatnosti pružanja smještaja te pripreme i usluživanja hrane), područja L (Poslovanje nekretninama) te područja O,</w:t>
      </w:r>
      <w:r w:rsidR="00215532" w:rsidRPr="004E6412">
        <w:rPr>
          <w:rFonts w:ascii="Times New Roman" w:hAnsi="Times New Roman"/>
          <w:lang w:eastAsia="hr-HR"/>
        </w:rPr>
        <w:t xml:space="preserve"> </w:t>
      </w:r>
      <w:r w:rsidRPr="004E6412">
        <w:rPr>
          <w:rFonts w:ascii="Times New Roman" w:hAnsi="Times New Roman"/>
          <w:lang w:eastAsia="hr-HR"/>
        </w:rPr>
        <w:t>P,</w:t>
      </w:r>
      <w:r w:rsidR="00215532" w:rsidRPr="004E6412">
        <w:rPr>
          <w:rFonts w:ascii="Times New Roman" w:hAnsi="Times New Roman"/>
          <w:lang w:eastAsia="hr-HR"/>
        </w:rPr>
        <w:t xml:space="preserve"> </w:t>
      </w:r>
      <w:r w:rsidRPr="004E6412">
        <w:rPr>
          <w:rFonts w:ascii="Times New Roman" w:hAnsi="Times New Roman"/>
          <w:lang w:eastAsia="hr-HR"/>
        </w:rPr>
        <w:t xml:space="preserve">Q (Javna uprava i obrana; obvezno socijalno osiguranje; Obrazovanje; Djelatnosti zdravstvene zaštite i socijalne skrbi) u ukupnoj dodanoj vrijednosti svih gospodarskih subjekata u Hrvatskoj u razdoblju od 2004. do 2012. godine. </w:t>
      </w:r>
    </w:p>
    <w:p w:rsidR="005C3AEC" w:rsidRPr="007D0CFD" w:rsidRDefault="005C3AEC" w:rsidP="007D0CFD">
      <w:pPr>
        <w:pStyle w:val="Heading5"/>
        <w:rPr>
          <w:rStyle w:val="IntenseEmphasis"/>
          <w:b/>
          <w:bCs w:val="0"/>
          <w:iCs w:val="0"/>
          <w:color w:val="548DD4" w:themeColor="text2" w:themeTint="99"/>
          <w:sz w:val="20"/>
        </w:rPr>
      </w:pPr>
      <w:bookmarkStart w:id="39" w:name="_Toc372648200"/>
    </w:p>
    <w:p w:rsidR="005C3AEC" w:rsidRPr="007D0CFD" w:rsidRDefault="005C3AEC" w:rsidP="007D0CFD">
      <w:pPr>
        <w:pStyle w:val="Subtitle"/>
      </w:pPr>
      <w:bookmarkStart w:id="40" w:name="_Toc377635329"/>
      <w:r w:rsidRPr="007D0CFD">
        <w:t xml:space="preserve">Slika 5. </w:t>
      </w:r>
      <w:r w:rsidR="00215532" w:rsidRPr="007D0CFD">
        <w:rPr>
          <w:rStyle w:val="Heading5Char"/>
          <w:rFonts w:eastAsia="Calibri"/>
          <w:color w:val="4F81BD"/>
        </w:rPr>
        <w:t>Udjeli područja C,</w:t>
      </w:r>
      <w:r w:rsidRPr="007D0CFD">
        <w:rPr>
          <w:rStyle w:val="Heading5Char"/>
          <w:rFonts w:eastAsia="Calibri"/>
          <w:color w:val="4F81BD"/>
        </w:rPr>
        <w:t xml:space="preserve"> G,</w:t>
      </w:r>
      <w:r w:rsidR="00215532" w:rsidRPr="007D0CFD">
        <w:rPr>
          <w:rStyle w:val="Heading5Char"/>
          <w:rFonts w:eastAsia="Calibri"/>
          <w:color w:val="4F81BD"/>
        </w:rPr>
        <w:t xml:space="preserve"> </w:t>
      </w:r>
      <w:r w:rsidRPr="007D0CFD">
        <w:rPr>
          <w:rStyle w:val="Heading5Char"/>
          <w:rFonts w:eastAsia="Calibri"/>
          <w:color w:val="4F81BD"/>
        </w:rPr>
        <w:t>H,</w:t>
      </w:r>
      <w:r w:rsidR="00215532" w:rsidRPr="007D0CFD">
        <w:rPr>
          <w:rStyle w:val="Heading5Char"/>
          <w:rFonts w:eastAsia="Calibri"/>
          <w:color w:val="4F81BD"/>
        </w:rPr>
        <w:t xml:space="preserve"> I,</w:t>
      </w:r>
      <w:r w:rsidRPr="007D0CFD">
        <w:rPr>
          <w:rStyle w:val="Heading5Char"/>
          <w:rFonts w:eastAsia="Calibri"/>
          <w:color w:val="4F81BD"/>
        </w:rPr>
        <w:t xml:space="preserve"> L i O,</w:t>
      </w:r>
      <w:r w:rsidR="00215532" w:rsidRPr="007D0CFD">
        <w:rPr>
          <w:rStyle w:val="Heading5Char"/>
          <w:rFonts w:eastAsia="Calibri"/>
          <w:color w:val="4F81BD"/>
        </w:rPr>
        <w:t xml:space="preserve"> </w:t>
      </w:r>
      <w:r w:rsidRPr="007D0CFD">
        <w:rPr>
          <w:rStyle w:val="Heading5Char"/>
          <w:rFonts w:eastAsia="Calibri"/>
          <w:color w:val="4F81BD"/>
        </w:rPr>
        <w:t>P,</w:t>
      </w:r>
      <w:r w:rsidR="00215532" w:rsidRPr="007D0CFD">
        <w:rPr>
          <w:rStyle w:val="Heading5Char"/>
          <w:rFonts w:eastAsia="Calibri"/>
          <w:color w:val="4F81BD"/>
        </w:rPr>
        <w:t xml:space="preserve"> </w:t>
      </w:r>
      <w:r w:rsidRPr="007D0CFD">
        <w:rPr>
          <w:rStyle w:val="Heading5Char"/>
          <w:rFonts w:eastAsia="Calibri"/>
          <w:color w:val="4F81BD"/>
        </w:rPr>
        <w:t xml:space="preserve">Q </w:t>
      </w:r>
      <w:r w:rsidRPr="007D0CFD">
        <w:rPr>
          <w:rFonts w:eastAsia="Calibri"/>
        </w:rPr>
        <w:t xml:space="preserve">NKD-a </w:t>
      </w:r>
      <w:r w:rsidRPr="007D0CFD">
        <w:rPr>
          <w:rStyle w:val="Heading5Char"/>
          <w:rFonts w:eastAsia="Calibri"/>
          <w:color w:val="4F81BD"/>
        </w:rPr>
        <w:t>u bruto dodanoj vrijednosti po godinama (2004. – 2012.)</w:t>
      </w:r>
      <w:bookmarkEnd w:id="40"/>
    </w:p>
    <w:bookmarkEnd w:id="39"/>
    <w:p w:rsidR="002D1F5C" w:rsidRPr="004E6412" w:rsidRDefault="001E199D" w:rsidP="002D1F5C">
      <w:r w:rsidRPr="004E6412">
        <w:rPr>
          <w:noProof/>
          <w:lang w:eastAsia="hr-HR"/>
        </w:rPr>
        <w:drawing>
          <wp:inline distT="0" distB="0" distL="0" distR="0" wp14:anchorId="3F321EE3" wp14:editId="00D7B420">
            <wp:extent cx="5762499" cy="2859029"/>
            <wp:effectExtent l="6095" t="6093" r="4191" b="5078"/>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1F5C" w:rsidRPr="004E6412" w:rsidRDefault="002D1F5C" w:rsidP="002D1F5C">
      <w:r w:rsidRPr="004E6412">
        <w:rPr>
          <w:sz w:val="20"/>
          <w:szCs w:val="20"/>
        </w:rPr>
        <w:t>Izvor: Državni zavod za statistiku. Dostupno na:  www.dzs.hr [11.7.2013.]; obrada autora.</w:t>
      </w:r>
    </w:p>
    <w:p w:rsidR="0027794C" w:rsidRPr="004E6412" w:rsidRDefault="0027794C" w:rsidP="002D1F5C">
      <w:pPr>
        <w:rPr>
          <w:sz w:val="22"/>
        </w:rPr>
      </w:pPr>
    </w:p>
    <w:p w:rsidR="00AE218E" w:rsidRPr="004E6412" w:rsidRDefault="00AE218E"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Gledajući po zemljama, prema zadnjim dostupnim podacima za već</w:t>
      </w:r>
      <w:r w:rsidR="00215532" w:rsidRPr="004E6412">
        <w:rPr>
          <w:rFonts w:ascii="Times New Roman" w:hAnsi="Times New Roman"/>
          <w:lang w:eastAsia="hr-HR"/>
        </w:rPr>
        <w:t>inu EU28 zemalja Hrvatska je s</w:t>
      </w:r>
      <w:r w:rsidRPr="004E6412">
        <w:rPr>
          <w:rFonts w:ascii="Times New Roman" w:hAnsi="Times New Roman"/>
          <w:lang w:eastAsia="hr-HR"/>
        </w:rPr>
        <w:t xml:space="preserve"> udjelom prerađivačke industrije od 15,59%</w:t>
      </w:r>
      <w:r w:rsidRPr="004E6412">
        <w:rPr>
          <w:rStyle w:val="FootnoteReference"/>
          <w:rFonts w:ascii="Times New Roman" w:hAnsi="Times New Roman"/>
          <w:lang w:eastAsia="hr-HR"/>
        </w:rPr>
        <w:footnoteReference w:id="3"/>
      </w:r>
      <w:r w:rsidRPr="004E6412">
        <w:rPr>
          <w:rFonts w:ascii="Times New Roman" w:hAnsi="Times New Roman"/>
          <w:lang w:eastAsia="hr-HR"/>
        </w:rPr>
        <w:t xml:space="preserve"> u ukupnoj bruto dodanoj vrijednosti gospodarstva tek nešto ispod EU28 prosjeka koji iznosi 15,82%. </w:t>
      </w:r>
    </w:p>
    <w:p w:rsidR="00D20BAA" w:rsidRPr="004E6412" w:rsidRDefault="00D20BAA" w:rsidP="00AE218E">
      <w:pPr>
        <w:pStyle w:val="ListParagraph"/>
        <w:spacing w:after="120"/>
        <w:ind w:left="360"/>
        <w:jc w:val="both"/>
        <w:rPr>
          <w:rFonts w:ascii="Times New Roman" w:hAnsi="Times New Roman"/>
          <w:lang w:eastAsia="hr-HR"/>
        </w:rPr>
      </w:pPr>
    </w:p>
    <w:p w:rsidR="00234105" w:rsidRPr="004E6412" w:rsidRDefault="00234105"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1E30D1">
      <w:pPr>
        <w:pStyle w:val="Subtitle"/>
        <w:rPr>
          <w:lang w:val="hr-HR"/>
        </w:rPr>
        <w:sectPr w:rsidR="00E67FC4" w:rsidRPr="004E6412" w:rsidSect="00234105">
          <w:pgSz w:w="11906" w:h="16838"/>
          <w:pgMar w:top="1418" w:right="1418" w:bottom="1418" w:left="1418" w:header="709" w:footer="709" w:gutter="0"/>
          <w:cols w:space="708"/>
          <w:docGrid w:linePitch="360"/>
        </w:sectPr>
      </w:pPr>
    </w:p>
    <w:p w:rsidR="00E67FC4" w:rsidRPr="004E6412" w:rsidRDefault="00E67FC4" w:rsidP="001E30D1">
      <w:pPr>
        <w:pStyle w:val="Subtitle"/>
        <w:rPr>
          <w:lang w:val="hr-HR"/>
        </w:rPr>
      </w:pPr>
    </w:p>
    <w:p w:rsidR="007B69E1" w:rsidRPr="007D0CFD" w:rsidRDefault="007B69E1" w:rsidP="007D0CFD">
      <w:pPr>
        <w:pStyle w:val="Subtitle"/>
      </w:pPr>
      <w:bookmarkStart w:id="41" w:name="_Toc377635330"/>
      <w:r w:rsidRPr="007D0CFD">
        <w:t xml:space="preserve">Slika 6. </w:t>
      </w:r>
      <w:r w:rsidR="0027794C" w:rsidRPr="007D0CFD">
        <w:rPr>
          <w:rStyle w:val="Heading5Char"/>
          <w:rFonts w:eastAsia="Calibri"/>
          <w:color w:val="4F81BD"/>
        </w:rPr>
        <w:t xml:space="preserve">Udjeli bruto dodane vrijednosti prerađivačke industrije u ukupnoj bruto dodanoj vrijednosti </w:t>
      </w:r>
      <w:r w:rsidR="001E30D1" w:rsidRPr="007D0CFD">
        <w:rPr>
          <w:rStyle w:val="Heading5Char"/>
          <w:rFonts w:eastAsia="Calibri"/>
          <w:color w:val="4F81BD"/>
        </w:rPr>
        <w:t xml:space="preserve">gospodarstva </w:t>
      </w:r>
      <w:r w:rsidR="0027794C" w:rsidRPr="007D0CFD">
        <w:rPr>
          <w:rStyle w:val="Heading5Char"/>
          <w:rFonts w:eastAsia="Calibri"/>
          <w:color w:val="4F81BD"/>
        </w:rPr>
        <w:t>u 2010. godini, po zemljama EU28</w:t>
      </w:r>
      <w:bookmarkEnd w:id="41"/>
    </w:p>
    <w:p w:rsidR="007B69E1" w:rsidRPr="004E6412" w:rsidRDefault="001E199D" w:rsidP="00E67FC4">
      <w:pPr>
        <w:jc w:val="center"/>
        <w:rPr>
          <w:sz w:val="20"/>
          <w:szCs w:val="20"/>
        </w:rPr>
      </w:pPr>
      <w:r w:rsidRPr="004E6412">
        <w:rPr>
          <w:noProof/>
          <w:sz w:val="20"/>
          <w:szCs w:val="20"/>
          <w:lang w:eastAsia="hr-HR"/>
        </w:rPr>
        <w:drawing>
          <wp:inline distT="0" distB="0" distL="0" distR="0" wp14:anchorId="6E25D1F1" wp14:editId="3BF3EBBC">
            <wp:extent cx="8750171" cy="4433948"/>
            <wp:effectExtent l="19050" t="0" r="12829" b="4702"/>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30D1" w:rsidRPr="004E6412" w:rsidRDefault="001E30D1" w:rsidP="001E30D1">
      <w:pPr>
        <w:rPr>
          <w:lang w:eastAsia="hr-HR"/>
        </w:rPr>
      </w:pPr>
      <w:r w:rsidRPr="004E6412">
        <w:rPr>
          <w:sz w:val="20"/>
          <w:szCs w:val="20"/>
        </w:rPr>
        <w:t>Izvor: EUROSTAT. Dostupno na:  http://epp.eurostat.ec.europa.eu/ [11.7.2013.]; obrada autora.</w:t>
      </w:r>
    </w:p>
    <w:p w:rsidR="007B69E1" w:rsidRPr="004E6412" w:rsidRDefault="00057C82" w:rsidP="00D20BAA">
      <w:pPr>
        <w:rPr>
          <w:sz w:val="20"/>
          <w:szCs w:val="20"/>
        </w:rPr>
      </w:pPr>
      <w:r w:rsidRPr="004E6412">
        <w:rPr>
          <w:sz w:val="20"/>
          <w:szCs w:val="20"/>
        </w:rPr>
        <w:t xml:space="preserve">NAPOMENA: Podaci </w:t>
      </w:r>
      <w:r w:rsidR="001E30D1" w:rsidRPr="004E6412">
        <w:rPr>
          <w:sz w:val="20"/>
          <w:szCs w:val="20"/>
        </w:rPr>
        <w:t>za Francusku, Poljsku i Maltu</w:t>
      </w:r>
      <w:r w:rsidRPr="004E6412">
        <w:rPr>
          <w:sz w:val="20"/>
          <w:szCs w:val="20"/>
        </w:rPr>
        <w:t xml:space="preserve"> nisu dostupni.</w:t>
      </w:r>
    </w:p>
    <w:p w:rsidR="00E67FC4" w:rsidRPr="004E6412" w:rsidRDefault="00E67FC4" w:rsidP="00447DBE">
      <w:pPr>
        <w:pStyle w:val="Heading4"/>
      </w:pPr>
    </w:p>
    <w:p w:rsidR="00E67FC4" w:rsidRPr="004E6412" w:rsidRDefault="00E67FC4" w:rsidP="00447DBE">
      <w:pPr>
        <w:pStyle w:val="Heading4"/>
        <w:sectPr w:rsidR="00E67FC4" w:rsidRPr="004E6412" w:rsidSect="00E67FC4">
          <w:pgSz w:w="16838" w:h="11906" w:orient="landscape"/>
          <w:pgMar w:top="1418" w:right="1418" w:bottom="1418" w:left="1418" w:header="709" w:footer="709" w:gutter="0"/>
          <w:cols w:space="708"/>
          <w:docGrid w:linePitch="360"/>
        </w:sectPr>
      </w:pPr>
    </w:p>
    <w:p w:rsidR="00D20BAA" w:rsidRPr="004E6412" w:rsidRDefault="00D20BAA" w:rsidP="00447DBE">
      <w:pPr>
        <w:pStyle w:val="Heading4"/>
      </w:pPr>
      <w:r w:rsidRPr="004E6412">
        <w:lastRenderedPageBreak/>
        <w:t>Rashodna struktura BDP-a</w:t>
      </w:r>
    </w:p>
    <w:p w:rsidR="00D20BAA" w:rsidRPr="004E6412" w:rsidRDefault="00D20BAA" w:rsidP="00B15A78">
      <w:pPr>
        <w:pStyle w:val="ListParagraph"/>
        <w:numPr>
          <w:ilvl w:val="0"/>
          <w:numId w:val="161"/>
        </w:numPr>
        <w:jc w:val="both"/>
        <w:rPr>
          <w:rFonts w:ascii="Times New Roman" w:hAnsi="Times New Roman"/>
        </w:rPr>
      </w:pPr>
      <w:r w:rsidRPr="004E6412">
        <w:rPr>
          <w:rFonts w:ascii="Times New Roman" w:hAnsi="Times New Roman"/>
        </w:rPr>
        <w:t>Konačna potrošnja u hrvatskom gospodarstvu</w:t>
      </w:r>
      <w:r w:rsidR="00447DBE" w:rsidRPr="004E6412">
        <w:rPr>
          <w:rFonts w:ascii="Times New Roman" w:hAnsi="Times New Roman"/>
        </w:rPr>
        <w:t xml:space="preserve"> 2012. godine čini 7</w:t>
      </w:r>
      <w:r w:rsidR="00223D05" w:rsidRPr="004E6412">
        <w:rPr>
          <w:rFonts w:ascii="Times New Roman" w:hAnsi="Times New Roman"/>
        </w:rPr>
        <w:t>9,3</w:t>
      </w:r>
      <w:r w:rsidR="00447DBE" w:rsidRPr="004E6412">
        <w:rPr>
          <w:rFonts w:ascii="Times New Roman" w:hAnsi="Times New Roman"/>
        </w:rPr>
        <w:t>4% BDP-a</w:t>
      </w:r>
      <w:r w:rsidRPr="004E6412">
        <w:rPr>
          <w:rFonts w:ascii="Times New Roman" w:hAnsi="Times New Roman"/>
        </w:rPr>
        <w:t xml:space="preserve">, dok bruto investicije čine 19,62% i neto izvoz 1,04%. </w:t>
      </w:r>
    </w:p>
    <w:p w:rsidR="00447DBE" w:rsidRPr="004E6412" w:rsidRDefault="00447DBE" w:rsidP="00447DBE">
      <w:pPr>
        <w:pStyle w:val="ListParagraph"/>
        <w:ind w:left="928"/>
        <w:jc w:val="both"/>
        <w:rPr>
          <w:rFonts w:ascii="Times New Roma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mjerena u stalnim cijenama rasla je u svim promatranim godinama osim u 2009. i 2012., u kojima je došlo do </w:t>
      </w:r>
      <w:r w:rsidR="00215532" w:rsidRPr="004E6412">
        <w:rPr>
          <w:rFonts w:ascii="Times New Roman" w:eastAsia="HelveticaNeueLTPro-BdCn" w:hAnsi="Times New Roman"/>
        </w:rPr>
        <w:t>neznatnog smanjenja. Pred</w:t>
      </w:r>
      <w:r w:rsidRPr="004E6412">
        <w:rPr>
          <w:rFonts w:ascii="Times New Roman" w:eastAsia="HelveticaNeueLTPro-BdCn" w:hAnsi="Times New Roman"/>
        </w:rPr>
        <w:t xml:space="preserve">krizne 2008. </w:t>
      </w:r>
      <w:r w:rsidR="00447DBE" w:rsidRPr="004E6412">
        <w:rPr>
          <w:rFonts w:ascii="Times New Roman" w:eastAsia="HelveticaNeueLTPro-BdCn" w:hAnsi="Times New Roman"/>
        </w:rPr>
        <w:t xml:space="preserve">godine </w:t>
      </w:r>
      <w:r w:rsidRPr="004E6412">
        <w:rPr>
          <w:rFonts w:ascii="Times New Roman" w:eastAsia="HelveticaNeueLTPro-BdCn" w:hAnsi="Times New Roman"/>
        </w:rPr>
        <w:t xml:space="preserve">konačna potrošnja iznosila </w:t>
      </w:r>
      <w:r w:rsidR="00215532" w:rsidRPr="004E6412">
        <w:rPr>
          <w:rFonts w:ascii="Times New Roman" w:eastAsia="HelveticaNeueLTPro-BdCn" w:hAnsi="Times New Roman"/>
        </w:rPr>
        <w:t xml:space="preserve">je </w:t>
      </w:r>
      <w:r w:rsidRPr="004E6412">
        <w:rPr>
          <w:rFonts w:ascii="Times New Roman" w:eastAsia="HelveticaNeueLTPro-BdCn" w:hAnsi="Times New Roman"/>
        </w:rPr>
        <w:t>201,30 milijardi kuna, a na kraju pr</w:t>
      </w:r>
      <w:r w:rsidR="00447DBE" w:rsidRPr="004E6412">
        <w:rPr>
          <w:rFonts w:ascii="Times New Roman" w:eastAsia="HelveticaNeueLTPro-BdCn" w:hAnsi="Times New Roman"/>
        </w:rPr>
        <w:t>omatranog razdoblja, u 2012.</w:t>
      </w:r>
      <w:r w:rsidR="00215532" w:rsidRPr="004E6412">
        <w:rPr>
          <w:rFonts w:ascii="Times New Roman" w:eastAsia="HelveticaNeueLTPro-BdCn" w:hAnsi="Times New Roman"/>
        </w:rPr>
        <w:t xml:space="preserve"> godini</w:t>
      </w:r>
      <w:r w:rsidR="00447DBE" w:rsidRPr="004E6412">
        <w:rPr>
          <w:rFonts w:ascii="Times New Roman" w:eastAsia="HelveticaNeueLTPro-BdCn" w:hAnsi="Times New Roman"/>
        </w:rPr>
        <w:t>,</w:t>
      </w:r>
      <w:r w:rsidRPr="004E6412">
        <w:rPr>
          <w:rFonts w:ascii="Times New Roman" w:eastAsia="HelveticaNeueLTPro-BdCn" w:hAnsi="Times New Roman"/>
        </w:rPr>
        <w:t xml:space="preserve"> iznosila</w:t>
      </w:r>
      <w:r w:rsidR="00447DBE" w:rsidRPr="004E6412">
        <w:rPr>
          <w:rFonts w:ascii="Times New Roman" w:eastAsia="HelveticaNeueLTPro-BdCn" w:hAnsi="Times New Roman"/>
        </w:rPr>
        <w:t xml:space="preserve"> je</w:t>
      </w:r>
      <w:r w:rsidRPr="004E6412">
        <w:rPr>
          <w:rFonts w:ascii="Times New Roman" w:eastAsia="HelveticaNeueLTPro-BdCn" w:hAnsi="Times New Roman"/>
        </w:rPr>
        <w:t xml:space="preserve"> 256,78 milijardi kuna. </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Bruto investicije mjerene u stalnim cijenama oštro su padale nakon 2008. godine, pokazavši tako reakciju na gospodarsku krizu. </w:t>
      </w:r>
      <w:r w:rsidR="00447DBE" w:rsidRPr="004E6412">
        <w:rPr>
          <w:rFonts w:ascii="Times New Roman" w:eastAsia="HelveticaNeueLTPro-BdCn" w:hAnsi="Times New Roman"/>
        </w:rPr>
        <w:t>B</w:t>
      </w:r>
      <w:r w:rsidRPr="004E6412">
        <w:rPr>
          <w:rFonts w:ascii="Times New Roman" w:eastAsia="HelveticaNeueLTPro-BdCn" w:hAnsi="Times New Roman"/>
        </w:rPr>
        <w:t xml:space="preserve">ruto investicije </w:t>
      </w:r>
      <w:r w:rsidR="00447DBE" w:rsidRPr="004E6412">
        <w:rPr>
          <w:rFonts w:ascii="Times New Roman" w:eastAsia="HelveticaNeueLTPro-BdCn" w:hAnsi="Times New Roman"/>
        </w:rPr>
        <w:t>2008. godine iznosile su</w:t>
      </w:r>
      <w:r w:rsidRPr="004E6412">
        <w:rPr>
          <w:rFonts w:ascii="Times New Roman" w:eastAsia="HelveticaNeueLTPro-BdCn" w:hAnsi="Times New Roman"/>
        </w:rPr>
        <w:t xml:space="preserve"> 100,77 milijardi kuna da bi se 2012. završila na 63,49 milijardi kuna.</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Vrijednost neto izvoza bila je negativna sve do 2012. godine. </w:t>
      </w:r>
      <w:r w:rsidR="00447DBE" w:rsidRPr="004E6412">
        <w:rPr>
          <w:rFonts w:ascii="Times New Roman" w:eastAsia="HelveticaNeueLTPro-BdCn" w:hAnsi="Times New Roman"/>
        </w:rPr>
        <w:t>N</w:t>
      </w:r>
      <w:r w:rsidRPr="004E6412">
        <w:rPr>
          <w:rFonts w:ascii="Times New Roman" w:eastAsia="HelveticaNeueLTPro-BdCn" w:hAnsi="Times New Roman"/>
        </w:rPr>
        <w:t>egativna vrijednost</w:t>
      </w:r>
      <w:r w:rsidR="00447DBE" w:rsidRPr="004E6412">
        <w:rPr>
          <w:rFonts w:ascii="Times New Roman" w:eastAsia="HelveticaNeueLTPro-BdCn" w:hAnsi="Times New Roman"/>
        </w:rPr>
        <w:t xml:space="preserve"> neto izvoza </w:t>
      </w:r>
      <w:r w:rsidRPr="004E6412">
        <w:rPr>
          <w:rFonts w:ascii="Times New Roman" w:eastAsia="HelveticaNeueLTPro-BdCn" w:hAnsi="Times New Roman"/>
        </w:rPr>
        <w:t xml:space="preserve">povećana </w:t>
      </w:r>
      <w:r w:rsidR="003F020D" w:rsidRPr="004E6412">
        <w:rPr>
          <w:rFonts w:ascii="Times New Roman" w:eastAsia="HelveticaNeueLTPro-BdCn" w:hAnsi="Times New Roman"/>
        </w:rPr>
        <w:t>je s</w:t>
      </w:r>
      <w:r w:rsidR="00447DBE" w:rsidRPr="004E6412">
        <w:rPr>
          <w:rFonts w:ascii="Times New Roman" w:eastAsia="HelveticaNeueLTPro-BdCn" w:hAnsi="Times New Roman"/>
        </w:rPr>
        <w:t xml:space="preserve"> -17,95 milijardi kuna, koliko je iznosila u</w:t>
      </w:r>
      <w:r w:rsidRPr="004E6412">
        <w:rPr>
          <w:rFonts w:ascii="Times New Roman" w:eastAsia="HelveticaNeueLTPro-BdCn" w:hAnsi="Times New Roman"/>
        </w:rPr>
        <w:t xml:space="preserve"> 2004.</w:t>
      </w:r>
      <w:r w:rsidR="00447DBE" w:rsidRPr="004E6412">
        <w:rPr>
          <w:rFonts w:ascii="Times New Roman" w:eastAsia="HelveticaNeueLTPro-BdCn" w:hAnsi="Times New Roman"/>
        </w:rPr>
        <w:t>,</w:t>
      </w:r>
      <w:r w:rsidRPr="004E6412">
        <w:rPr>
          <w:rFonts w:ascii="Times New Roman" w:eastAsia="HelveticaNeueLTPro-BdCn" w:hAnsi="Times New Roman"/>
        </w:rPr>
        <w:t xml:space="preserve"> na </w:t>
      </w:r>
      <w:r w:rsidR="00447DBE" w:rsidRPr="004E6412">
        <w:rPr>
          <w:rFonts w:ascii="Times New Roman" w:eastAsia="HelveticaNeueLTPro-BdCn" w:hAnsi="Times New Roman"/>
        </w:rPr>
        <w:t>- 23,88 milijardi kuna, kolika je bila u</w:t>
      </w:r>
      <w:r w:rsidRPr="004E6412">
        <w:rPr>
          <w:rFonts w:ascii="Times New Roman" w:eastAsia="HelveticaNeueLTPro-BdCn" w:hAnsi="Times New Roman"/>
        </w:rPr>
        <w:t xml:space="preserve"> 2008.</w:t>
      </w:r>
      <w:r w:rsidR="00326FFA" w:rsidRPr="004E6412">
        <w:rPr>
          <w:rFonts w:ascii="Times New Roman" w:eastAsia="HelveticaNeueLTPro-BdCn" w:hAnsi="Times New Roman"/>
        </w:rPr>
        <w:t xml:space="preserve"> godini. </w:t>
      </w:r>
      <w:r w:rsidRPr="004E6412">
        <w:rPr>
          <w:rFonts w:ascii="Times New Roman" w:eastAsia="HelveticaNeueLTPro-BdCn" w:hAnsi="Times New Roman"/>
        </w:rPr>
        <w:t>Nastupom gospodarske krize uvoz naglo pa</w:t>
      </w:r>
      <w:r w:rsidR="003F020D" w:rsidRPr="004E6412">
        <w:rPr>
          <w:rFonts w:ascii="Times New Roman" w:eastAsia="HelveticaNeueLTPro-BdCn" w:hAnsi="Times New Roman"/>
        </w:rPr>
        <w:t>da, a izvoz se nakon početnog</w:t>
      </w:r>
      <w:r w:rsidRPr="004E6412">
        <w:rPr>
          <w:rFonts w:ascii="Times New Roman" w:eastAsia="HelveticaNeueLTPro-BdCn" w:hAnsi="Times New Roman"/>
        </w:rPr>
        <w:t xml:space="preserve"> pada u 2009. počinje oporavljati. </w:t>
      </w:r>
      <w:r w:rsidR="00326FFA" w:rsidRPr="004E6412">
        <w:rPr>
          <w:rFonts w:ascii="Times New Roman" w:eastAsia="HelveticaNeueLTPro-BdCn" w:hAnsi="Times New Roman"/>
        </w:rPr>
        <w:t>Tako je</w:t>
      </w:r>
      <w:r w:rsidRPr="004E6412">
        <w:rPr>
          <w:rFonts w:ascii="Times New Roman" w:eastAsia="HelveticaNeueLTPro-BdCn" w:hAnsi="Times New Roman"/>
        </w:rPr>
        <w:t xml:space="preserve"> neto izv</w:t>
      </w:r>
      <w:r w:rsidR="00326FFA" w:rsidRPr="004E6412">
        <w:rPr>
          <w:rFonts w:ascii="Times New Roman" w:eastAsia="HelveticaNeueLTPro-BdCn" w:hAnsi="Times New Roman"/>
        </w:rPr>
        <w:t>oz</w:t>
      </w:r>
      <w:r w:rsidRPr="004E6412">
        <w:rPr>
          <w:rFonts w:ascii="Times New Roman" w:eastAsia="HelveticaNeueLTPro-BdCn" w:hAnsi="Times New Roman"/>
        </w:rPr>
        <w:t xml:space="preserve"> u 2012. postao pozitivan u vrijednosti od 3,37 milijardi kuna</w:t>
      </w:r>
      <w:r w:rsidR="00326FFA" w:rsidRPr="004E6412">
        <w:rPr>
          <w:rFonts w:ascii="Times New Roman" w:eastAsia="HelveticaNeueLTPro-BdCn" w:hAnsi="Times New Roman"/>
        </w:rPr>
        <w:t xml:space="preserve">, a </w:t>
      </w:r>
      <w:r w:rsidRPr="004E6412">
        <w:rPr>
          <w:rFonts w:ascii="Times New Roman" w:eastAsia="HelveticaNeueLTPro-BdCn" w:hAnsi="Times New Roman"/>
        </w:rPr>
        <w:t>kao rezultat izvoza</w:t>
      </w:r>
      <w:r w:rsidR="00326FFA" w:rsidRPr="004E6412">
        <w:rPr>
          <w:rFonts w:ascii="Times New Roman" w:eastAsia="HelveticaNeueLTPro-BdCn" w:hAnsi="Times New Roman"/>
        </w:rPr>
        <w:t xml:space="preserve"> u vrijednosti</w:t>
      </w:r>
      <w:r w:rsidRPr="004E6412">
        <w:rPr>
          <w:rFonts w:ascii="Times New Roman" w:eastAsia="HelveticaNeueLTPro-BdCn" w:hAnsi="Times New Roman"/>
        </w:rPr>
        <w:t xml:space="preserve"> od 140,15 milijardi kuna i uvoza </w:t>
      </w:r>
      <w:r w:rsidR="00326FFA" w:rsidRPr="004E6412">
        <w:rPr>
          <w:rFonts w:ascii="Times New Roman" w:eastAsia="HelveticaNeueLTPro-BdCn" w:hAnsi="Times New Roman"/>
        </w:rPr>
        <w:t xml:space="preserve">u vrijednosti </w:t>
      </w:r>
      <w:r w:rsidRPr="004E6412">
        <w:rPr>
          <w:rFonts w:ascii="Times New Roman" w:eastAsia="HelveticaNeueLTPro-BdCn" w:hAnsi="Times New Roman"/>
        </w:rPr>
        <w:t>od 136,78 milijardi kuna.</w:t>
      </w:r>
    </w:p>
    <w:p w:rsidR="00D20BAA" w:rsidRPr="004E6412" w:rsidRDefault="00D20BAA" w:rsidP="00D20BAA">
      <w:pPr>
        <w:pStyle w:val="ListParagraph"/>
        <w:rPr>
          <w:rFonts w:ascii="Times New Roman" w:eastAsia="HelveticaNeueLTPro-BdCn" w:hAnsi="Times New Roman"/>
        </w:rPr>
      </w:pPr>
    </w:p>
    <w:p w:rsidR="00592D09" w:rsidRPr="004E6412" w:rsidRDefault="003F020D"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w:t>
      </w:r>
      <w:r w:rsidR="00D20BAA" w:rsidRPr="004E6412">
        <w:rPr>
          <w:rFonts w:ascii="Times New Roman" w:eastAsia="HelveticaNeueLTPro-BdCn" w:hAnsi="Times New Roman"/>
        </w:rPr>
        <w:t xml:space="preserve">činila </w:t>
      </w:r>
      <w:r w:rsidRPr="004E6412">
        <w:rPr>
          <w:rFonts w:ascii="Times New Roman" w:eastAsia="HelveticaNeueLTPro-BdCn" w:hAnsi="Times New Roman"/>
        </w:rPr>
        <w:t xml:space="preserve">je </w:t>
      </w:r>
      <w:r w:rsidR="00D20BAA" w:rsidRPr="004E6412">
        <w:rPr>
          <w:rFonts w:ascii="Times New Roman" w:eastAsia="HelveticaNeueLTPro-BdCn" w:hAnsi="Times New Roman"/>
        </w:rPr>
        <w:t>79,34% BDP-a u 2012</w:t>
      </w:r>
      <w:r w:rsidR="00326FFA" w:rsidRPr="004E6412">
        <w:rPr>
          <w:rFonts w:ascii="Times New Roman" w:eastAsia="HelveticaNeueLTPro-BdCn" w:hAnsi="Times New Roman"/>
        </w:rPr>
        <w:t>., što predstavlja</w:t>
      </w:r>
      <w:r w:rsidR="00D20BAA" w:rsidRPr="004E6412">
        <w:rPr>
          <w:rFonts w:ascii="Times New Roman" w:eastAsia="HelveticaNeueLTPro-BdCn" w:hAnsi="Times New Roman"/>
        </w:rPr>
        <w:t xml:space="preserve"> povećanje udjela u odno</w:t>
      </w:r>
      <w:r w:rsidRPr="004E6412">
        <w:rPr>
          <w:rFonts w:ascii="Times New Roman" w:eastAsia="HelveticaNeueLTPro-BdCn" w:hAnsi="Times New Roman"/>
        </w:rPr>
        <w:t>su na 77,34% iz pred</w:t>
      </w:r>
      <w:r w:rsidR="00D20BAA" w:rsidRPr="004E6412">
        <w:rPr>
          <w:rFonts w:ascii="Times New Roman" w:eastAsia="HelveticaNeueLTPro-BdCn" w:hAnsi="Times New Roman"/>
        </w:rPr>
        <w:t>krizne 2008. Udio br</w:t>
      </w:r>
      <w:r w:rsidRPr="004E6412">
        <w:rPr>
          <w:rFonts w:ascii="Times New Roman" w:eastAsia="HelveticaNeueLTPro-BdCn" w:hAnsi="Times New Roman"/>
        </w:rPr>
        <w:t xml:space="preserve">uto investicija u BDP-u </w:t>
      </w:r>
      <w:r w:rsidR="00D20BAA" w:rsidRPr="004E6412">
        <w:rPr>
          <w:rFonts w:ascii="Times New Roman" w:eastAsia="HelveticaNeueLTPro-BdCn" w:hAnsi="Times New Roman"/>
        </w:rPr>
        <w:t xml:space="preserve">smanjen </w:t>
      </w:r>
      <w:r w:rsidRPr="004E6412">
        <w:rPr>
          <w:rFonts w:ascii="Times New Roman" w:eastAsia="HelveticaNeueLTPro-BdCn" w:hAnsi="Times New Roman"/>
        </w:rPr>
        <w:t>je s</w:t>
      </w:r>
      <w:r w:rsidR="00D20BAA" w:rsidRPr="004E6412">
        <w:rPr>
          <w:rFonts w:ascii="Times New Roman" w:eastAsia="HelveticaNeueLTPro-BdCn" w:hAnsi="Times New Roman"/>
        </w:rPr>
        <w:t xml:space="preserve"> 31,01% iz 2008. na samo 19,62% u 2012. </w:t>
      </w:r>
    </w:p>
    <w:p w:rsidR="005C3AEC" w:rsidRPr="004E6412" w:rsidRDefault="005C3AEC" w:rsidP="00BA4DAF">
      <w:pPr>
        <w:pStyle w:val="ListParagraph"/>
        <w:ind w:left="0"/>
        <w:jc w:val="both"/>
        <w:rPr>
          <w:rFonts w:ascii="Times New Roman" w:eastAsia="HelveticaNeueLTPro-BdCn" w:hAnsi="Times New Roman"/>
        </w:rPr>
      </w:pPr>
    </w:p>
    <w:p w:rsidR="00D20BAA" w:rsidRPr="004E6412" w:rsidRDefault="00D20BAA" w:rsidP="00755B73">
      <w:pPr>
        <w:pStyle w:val="Subtitle"/>
        <w:rPr>
          <w:rFonts w:eastAsia="Calibri"/>
          <w:lang w:val="hr-HR"/>
        </w:rPr>
      </w:pPr>
      <w:bookmarkStart w:id="42" w:name="_Toc372309188"/>
      <w:bookmarkStart w:id="43" w:name="_Toc377635331"/>
      <w:r w:rsidRPr="004E6412">
        <w:rPr>
          <w:lang w:val="hr-HR"/>
        </w:rPr>
        <w:t xml:space="preserve">Slika </w:t>
      </w:r>
      <w:r w:rsidR="001E30D1" w:rsidRPr="004E6412">
        <w:rPr>
          <w:lang w:val="hr-HR"/>
        </w:rPr>
        <w:t>7</w:t>
      </w:r>
      <w:r w:rsidR="00DA0669" w:rsidRPr="004E6412">
        <w:rPr>
          <w:rFonts w:eastAsia="Calibri"/>
          <w:lang w:val="hr-HR"/>
        </w:rPr>
        <w:t>. Udjeli rashodnih sastavnica</w:t>
      </w:r>
      <w:r w:rsidRPr="004E6412">
        <w:rPr>
          <w:rFonts w:eastAsia="Calibri"/>
          <w:lang w:val="hr-HR"/>
        </w:rPr>
        <w:t>* BDP-a u ukupnom BDP-u kroz godine 2004. – 2012., stalne cijene</w:t>
      </w:r>
      <w:bookmarkEnd w:id="42"/>
      <w:bookmarkEnd w:id="43"/>
    </w:p>
    <w:p w:rsidR="00D20BAA" w:rsidRPr="004E6412" w:rsidRDefault="001E199D" w:rsidP="00D20BAA">
      <w:pPr>
        <w:rPr>
          <w:rFonts w:eastAsia="HelveticaNeueLTPro-BdCn"/>
          <w:szCs w:val="24"/>
        </w:rPr>
      </w:pPr>
      <w:r w:rsidRPr="004E6412">
        <w:rPr>
          <w:rFonts w:eastAsia="HelveticaNeueLTPro-BdCn"/>
          <w:noProof/>
          <w:szCs w:val="24"/>
          <w:lang w:eastAsia="hr-HR"/>
        </w:rPr>
        <w:drawing>
          <wp:inline distT="0" distB="0" distL="0" distR="0" wp14:anchorId="17A760CB" wp14:editId="0B3908E4">
            <wp:extent cx="5742679" cy="2961140"/>
            <wp:effectExtent l="6099" t="6092" r="8132" b="6473"/>
            <wp:docPr id="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BAA" w:rsidRPr="004E6412" w:rsidRDefault="00D20BAA" w:rsidP="00D20BAA">
      <w:pPr>
        <w:rPr>
          <w:lang w:eastAsia="hr-HR"/>
        </w:rPr>
      </w:pPr>
      <w:r w:rsidRPr="004E6412">
        <w:rPr>
          <w:sz w:val="20"/>
          <w:szCs w:val="20"/>
        </w:rPr>
        <w:t>Izvor: Državni zavod za statistiku. Dostupno na:  www.dzs.hr [11.7.2013.]; obrada autora.</w:t>
      </w:r>
    </w:p>
    <w:p w:rsidR="00D20BAA" w:rsidRPr="004E6412" w:rsidRDefault="00D20BAA" w:rsidP="00D20BAA">
      <w:pPr>
        <w:rPr>
          <w:rFonts w:eastAsia="HelveticaNeueLTPro-BdCn"/>
          <w:sz w:val="20"/>
          <w:szCs w:val="20"/>
        </w:rPr>
      </w:pPr>
      <w:r w:rsidRPr="004E6412">
        <w:rPr>
          <w:rFonts w:eastAsia="HelveticaNeueLTPro-BdCn"/>
          <w:b/>
          <w:sz w:val="20"/>
          <w:szCs w:val="20"/>
        </w:rPr>
        <w:t>*Napomene:</w:t>
      </w:r>
      <w:r w:rsidRPr="004E6412">
        <w:rPr>
          <w:rFonts w:eastAsia="HelveticaNeueLTPro-BdCn"/>
          <w:sz w:val="20"/>
          <w:szCs w:val="20"/>
        </w:rPr>
        <w:t xml:space="preserve"> Potrošnja opće države, kućanstava i izdataka neprofitnih ustanova ko</w:t>
      </w:r>
      <w:r w:rsidR="003F020D" w:rsidRPr="004E6412">
        <w:rPr>
          <w:rFonts w:eastAsia="HelveticaNeueLTPro-BdCn"/>
          <w:sz w:val="20"/>
          <w:szCs w:val="20"/>
        </w:rPr>
        <w:t xml:space="preserve">je služe kućanstvima (NPUSK) </w:t>
      </w:r>
      <w:r w:rsidR="000023B1" w:rsidRPr="004E6412">
        <w:rPr>
          <w:rFonts w:eastAsia="HelveticaNeueLTPro-BdCn"/>
          <w:sz w:val="20"/>
          <w:szCs w:val="20"/>
        </w:rPr>
        <w:t xml:space="preserve">sadržana je </w:t>
      </w:r>
      <w:r w:rsidRPr="004E6412">
        <w:rPr>
          <w:rFonts w:eastAsia="HelveticaNeueLTPro-BdCn"/>
          <w:sz w:val="20"/>
          <w:szCs w:val="20"/>
        </w:rPr>
        <w:t>u izračunu konačne potrošnje. Bruto investicije sadrže bruto investicije u fiksni kapital i promjene zaliha. Udjeli uvoza i izv</w:t>
      </w:r>
      <w:r w:rsidR="000023B1" w:rsidRPr="004E6412">
        <w:rPr>
          <w:rFonts w:eastAsia="HelveticaNeueLTPro-BdCn"/>
          <w:sz w:val="20"/>
          <w:szCs w:val="20"/>
        </w:rPr>
        <w:t>oza su, uz rezultirajući neto izvoz</w:t>
      </w:r>
      <w:r w:rsidRPr="004E6412">
        <w:rPr>
          <w:rFonts w:eastAsia="HelveticaNeueLTPro-BdCn"/>
          <w:sz w:val="20"/>
          <w:szCs w:val="20"/>
        </w:rPr>
        <w:t xml:space="preserve">, izdvojeni kako bi se prikazala njihova pojedinačna veličina u odnosu na BDP. </w:t>
      </w:r>
    </w:p>
    <w:p w:rsidR="00D20BAA" w:rsidRPr="004E6412" w:rsidRDefault="00D20BAA" w:rsidP="00D20BAA">
      <w:pPr>
        <w:rPr>
          <w:rFonts w:eastAsia="HelveticaNeueLTPro-BdCn"/>
          <w:sz w:val="22"/>
        </w:rPr>
      </w:pPr>
    </w:p>
    <w:p w:rsidR="00755B73" w:rsidRPr="004E6412" w:rsidRDefault="00755B73" w:rsidP="00D20BAA">
      <w:pPr>
        <w:rPr>
          <w:rFonts w:eastAsia="HelveticaNeueLTPro-BdCn"/>
          <w:sz w:val="22"/>
        </w:rPr>
      </w:pPr>
    </w:p>
    <w:p w:rsidR="00D20BAA" w:rsidRPr="004E6412" w:rsidRDefault="00D20BAA" w:rsidP="00755B73">
      <w:pPr>
        <w:pStyle w:val="Subtitle"/>
        <w:rPr>
          <w:rFonts w:eastAsia="Calibri"/>
          <w:lang w:val="hr-HR"/>
        </w:rPr>
      </w:pPr>
      <w:bookmarkStart w:id="44" w:name="_Toc372309189"/>
      <w:bookmarkStart w:id="45" w:name="_Toc377635332"/>
      <w:r w:rsidRPr="004E6412">
        <w:rPr>
          <w:lang w:val="hr-HR"/>
        </w:rPr>
        <w:t xml:space="preserve">Slika </w:t>
      </w:r>
      <w:r w:rsidR="001E30D1" w:rsidRPr="004E6412">
        <w:rPr>
          <w:lang w:val="hr-HR"/>
        </w:rPr>
        <w:t>8</w:t>
      </w:r>
      <w:r w:rsidR="00DA0669" w:rsidRPr="004E6412">
        <w:rPr>
          <w:rFonts w:eastAsia="Calibri"/>
          <w:lang w:val="hr-HR"/>
        </w:rPr>
        <w:t>. Udjeli sastavnica</w:t>
      </w:r>
      <w:r w:rsidRPr="004E6412">
        <w:rPr>
          <w:rFonts w:eastAsia="Calibri"/>
          <w:lang w:val="hr-HR"/>
        </w:rPr>
        <w:t xml:space="preserve"> konačne potrošnje u ukupnoj konačnoj potrošnji kroz godine 2004. – 2012., stalne cijene</w:t>
      </w:r>
      <w:bookmarkEnd w:id="44"/>
      <w:bookmarkEnd w:id="45"/>
    </w:p>
    <w:p w:rsidR="00D20BAA" w:rsidRPr="004E6412" w:rsidRDefault="001E199D" w:rsidP="00D20BAA">
      <w:pPr>
        <w:rPr>
          <w:lang w:eastAsia="hr-HR"/>
        </w:rPr>
      </w:pPr>
      <w:r w:rsidRPr="004E6412">
        <w:rPr>
          <w:noProof/>
          <w:lang w:eastAsia="hr-HR"/>
        </w:rPr>
        <w:drawing>
          <wp:inline distT="0" distB="0" distL="0" distR="0" wp14:anchorId="2616CEB3" wp14:editId="54046186">
            <wp:extent cx="5831324" cy="2715407"/>
            <wp:effectExtent l="6100" t="6086" r="6481" b="5832"/>
            <wp:docPr id="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sz w:val="20"/>
          <w:szCs w:val="20"/>
        </w:rPr>
      </w:pPr>
    </w:p>
    <w:p w:rsidR="00700AA0" w:rsidRPr="004E6412" w:rsidRDefault="00700AA0" w:rsidP="00D20BAA">
      <w:pPr>
        <w:rPr>
          <w:sz w:val="20"/>
          <w:szCs w:val="20"/>
        </w:rPr>
      </w:pPr>
    </w:p>
    <w:p w:rsidR="00D20BAA" w:rsidRPr="004E6412" w:rsidRDefault="004D38A5" w:rsidP="00B15A78">
      <w:pPr>
        <w:pStyle w:val="ListParagraph"/>
        <w:numPr>
          <w:ilvl w:val="0"/>
          <w:numId w:val="162"/>
        </w:numPr>
        <w:jc w:val="both"/>
        <w:rPr>
          <w:rFonts w:ascii="Times New Roman" w:eastAsia="HelveticaNeueLTPro-BdCn" w:hAnsi="Times New Roman"/>
        </w:rPr>
      </w:pPr>
      <w:r w:rsidRPr="004E6412">
        <w:rPr>
          <w:rFonts w:ascii="Times New Roman" w:eastAsia="HelveticaNeueLTPro-BdCn" w:hAnsi="Times New Roman"/>
        </w:rPr>
        <w:t>Apsolutna vrijednost potrošnje opće države</w:t>
      </w:r>
      <w:r w:rsidR="00D20BAA" w:rsidRPr="004E6412">
        <w:rPr>
          <w:rFonts w:ascii="Times New Roman" w:eastAsia="HelveticaNeueLTPro-BdCn" w:hAnsi="Times New Roman"/>
        </w:rPr>
        <w:t xml:space="preserve"> rasla</w:t>
      </w:r>
      <w:r w:rsidRPr="004E6412">
        <w:rPr>
          <w:rFonts w:ascii="Times New Roman" w:eastAsia="HelveticaNeueLTPro-BdCn" w:hAnsi="Times New Roman"/>
        </w:rPr>
        <w:t xml:space="preserve"> je od 2004. pa</w:t>
      </w:r>
      <w:r w:rsidR="00D20BAA" w:rsidRPr="004E6412">
        <w:rPr>
          <w:rFonts w:ascii="Times New Roman" w:eastAsia="HelveticaNeueLTPro-BdCn" w:hAnsi="Times New Roman"/>
        </w:rPr>
        <w:t xml:space="preserve"> sve do 2010. godine kada je ostvarila maksimum od 64,96 milijardi kuna, da bi </w:t>
      </w:r>
      <w:r w:rsidR="000023B1" w:rsidRPr="004E6412">
        <w:rPr>
          <w:rFonts w:ascii="Times New Roman" w:eastAsia="HelveticaNeueLTPro-BdCn" w:hAnsi="Times New Roman"/>
        </w:rPr>
        <w:t>se potom postupno smanji</w:t>
      </w:r>
      <w:r w:rsidRPr="004E6412">
        <w:rPr>
          <w:rFonts w:ascii="Times New Roman" w:eastAsia="HelveticaNeueLTPro-BdCn" w:hAnsi="Times New Roman"/>
        </w:rPr>
        <w:t>la</w:t>
      </w:r>
      <w:r w:rsidR="00D20BAA" w:rsidRPr="004E6412">
        <w:rPr>
          <w:rFonts w:ascii="Times New Roman" w:eastAsia="HelveticaNeueLTPro-BdCn" w:hAnsi="Times New Roman"/>
        </w:rPr>
        <w:t xml:space="preserve"> na 64,76 milijardi kuna</w:t>
      </w:r>
      <w:r w:rsidR="00432A17" w:rsidRPr="004E6412">
        <w:rPr>
          <w:rFonts w:ascii="Times New Roman" w:eastAsia="HelveticaNeueLTPro-BdCn" w:hAnsi="Times New Roman"/>
        </w:rPr>
        <w:t>, koliko je iznosila</w:t>
      </w:r>
      <w:r w:rsidR="00D20BAA" w:rsidRPr="004E6412">
        <w:rPr>
          <w:rFonts w:ascii="Times New Roman" w:eastAsia="HelveticaNeueLTPro-BdCn" w:hAnsi="Times New Roman"/>
        </w:rPr>
        <w:t xml:space="preserve"> </w:t>
      </w:r>
      <w:r w:rsidR="000023B1" w:rsidRPr="004E6412">
        <w:rPr>
          <w:rFonts w:ascii="Times New Roman" w:eastAsia="HelveticaNeueLTPro-BdCn" w:hAnsi="Times New Roman"/>
        </w:rPr>
        <w:t xml:space="preserve">u 2012. Potrošnja kućanstava </w:t>
      </w:r>
      <w:r w:rsidR="00D20BAA" w:rsidRPr="004E6412">
        <w:rPr>
          <w:rFonts w:ascii="Times New Roman" w:eastAsia="HelveticaNeueLTPro-BdCn" w:hAnsi="Times New Roman"/>
        </w:rPr>
        <w:t xml:space="preserve">također </w:t>
      </w:r>
      <w:r w:rsidR="000023B1" w:rsidRPr="004E6412">
        <w:rPr>
          <w:rFonts w:ascii="Times New Roman" w:eastAsia="HelveticaNeueLTPro-BdCn" w:hAnsi="Times New Roman"/>
        </w:rPr>
        <w:t xml:space="preserve">je </w:t>
      </w:r>
      <w:r w:rsidR="00D20BAA" w:rsidRPr="004E6412">
        <w:rPr>
          <w:rFonts w:ascii="Times New Roman" w:eastAsia="HelveticaNeueLTPro-BdCn" w:hAnsi="Times New Roman"/>
        </w:rPr>
        <w:t>rasla sve do pojave krize, ali građani su reagirali brže od države. Kuća</w:t>
      </w:r>
      <w:r w:rsidR="00592D09" w:rsidRPr="004E6412">
        <w:rPr>
          <w:rFonts w:ascii="Times New Roman" w:eastAsia="HelveticaNeueLTPro-BdCn" w:hAnsi="Times New Roman"/>
        </w:rPr>
        <w:t>nstva su već 2009. godine</w:t>
      </w:r>
      <w:r w:rsidR="00D20BAA" w:rsidRPr="004E6412">
        <w:rPr>
          <w:rFonts w:ascii="Times New Roman" w:eastAsia="HelveticaNeueLTPro-BdCn" w:hAnsi="Times New Roman"/>
        </w:rPr>
        <w:t xml:space="preserve"> smanjila potrošnju sa 187,35 milijar</w:t>
      </w:r>
      <w:r w:rsidR="000023B1" w:rsidRPr="004E6412">
        <w:rPr>
          <w:rFonts w:ascii="Times New Roman" w:eastAsia="HelveticaNeueLTPro-BdCn" w:hAnsi="Times New Roman"/>
        </w:rPr>
        <w:t>di</w:t>
      </w:r>
      <w:r w:rsidR="00D20BAA" w:rsidRPr="004E6412">
        <w:rPr>
          <w:rFonts w:ascii="Times New Roman" w:eastAsia="HelveticaNeueLTPro-BdCn" w:hAnsi="Times New Roman"/>
        </w:rPr>
        <w:t xml:space="preserve"> kuna iz 2008. na 182,98 milijardi kuna. U tri naredne godine potrošnja kućanst</w:t>
      </w:r>
      <w:r w:rsidR="000023B1" w:rsidRPr="004E6412">
        <w:rPr>
          <w:rFonts w:ascii="Times New Roman" w:eastAsia="HelveticaNeueLTPro-BdCn" w:hAnsi="Times New Roman"/>
        </w:rPr>
        <w:t>a</w:t>
      </w:r>
      <w:r w:rsidR="00D20BAA" w:rsidRPr="004E6412">
        <w:rPr>
          <w:rFonts w:ascii="Times New Roman" w:eastAsia="HelveticaNeueLTPro-BdCn" w:hAnsi="Times New Roman"/>
        </w:rPr>
        <w:t>va ponovno ras</w:t>
      </w:r>
      <w:r w:rsidR="000023B1" w:rsidRPr="004E6412">
        <w:rPr>
          <w:rFonts w:ascii="Times New Roman" w:eastAsia="HelveticaNeueLTPro-BdCn" w:hAnsi="Times New Roman"/>
        </w:rPr>
        <w:t>te te je dosegla</w:t>
      </w:r>
      <w:r w:rsidR="00D20BAA" w:rsidRPr="004E6412">
        <w:rPr>
          <w:rFonts w:ascii="Times New Roman" w:eastAsia="HelveticaNeueLTPro-BdCn" w:hAnsi="Times New Roman"/>
        </w:rPr>
        <w:t xml:space="preserve"> 188,74 milijardi kuna u 2012. Izdaci neprofitnih ustanova koje služe kućanstvima (NPUSK) postepeno rastu u cijelom osmogodišnjem</w:t>
      </w:r>
      <w:r w:rsidR="000023B1" w:rsidRPr="004E6412">
        <w:rPr>
          <w:rFonts w:ascii="Times New Roman" w:eastAsia="HelveticaNeueLTPro-BdCn" w:hAnsi="Times New Roman"/>
        </w:rPr>
        <w:t xml:space="preserve"> razdoblju</w:t>
      </w:r>
      <w:r w:rsidR="00D20BAA" w:rsidRPr="004E6412">
        <w:rPr>
          <w:rFonts w:ascii="Times New Roman" w:eastAsia="HelveticaNeueLTPro-BdCn" w:hAnsi="Times New Roman"/>
        </w:rPr>
        <w:t>. Konačna vrijedno</w:t>
      </w:r>
      <w:r w:rsidR="000023B1" w:rsidRPr="004E6412">
        <w:rPr>
          <w:rFonts w:ascii="Times New Roman" w:eastAsia="HelveticaNeueLTPro-BdCn" w:hAnsi="Times New Roman"/>
        </w:rPr>
        <w:t>st u 2012. iznosi 3,29 milijardi</w:t>
      </w:r>
      <w:r w:rsidR="00D20BAA" w:rsidRPr="004E6412">
        <w:rPr>
          <w:rFonts w:ascii="Times New Roman" w:eastAsia="HelveticaNeueLTPro-BdCn" w:hAnsi="Times New Roman"/>
        </w:rPr>
        <w:t xml:space="preserve"> kuna.</w:t>
      </w:r>
    </w:p>
    <w:p w:rsidR="00D20BAA" w:rsidRPr="004E6412" w:rsidRDefault="00D20BAA" w:rsidP="00D20BAA">
      <w:pPr>
        <w:pStyle w:val="ListParagraph"/>
        <w:jc w:val="both"/>
        <w:rPr>
          <w:rFonts w:ascii="Times New Roman" w:eastAsia="HelveticaNeueLTPro-BdCn" w:hAnsi="Times New Roman"/>
        </w:rPr>
      </w:pPr>
    </w:p>
    <w:p w:rsidR="00D20BAA" w:rsidRPr="004E6412" w:rsidRDefault="00D20BAA" w:rsidP="00B15A78">
      <w:pPr>
        <w:pStyle w:val="ListParagraph"/>
        <w:numPr>
          <w:ilvl w:val="0"/>
          <w:numId w:val="162"/>
        </w:numPr>
        <w:jc w:val="both"/>
        <w:rPr>
          <w:rFonts w:ascii="Times New Roman" w:eastAsia="HelveticaNeueLTPro-BdCn" w:hAnsi="Times New Roman"/>
        </w:rPr>
      </w:pPr>
      <w:r w:rsidRPr="004E6412">
        <w:rPr>
          <w:rFonts w:ascii="Times New Roman" w:hAnsi="Times New Roman"/>
        </w:rPr>
        <w:t>Promatrajući relativne vrijednosti stavaka konačne potrošnje u 2012. godini, 73,50% otpada na potrošnju kućanstava, 25,22% na potrošnju opće države</w:t>
      </w:r>
      <w:r w:rsidR="000023B1" w:rsidRPr="004E6412">
        <w:rPr>
          <w:rFonts w:ascii="Times New Roman" w:hAnsi="Times New Roman"/>
        </w:rPr>
        <w:t>,</w:t>
      </w:r>
      <w:r w:rsidRPr="004E6412">
        <w:rPr>
          <w:rFonts w:ascii="Times New Roman" w:hAnsi="Times New Roman"/>
        </w:rPr>
        <w:t xml:space="preserve"> a 1,28% na izdatke neprofitnih ustanova koje služe kućanstvima (NPUSK). </w:t>
      </w:r>
    </w:p>
    <w:p w:rsidR="00D20BAA" w:rsidRPr="004E6412" w:rsidRDefault="00D20BAA" w:rsidP="00D20BAA">
      <w:pPr>
        <w:rPr>
          <w:rFonts w:eastAsia="HelveticaNeueLTPro-BdCn"/>
          <w:sz w:val="22"/>
          <w:highlight w:val="yellow"/>
        </w:rPr>
      </w:pPr>
    </w:p>
    <w:p w:rsidR="00D20BAA" w:rsidRPr="004E6412" w:rsidRDefault="00D20BAA" w:rsidP="003B062F">
      <w:pPr>
        <w:pStyle w:val="Heading4"/>
        <w:rPr>
          <w:highlight w:val="yellow"/>
        </w:rPr>
      </w:pPr>
      <w:bookmarkStart w:id="46" w:name="_Toc366154242"/>
      <w:bookmarkStart w:id="47" w:name="_Toc366154360"/>
      <w:bookmarkStart w:id="48" w:name="_Toc366409902"/>
      <w:bookmarkStart w:id="49" w:name="_Toc372308883"/>
      <w:bookmarkStart w:id="50" w:name="_Toc372553995"/>
      <w:r w:rsidRPr="004E6412">
        <w:t>Potrošnja, plaće i kupovna moć stanovništva</w:t>
      </w:r>
      <w:bookmarkEnd w:id="46"/>
      <w:bookmarkEnd w:id="47"/>
      <w:bookmarkEnd w:id="48"/>
      <w:bookmarkEnd w:id="49"/>
      <w:bookmarkEnd w:id="50"/>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rPr>
        <w:t>Realna potrošnja kućanstava po stanovniku</w:t>
      </w:r>
      <w:r w:rsidR="007613ED" w:rsidRPr="004E6412">
        <w:rPr>
          <w:rFonts w:ascii="Times New Roman" w:hAnsi="Times New Roman"/>
        </w:rPr>
        <w:t xml:space="preserve"> </w:t>
      </w:r>
      <w:r w:rsidR="000023B1" w:rsidRPr="004E6412">
        <w:rPr>
          <w:rFonts w:ascii="Times New Roman" w:hAnsi="Times New Roman"/>
        </w:rPr>
        <w:t xml:space="preserve">u Hrvatskoj raste </w:t>
      </w:r>
      <w:r w:rsidR="007613ED" w:rsidRPr="004E6412">
        <w:rPr>
          <w:rFonts w:ascii="Times New Roman" w:hAnsi="Times New Roman"/>
        </w:rPr>
        <w:t>u razdoblju 2004.</w:t>
      </w:r>
      <w:r w:rsidR="000023B1" w:rsidRPr="004E6412">
        <w:rPr>
          <w:rFonts w:ascii="Times New Roman" w:hAnsi="Times New Roman"/>
        </w:rPr>
        <w:t xml:space="preserve"> – </w:t>
      </w:r>
      <w:r w:rsidR="007613ED" w:rsidRPr="004E6412">
        <w:rPr>
          <w:rFonts w:ascii="Times New Roman" w:hAnsi="Times New Roman"/>
        </w:rPr>
        <w:t>2012. godine</w:t>
      </w:r>
      <w:r w:rsidRPr="004E6412">
        <w:rPr>
          <w:rFonts w:ascii="Times New Roman" w:hAnsi="Times New Roman"/>
        </w:rPr>
        <w:t>, prema metodi</w:t>
      </w:r>
      <w:r w:rsidR="007613ED" w:rsidRPr="004E6412">
        <w:rPr>
          <w:rFonts w:ascii="Times New Roman" w:hAnsi="Times New Roman"/>
        </w:rPr>
        <w:t xml:space="preserve"> stvarne individualne potrošnje</w:t>
      </w:r>
      <w:r w:rsidRPr="004E6412">
        <w:rPr>
          <w:rFonts w:ascii="Times New Roman" w:hAnsi="Times New Roman"/>
        </w:rPr>
        <w:t xml:space="preserve"> mjerena u jedinici PP</w:t>
      </w:r>
      <w:r w:rsidR="00DB2F5C" w:rsidRPr="004E6412">
        <w:rPr>
          <w:rFonts w:ascii="Times New Roman" w:hAnsi="Times New Roman"/>
        </w:rPr>
        <w:t>S-a (Purchasing Power Standard, EUROSTAT</w:t>
      </w:r>
      <w:r w:rsidR="000023B1" w:rsidRPr="004E6412">
        <w:rPr>
          <w:rFonts w:ascii="Times New Roman" w:hAnsi="Times New Roman"/>
        </w:rPr>
        <w:t>)</w:t>
      </w:r>
      <w:r w:rsidRPr="004E6412">
        <w:rPr>
          <w:rFonts w:ascii="Times New Roman" w:hAnsi="Times New Roman"/>
        </w:rPr>
        <w:t>. Valja naglasiti da</w:t>
      </w:r>
      <w:r w:rsidR="00DB2F5C" w:rsidRPr="004E6412">
        <w:rPr>
          <w:rFonts w:ascii="Times New Roman" w:hAnsi="Times New Roman"/>
        </w:rPr>
        <w:t>,</w:t>
      </w:r>
      <w:r w:rsidRPr="004E6412">
        <w:rPr>
          <w:rFonts w:ascii="Times New Roman" w:hAnsi="Times New Roman"/>
        </w:rPr>
        <w:t xml:space="preserve"> po nominalnim vrijednostima</w:t>
      </w:r>
      <w:r w:rsidR="00DB2F5C" w:rsidRPr="004E6412">
        <w:rPr>
          <w:rFonts w:ascii="Times New Roman" w:hAnsi="Times New Roman"/>
        </w:rPr>
        <w:t>,</w:t>
      </w:r>
      <w:r w:rsidRPr="004E6412">
        <w:rPr>
          <w:rFonts w:ascii="Times New Roman" w:hAnsi="Times New Roman"/>
        </w:rPr>
        <w:t xml:space="preserve"> građani Hrvatske troše oko 40% vrijednosti koju troši prosječan građanin EU</w:t>
      </w:r>
      <w:r w:rsidR="000023B1" w:rsidRPr="004E6412">
        <w:rPr>
          <w:rFonts w:ascii="Times New Roman" w:hAnsi="Times New Roman"/>
        </w:rPr>
        <w:t>-a. Međutim,</w:t>
      </w:r>
      <w:r w:rsidRPr="004E6412">
        <w:rPr>
          <w:rFonts w:ascii="Times New Roman" w:hAnsi="Times New Roman"/>
        </w:rPr>
        <w:t xml:space="preserve"> u realnim vrijednostima mjerenim u PPS-u</w:t>
      </w:r>
      <w:r w:rsidR="000023B1" w:rsidRPr="004E6412">
        <w:rPr>
          <w:rFonts w:ascii="Times New Roman" w:hAnsi="Times New Roman"/>
        </w:rPr>
        <w:t>,</w:t>
      </w:r>
      <w:r w:rsidRPr="004E6412">
        <w:rPr>
          <w:rFonts w:ascii="Times New Roman" w:hAnsi="Times New Roman"/>
        </w:rPr>
        <w:t xml:space="preserve"> prosječan građanin Hr</w:t>
      </w:r>
      <w:r w:rsidR="000023B1" w:rsidRPr="004E6412">
        <w:rPr>
          <w:rFonts w:ascii="Times New Roman" w:hAnsi="Times New Roman"/>
        </w:rPr>
        <w:t>vatske zapravo troši mnogo značajnijih</w:t>
      </w:r>
      <w:r w:rsidRPr="004E6412">
        <w:rPr>
          <w:rFonts w:ascii="Times New Roman" w:hAnsi="Times New Roman"/>
        </w:rPr>
        <w:t xml:space="preserve"> 55-60% onoga što troši prosječan građanin EU</w:t>
      </w:r>
      <w:r w:rsidR="000023B1" w:rsidRPr="004E6412">
        <w:rPr>
          <w:rFonts w:ascii="Times New Roman" w:hAnsi="Times New Roman"/>
        </w:rPr>
        <w:t>-a</w:t>
      </w:r>
      <w:r w:rsidRPr="004E6412">
        <w:rPr>
          <w:rFonts w:ascii="Times New Roman" w:hAnsi="Times New Roman"/>
        </w:rPr>
        <w:t>, ovisno o godinama promatranja. Potro</w:t>
      </w:r>
      <w:r w:rsidR="00DB2F5C" w:rsidRPr="004E6412">
        <w:rPr>
          <w:rFonts w:ascii="Times New Roman" w:hAnsi="Times New Roman"/>
        </w:rPr>
        <w:t>šnja mjerena u PPS-u</w:t>
      </w:r>
      <w:r w:rsidRPr="004E6412">
        <w:rPr>
          <w:rFonts w:ascii="Times New Roman" w:hAnsi="Times New Roman"/>
        </w:rPr>
        <w:t xml:space="preserve"> korisna </w:t>
      </w:r>
      <w:r w:rsidR="00DB2F5C" w:rsidRPr="004E6412">
        <w:rPr>
          <w:rFonts w:ascii="Times New Roman" w:hAnsi="Times New Roman"/>
        </w:rPr>
        <w:t xml:space="preserve">je </w:t>
      </w:r>
      <w:r w:rsidR="000023B1" w:rsidRPr="004E6412">
        <w:rPr>
          <w:rFonts w:ascii="Times New Roman" w:hAnsi="Times New Roman"/>
        </w:rPr>
        <w:t>za usporedbu zemalja budući da</w:t>
      </w:r>
      <w:r w:rsidRPr="004E6412">
        <w:rPr>
          <w:rFonts w:ascii="Times New Roman" w:hAnsi="Times New Roman"/>
        </w:rPr>
        <w:t xml:space="preserve"> poništava razlike u razinama cijena među državama.</w:t>
      </w:r>
    </w:p>
    <w:p w:rsidR="00D20BAA" w:rsidRPr="004E6412" w:rsidRDefault="00D20BAA" w:rsidP="00D20BAA">
      <w:pPr>
        <w:rPr>
          <w:highlight w:val="yellow"/>
        </w:rPr>
      </w:pPr>
    </w:p>
    <w:p w:rsidR="00D20BAA" w:rsidRPr="004E6412" w:rsidRDefault="005B0273" w:rsidP="00B15A78">
      <w:pPr>
        <w:pStyle w:val="ListParagraph"/>
        <w:numPr>
          <w:ilvl w:val="0"/>
          <w:numId w:val="153"/>
        </w:numPr>
        <w:spacing w:after="0"/>
        <w:jc w:val="both"/>
        <w:rPr>
          <w:rFonts w:ascii="Times New Roman" w:eastAsia="HelveticaNeueLTPro-BdCn" w:hAnsi="Times New Roman"/>
        </w:rPr>
      </w:pPr>
      <w:r w:rsidRPr="004E6412">
        <w:rPr>
          <w:rFonts w:ascii="Times New Roman" w:eastAsia="HelveticaNeueLTPro-BdCn" w:hAnsi="Times New Roman"/>
        </w:rPr>
        <w:t>Realne bruto plaće su u razdoblju</w:t>
      </w:r>
      <w:r w:rsidR="00D20BAA" w:rsidRPr="004E6412">
        <w:rPr>
          <w:rFonts w:ascii="Times New Roman" w:eastAsia="HelveticaNeueLTPro-BdCn" w:hAnsi="Times New Roman"/>
        </w:rPr>
        <w:t xml:space="preserve"> 2008. – 2012. smanjene za 2,4%, a realne neto plaće za 0,7%. </w:t>
      </w:r>
    </w:p>
    <w:p w:rsidR="00D20BAA" w:rsidRPr="004E6412" w:rsidRDefault="00D20BAA" w:rsidP="00D20BAA">
      <w:pPr>
        <w:rPr>
          <w:highlight w:val="yellow"/>
        </w:rPr>
      </w:pPr>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szCs w:val="24"/>
        </w:rPr>
        <w:lastRenderedPageBreak/>
        <w:t xml:space="preserve">Međugodišnja promjena razine potrošačkih cijena i iznosa prosječne isplaćene bruto i neto plaće po radniku pokazuje kako iz godine u godinu potrošačke cijene rastu brže od bruto i neto plaća. </w:t>
      </w:r>
      <w:r w:rsidRPr="004E6412">
        <w:rPr>
          <w:rFonts w:ascii="Times New Roman" w:hAnsi="Times New Roman"/>
        </w:rPr>
        <w:t>U usporedbi s rastom indeksa potrošačkih</w:t>
      </w:r>
      <w:r w:rsidR="000023B1" w:rsidRPr="004E6412">
        <w:rPr>
          <w:rFonts w:ascii="Times New Roman" w:hAnsi="Times New Roman"/>
        </w:rPr>
        <w:t xml:space="preserve"> cijena, koji je u istom razdoblju</w:t>
      </w:r>
      <w:r w:rsidRPr="004E6412">
        <w:rPr>
          <w:rFonts w:ascii="Times New Roman" w:hAnsi="Times New Roman"/>
        </w:rPr>
        <w:t xml:space="preserve"> povećan za 9,39%, povećanje prosječne</w:t>
      </w:r>
      <w:r w:rsidR="000023B1" w:rsidRPr="004E6412">
        <w:rPr>
          <w:rFonts w:ascii="Times New Roman" w:hAnsi="Times New Roman"/>
        </w:rPr>
        <w:t xml:space="preserve"> plaće po radniku je znatno manje</w:t>
      </w:r>
      <w:r w:rsidRPr="004E6412">
        <w:rPr>
          <w:rFonts w:ascii="Times New Roman" w:hAnsi="Times New Roman"/>
        </w:rPr>
        <w:t xml:space="preserve">. Drugim riječima, </w:t>
      </w:r>
      <w:r w:rsidR="005B0273" w:rsidRPr="004E6412">
        <w:rPr>
          <w:rFonts w:ascii="Times New Roman" w:hAnsi="Times New Roman"/>
        </w:rPr>
        <w:t xml:space="preserve">u razdoblju od 2008. do 2012. godine </w:t>
      </w:r>
      <w:r w:rsidRPr="004E6412">
        <w:rPr>
          <w:rFonts w:ascii="Times New Roman" w:hAnsi="Times New Roman"/>
        </w:rPr>
        <w:t>kupovna moć zaposlenih osoba u Hrvatskoj se smanjila.</w:t>
      </w:r>
    </w:p>
    <w:p w:rsidR="00D20BAA" w:rsidRPr="004E6412" w:rsidRDefault="00D20BAA" w:rsidP="00D20BAA">
      <w:pPr>
        <w:rPr>
          <w:rFonts w:eastAsia="HelveticaNeueLTPro-BdCn"/>
          <w:highlight w:val="yellow"/>
        </w:rPr>
      </w:pPr>
    </w:p>
    <w:p w:rsidR="00D20BAA" w:rsidRPr="004E6412" w:rsidRDefault="00D20BAA" w:rsidP="00755B73">
      <w:pPr>
        <w:pStyle w:val="Subtitle"/>
        <w:rPr>
          <w:rFonts w:eastAsia="HelveticaNeueLTPro-BdCn"/>
          <w:sz w:val="22"/>
          <w:lang w:val="hr-HR"/>
        </w:rPr>
      </w:pPr>
      <w:bookmarkStart w:id="51" w:name="_Toc372309190"/>
      <w:bookmarkStart w:id="52" w:name="_Toc377635333"/>
      <w:r w:rsidRPr="004E6412">
        <w:rPr>
          <w:lang w:val="hr-HR"/>
        </w:rPr>
        <w:t xml:space="preserve">Slika </w:t>
      </w:r>
      <w:r w:rsidR="001E30D1" w:rsidRPr="004E6412">
        <w:rPr>
          <w:lang w:val="hr-HR"/>
        </w:rPr>
        <w:t>9</w:t>
      </w:r>
      <w:r w:rsidRPr="004E6412">
        <w:rPr>
          <w:rFonts w:eastAsia="Calibri"/>
          <w:lang w:val="hr-HR"/>
        </w:rPr>
        <w:t>. Indeksi potrošačkih cijena</w:t>
      </w:r>
      <w:r w:rsidR="007613ED" w:rsidRPr="004E6412">
        <w:rPr>
          <w:rFonts w:eastAsia="Calibri"/>
          <w:lang w:val="hr-HR"/>
        </w:rPr>
        <w:t>, br</w:t>
      </w:r>
      <w:r w:rsidR="000023B1" w:rsidRPr="004E6412">
        <w:rPr>
          <w:rFonts w:eastAsia="Calibri"/>
          <w:lang w:val="hr-HR"/>
        </w:rPr>
        <w:t>uto</w:t>
      </w:r>
      <w:r w:rsidR="007613ED" w:rsidRPr="004E6412">
        <w:rPr>
          <w:rFonts w:eastAsia="Calibri"/>
          <w:lang w:val="hr-HR"/>
        </w:rPr>
        <w:t xml:space="preserve"> i neto plaća (2008</w:t>
      </w:r>
      <w:r w:rsidRPr="004E6412">
        <w:rPr>
          <w:rFonts w:eastAsia="Calibri"/>
          <w:lang w:val="hr-HR"/>
        </w:rPr>
        <w:t>. = 100)</w:t>
      </w:r>
      <w:bookmarkEnd w:id="51"/>
      <w:bookmarkEnd w:id="52"/>
    </w:p>
    <w:p w:rsidR="00D20BAA" w:rsidRPr="004E6412" w:rsidRDefault="001E199D" w:rsidP="00D20BAA">
      <w:pPr>
        <w:rPr>
          <w:rFonts w:eastAsia="HelveticaNeueLTPro-BdCn"/>
          <w:sz w:val="22"/>
          <w:lang w:eastAsia="hr-HR"/>
        </w:rPr>
      </w:pPr>
      <w:r w:rsidRPr="004E6412">
        <w:rPr>
          <w:rFonts w:eastAsia="HelveticaNeueLTPro-BdCn"/>
          <w:noProof/>
          <w:sz w:val="22"/>
          <w:lang w:eastAsia="hr-HR"/>
        </w:rPr>
        <w:drawing>
          <wp:inline distT="0" distB="0" distL="0" distR="0" wp14:anchorId="471E29DF" wp14:editId="6B3921D5">
            <wp:extent cx="5701797" cy="2301254"/>
            <wp:effectExtent l="6094" t="6089" r="9014" b="6597"/>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rFonts w:eastAsia="HelveticaNeueLTPro-BdCn"/>
          <w:sz w:val="22"/>
        </w:rPr>
      </w:pPr>
    </w:p>
    <w:p w:rsidR="00D20BAA" w:rsidRPr="004E6412" w:rsidRDefault="00D20BAA" w:rsidP="00D20BAA">
      <w:pPr>
        <w:rPr>
          <w:rFonts w:eastAsia="HelveticaNeueLTPro-BdCn"/>
          <w:sz w:val="22"/>
        </w:rPr>
      </w:pPr>
    </w:p>
    <w:p w:rsidR="00D20BAA" w:rsidRPr="004E6412" w:rsidRDefault="00D20BAA" w:rsidP="00E05875">
      <w:pPr>
        <w:pStyle w:val="Heading4"/>
      </w:pPr>
      <w:bookmarkStart w:id="53" w:name="_Toc372308884"/>
      <w:bookmarkStart w:id="54" w:name="_Toc372553996"/>
      <w:r w:rsidRPr="004E6412">
        <w:t>Analiza kretanja cijena</w:t>
      </w:r>
      <w:bookmarkEnd w:id="53"/>
      <w:bookmarkEnd w:id="54"/>
    </w:p>
    <w:p w:rsidR="00E05875"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Najveći porast razine potrošačkih cijena dogodio se u 2008. godini.</w:t>
      </w:r>
      <w:r w:rsidR="00ED5BED" w:rsidRPr="004E6412">
        <w:rPr>
          <w:rFonts w:ascii="Times New Roman" w:eastAsia="HelveticaNeueLTPro-BdCn" w:hAnsi="Times New Roman"/>
        </w:rPr>
        <w:t xml:space="preserve"> Od 2008. do 2012. godine, potroša</w:t>
      </w:r>
      <w:r w:rsidR="000023B1" w:rsidRPr="004E6412">
        <w:rPr>
          <w:rFonts w:ascii="Times New Roman" w:eastAsia="HelveticaNeueLTPro-BdCn" w:hAnsi="Times New Roman"/>
        </w:rPr>
        <w:t xml:space="preserve">čke cijene </w:t>
      </w:r>
      <w:r w:rsidR="00ED5BED" w:rsidRPr="004E6412">
        <w:rPr>
          <w:rFonts w:ascii="Times New Roman" w:eastAsia="HelveticaNeueLTPro-BdCn" w:hAnsi="Times New Roman"/>
        </w:rPr>
        <w:t xml:space="preserve">porasle </w:t>
      </w:r>
      <w:r w:rsidR="000023B1" w:rsidRPr="004E6412">
        <w:rPr>
          <w:rFonts w:ascii="Times New Roman" w:eastAsia="HelveticaNeueLTPro-BdCn" w:hAnsi="Times New Roman"/>
        </w:rPr>
        <w:t xml:space="preserve">su </w:t>
      </w:r>
      <w:r w:rsidR="00ED5BED" w:rsidRPr="004E6412">
        <w:rPr>
          <w:rFonts w:ascii="Times New Roman" w:eastAsia="HelveticaNeueLTPro-BdCn" w:hAnsi="Times New Roman"/>
        </w:rPr>
        <w:t>za ukupno 9,2%.</w:t>
      </w:r>
    </w:p>
    <w:p w:rsidR="00ED5BED" w:rsidRPr="004E6412" w:rsidRDefault="00ED5BED" w:rsidP="00ED5BED">
      <w:pPr>
        <w:pStyle w:val="ListParagraph"/>
        <w:autoSpaceDE w:val="0"/>
        <w:autoSpaceDN w:val="0"/>
        <w:adjustRightInd w:val="0"/>
        <w:spacing w:after="0"/>
        <w:jc w:val="both"/>
        <w:rPr>
          <w:rFonts w:ascii="Times New Roman" w:eastAsia="HelveticaNeueLTPro-BdCn" w:hAnsi="Times New Roman"/>
        </w:rPr>
      </w:pPr>
    </w:p>
    <w:p w:rsidR="00D20BAA"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w:t>
      </w:r>
      <w:r w:rsidR="00D20BAA" w:rsidRPr="004E6412">
        <w:rPr>
          <w:rFonts w:ascii="Times New Roman" w:eastAsia="HelveticaNeueLTPro-BdCn" w:hAnsi="Times New Roman"/>
        </w:rPr>
        <w:t>a</w:t>
      </w:r>
      <w:r w:rsidR="00D20BAA" w:rsidRPr="004E6412">
        <w:rPr>
          <w:rFonts w:ascii="Times New Roman" w:hAnsi="Times New Roman"/>
        </w:rPr>
        <w:t xml:space="preserve"> razini svih 28 zemalja članica</w:t>
      </w:r>
      <w:r w:rsidRPr="004E6412">
        <w:rPr>
          <w:rFonts w:ascii="Times New Roman" w:hAnsi="Times New Roman"/>
        </w:rPr>
        <w:t xml:space="preserve"> EU</w:t>
      </w:r>
      <w:r w:rsidR="000023B1" w:rsidRPr="004E6412">
        <w:rPr>
          <w:rFonts w:ascii="Times New Roman" w:hAnsi="Times New Roman"/>
        </w:rPr>
        <w:t>-a,</w:t>
      </w:r>
      <w:r w:rsidR="00D20BAA" w:rsidRPr="004E6412">
        <w:rPr>
          <w:rFonts w:ascii="Times New Roman" w:hAnsi="Times New Roman"/>
        </w:rPr>
        <w:t xml:space="preserve"> potrošačke cijene su se od 2008. do 2012</w:t>
      </w:r>
      <w:r w:rsidRPr="004E6412">
        <w:rPr>
          <w:rFonts w:ascii="Times New Roman" w:hAnsi="Times New Roman"/>
        </w:rPr>
        <w:t>. u prosjeku povećale za 9,08%</w:t>
      </w:r>
      <w:r w:rsidR="00D20BAA" w:rsidRPr="004E6412">
        <w:rPr>
          <w:rFonts w:ascii="Times New Roman" w:hAnsi="Times New Roman"/>
        </w:rPr>
        <w:t>.</w:t>
      </w: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55" w:name="_Toc377551016"/>
      <w:bookmarkStart w:id="56" w:name="_Toc377635205"/>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Međugodišnja promjena potrošačkih cijena 2004. – 2012.</w:t>
      </w:r>
      <w:bookmarkEnd w:id="55"/>
      <w:bookmarkEnd w:id="56"/>
    </w:p>
    <w:tbl>
      <w:tblPr>
        <w:tblW w:w="5000" w:type="pct"/>
        <w:tblCellMar>
          <w:top w:w="57" w:type="dxa"/>
          <w:bottom w:w="57" w:type="dxa"/>
        </w:tblCellMar>
        <w:tblLook w:val="04A0" w:firstRow="1" w:lastRow="0" w:firstColumn="1" w:lastColumn="0" w:noHBand="0" w:noVBand="1"/>
      </w:tblPr>
      <w:tblGrid>
        <w:gridCol w:w="4102"/>
        <w:gridCol w:w="576"/>
        <w:gridCol w:w="576"/>
        <w:gridCol w:w="576"/>
        <w:gridCol w:w="576"/>
        <w:gridCol w:w="576"/>
        <w:gridCol w:w="576"/>
        <w:gridCol w:w="576"/>
        <w:gridCol w:w="576"/>
        <w:gridCol w:w="576"/>
      </w:tblGrid>
      <w:tr w:rsidR="00D20BAA" w:rsidRPr="004E6412" w:rsidTr="00DE6AE0">
        <w:trPr>
          <w:trHeight w:val="225"/>
        </w:trPr>
        <w:tc>
          <w:tcPr>
            <w:tcW w:w="2209"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DE6AE0">
        <w:trPr>
          <w:trHeight w:val="225"/>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POTROŠAČKIH CIJENA</w:t>
            </w:r>
          </w:p>
        </w:tc>
        <w:tc>
          <w:tcPr>
            <w:tcW w:w="310" w:type="pct"/>
            <w:tcBorders>
              <w:top w:val="nil"/>
              <w:left w:val="single" w:sz="4" w:space="0" w:color="auto"/>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102,9</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B72F73" w:rsidRPr="004E6412" w:rsidRDefault="00B72F73" w:rsidP="00D20BAA"/>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eastAsia="HelveticaNeueLTPro-BdCn" w:hAnsi="Times New Roman"/>
        </w:rPr>
        <w:t>Indeks proizvođačkih cijena na domaćem tržištu</w:t>
      </w:r>
      <w:r w:rsidR="00ED5BED" w:rsidRPr="004E6412">
        <w:rPr>
          <w:rFonts w:ascii="Times New Roman" w:eastAsia="HelveticaNeueLTPro-BdCn" w:hAnsi="Times New Roman"/>
        </w:rPr>
        <w:t>, prikazan u Ta</w:t>
      </w:r>
      <w:r w:rsidR="004823E2" w:rsidRPr="004E6412">
        <w:rPr>
          <w:rFonts w:ascii="Times New Roman" w:eastAsia="HelveticaNeueLTPro-BdCn" w:hAnsi="Times New Roman"/>
        </w:rPr>
        <w:t>b</w:t>
      </w:r>
      <w:r w:rsidR="00ED5BED" w:rsidRPr="004E6412">
        <w:rPr>
          <w:rFonts w:ascii="Times New Roman" w:eastAsia="HelveticaNeueLTPro-BdCn" w:hAnsi="Times New Roman"/>
        </w:rPr>
        <w:t xml:space="preserve">lici </w:t>
      </w:r>
      <w:r w:rsidR="004D38A5" w:rsidRPr="004E6412">
        <w:rPr>
          <w:rFonts w:ascii="Times New Roman" w:eastAsia="HelveticaNeueLTPro-BdCn" w:hAnsi="Times New Roman"/>
        </w:rPr>
        <w:t>5</w:t>
      </w:r>
      <w:r w:rsidR="000023B1" w:rsidRPr="004E6412">
        <w:rPr>
          <w:rFonts w:ascii="Times New Roman" w:eastAsia="HelveticaNeueLTPro-BdCn" w:hAnsi="Times New Roman"/>
        </w:rPr>
        <w:t>.</w:t>
      </w:r>
      <w:r w:rsidR="00ED5BED" w:rsidRPr="004E6412">
        <w:rPr>
          <w:rFonts w:ascii="Times New Roman" w:eastAsia="HelveticaNeueLTPro-BdCn" w:hAnsi="Times New Roman"/>
        </w:rPr>
        <w:t>,</w:t>
      </w:r>
      <w:r w:rsidRPr="004E6412">
        <w:rPr>
          <w:rFonts w:ascii="Times New Roman" w:eastAsia="HelveticaNeueLTPro-BdCn" w:hAnsi="Times New Roman"/>
        </w:rPr>
        <w:t xml:space="preserve"> pokazuje </w:t>
      </w:r>
      <w:r w:rsidR="00ED5BED" w:rsidRPr="004E6412">
        <w:rPr>
          <w:rFonts w:ascii="Times New Roman" w:eastAsia="HelveticaNeueLTPro-BdCn" w:hAnsi="Times New Roman"/>
        </w:rPr>
        <w:t xml:space="preserve">rast proizvođačkih cijena </w:t>
      </w:r>
      <w:r w:rsidRPr="004E6412">
        <w:rPr>
          <w:rFonts w:ascii="Times New Roman" w:eastAsia="HelveticaNeueLTPro-BdCn" w:hAnsi="Times New Roman"/>
        </w:rPr>
        <w:t>u</w:t>
      </w:r>
      <w:r w:rsidR="00ED5BED" w:rsidRPr="004E6412">
        <w:rPr>
          <w:rFonts w:ascii="Times New Roman" w:eastAsia="HelveticaNeueLTPro-BdCn" w:hAnsi="Times New Roman"/>
        </w:rPr>
        <w:t xml:space="preserve"> razdoblju</w:t>
      </w:r>
      <w:r w:rsidR="000023B1" w:rsidRPr="004E6412">
        <w:rPr>
          <w:rFonts w:ascii="Times New Roman" w:eastAsia="HelveticaNeueLTPro-BdCn" w:hAnsi="Times New Roman"/>
        </w:rPr>
        <w:t xml:space="preserve"> od</w:t>
      </w:r>
      <w:r w:rsidR="00ED5BED" w:rsidRPr="004E6412">
        <w:rPr>
          <w:rFonts w:ascii="Times New Roman" w:eastAsia="HelveticaNeueLTPro-BdCn" w:hAnsi="Times New Roman"/>
        </w:rPr>
        <w:t xml:space="preserve"> 2004. do 2008., njihov pad u 2009. godini za 0,4%, te njihov daljnji rast od 2010. do 2012. godine. </w:t>
      </w:r>
      <w:r w:rsidRPr="004E6412">
        <w:rPr>
          <w:rFonts w:ascii="Times New Roman" w:eastAsia="HelveticaNeueLTPro-BdCn" w:hAnsi="Times New Roman"/>
        </w:rPr>
        <w:t xml:space="preserve"> </w:t>
      </w:r>
    </w:p>
    <w:p w:rsidR="00D20BAA" w:rsidRPr="004E6412" w:rsidRDefault="00D20BAA" w:rsidP="00D20BAA">
      <w:pPr>
        <w:pStyle w:val="ListParagraph"/>
        <w:spacing w:after="0"/>
        <w:ind w:left="714"/>
        <w:jc w:val="both"/>
        <w:rPr>
          <w:rFonts w:ascii="Times New Roman" w:hAnsi="Times New Roman"/>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t xml:space="preserve">Proizvođačke cijene su se od 2004. do 2012. </w:t>
      </w:r>
      <w:r w:rsidR="000023B1" w:rsidRPr="004E6412">
        <w:rPr>
          <w:rFonts w:ascii="Times New Roman" w:hAnsi="Times New Roman"/>
        </w:rPr>
        <w:t xml:space="preserve">godine </w:t>
      </w:r>
      <w:r w:rsidRPr="004E6412">
        <w:rPr>
          <w:rFonts w:ascii="Times New Roman" w:hAnsi="Times New Roman"/>
        </w:rPr>
        <w:t>ukupno povećale za 36,9%.</w:t>
      </w:r>
    </w:p>
    <w:p w:rsidR="00D20BAA" w:rsidRPr="007D0CFD" w:rsidRDefault="00D20BAA" w:rsidP="007D0CFD">
      <w:pPr>
        <w:pStyle w:val="Heading5"/>
        <w:rPr>
          <w:rStyle w:val="IntenseEmphasis"/>
          <w:b/>
          <w:bCs w:val="0"/>
          <w:iCs w:val="0"/>
          <w:color w:val="548DD4" w:themeColor="text2" w:themeTint="99"/>
          <w:sz w:val="20"/>
        </w:rPr>
      </w:pPr>
      <w:bookmarkStart w:id="57" w:name="_Toc377551017"/>
      <w:bookmarkStart w:id="58" w:name="_Toc377635206"/>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Međugodišnja promjena proizvođačkih cijena 2004. – 2012.</w:t>
      </w:r>
      <w:bookmarkEnd w:id="57"/>
      <w:bookmarkEnd w:id="58"/>
    </w:p>
    <w:tbl>
      <w:tblPr>
        <w:tblW w:w="5000" w:type="pct"/>
        <w:tblLook w:val="04A0" w:firstRow="1" w:lastRow="0" w:firstColumn="1" w:lastColumn="0" w:noHBand="0" w:noVBand="1"/>
      </w:tblPr>
      <w:tblGrid>
        <w:gridCol w:w="4102"/>
        <w:gridCol w:w="576"/>
        <w:gridCol w:w="576"/>
        <w:gridCol w:w="576"/>
        <w:gridCol w:w="576"/>
        <w:gridCol w:w="576"/>
        <w:gridCol w:w="576"/>
        <w:gridCol w:w="576"/>
        <w:gridCol w:w="576"/>
        <w:gridCol w:w="576"/>
      </w:tblGrid>
      <w:tr w:rsidR="00D20BAA" w:rsidRPr="004E6412" w:rsidTr="00AE218E">
        <w:trPr>
          <w:trHeight w:val="225"/>
        </w:trPr>
        <w:tc>
          <w:tcPr>
            <w:tcW w:w="2209" w:type="pct"/>
            <w:tcBorders>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AE218E">
        <w:trPr>
          <w:trHeight w:val="737"/>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PROIZVOĐAČKIH CIJENA</w:t>
            </w:r>
          </w:p>
        </w:tc>
        <w:tc>
          <w:tcPr>
            <w:tcW w:w="31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103,5</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99,6</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w:t>
            </w:r>
            <w:r w:rsidR="00E67FC4" w:rsidRPr="004E6412">
              <w:rPr>
                <w:rFonts w:eastAsia="Times New Roman"/>
                <w:color w:val="000000"/>
                <w:sz w:val="16"/>
                <w:szCs w:val="16"/>
                <w:lang w:eastAsia="hr-HR"/>
              </w:rPr>
              <w:t>,0</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highlight w:val="yellow"/>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lastRenderedPageBreak/>
        <w:t>Najveći međugodišnji porast proizvođačkih cijena zabilježen je u 2008. i 2012. godini.</w:t>
      </w:r>
      <w:r w:rsidR="00E35F76" w:rsidRPr="004E6412">
        <w:rPr>
          <w:rFonts w:ascii="Times New Roman" w:hAnsi="Times New Roman"/>
        </w:rPr>
        <w:t xml:space="preserve"> Od 2008. do 2012.</w:t>
      </w:r>
      <w:r w:rsidR="0005183B" w:rsidRPr="004E6412">
        <w:rPr>
          <w:rFonts w:ascii="Times New Roman" w:hAnsi="Times New Roman"/>
        </w:rPr>
        <w:t xml:space="preserve"> godine, proizvođačke cijene </w:t>
      </w:r>
      <w:r w:rsidR="00E35F76" w:rsidRPr="004E6412">
        <w:rPr>
          <w:rFonts w:ascii="Times New Roman" w:hAnsi="Times New Roman"/>
        </w:rPr>
        <w:t xml:space="preserve">porasle </w:t>
      </w:r>
      <w:r w:rsidR="0005183B" w:rsidRPr="004E6412">
        <w:rPr>
          <w:rFonts w:ascii="Times New Roman" w:hAnsi="Times New Roman"/>
        </w:rPr>
        <w:t xml:space="preserve">su </w:t>
      </w:r>
      <w:r w:rsidR="00E35F76" w:rsidRPr="004E6412">
        <w:rPr>
          <w:rFonts w:ascii="Times New Roman" w:hAnsi="Times New Roman"/>
        </w:rPr>
        <w:t xml:space="preserve">ukupno za 18,2%. </w:t>
      </w:r>
    </w:p>
    <w:p w:rsidR="00A23CB5" w:rsidRPr="004E6412" w:rsidRDefault="00A23CB5" w:rsidP="00D20BAA">
      <w:pPr>
        <w:rPr>
          <w:highlight w:val="yellow"/>
        </w:rPr>
      </w:pPr>
    </w:p>
    <w:p w:rsidR="00D20BAA" w:rsidRPr="004E6412" w:rsidRDefault="00D20BAA" w:rsidP="00755B73">
      <w:pPr>
        <w:pStyle w:val="Subtitle"/>
        <w:rPr>
          <w:rFonts w:eastAsia="HelveticaNeueLTPro-BdCn"/>
          <w:sz w:val="22"/>
          <w:lang w:val="hr-HR"/>
        </w:rPr>
      </w:pPr>
      <w:bookmarkStart w:id="59" w:name="_Toc372309191"/>
      <w:bookmarkStart w:id="60" w:name="_Toc377635334"/>
      <w:r w:rsidRPr="004E6412">
        <w:rPr>
          <w:lang w:val="hr-HR"/>
        </w:rPr>
        <w:t xml:space="preserve">Slika </w:t>
      </w:r>
      <w:r w:rsidR="001E30D1" w:rsidRPr="004E6412">
        <w:rPr>
          <w:lang w:val="hr-HR"/>
        </w:rPr>
        <w:t>10</w:t>
      </w:r>
      <w:r w:rsidRPr="004E6412">
        <w:rPr>
          <w:rFonts w:eastAsia="Calibri"/>
          <w:lang w:val="hr-HR"/>
        </w:rPr>
        <w:t xml:space="preserve">. </w:t>
      </w:r>
      <w:r w:rsidRPr="004E6412">
        <w:rPr>
          <w:lang w:val="hr-HR"/>
        </w:rPr>
        <w:t>Indeks proizvođačkih cijena 2008. – 2012.</w:t>
      </w:r>
      <w:bookmarkEnd w:id="59"/>
      <w:bookmarkEnd w:id="60"/>
    </w:p>
    <w:p w:rsidR="00D20BAA" w:rsidRPr="004E6412" w:rsidRDefault="001E199D" w:rsidP="00D20BAA">
      <w:r w:rsidRPr="004E6412">
        <w:rPr>
          <w:noProof/>
          <w:lang w:eastAsia="hr-HR"/>
        </w:rPr>
        <w:drawing>
          <wp:inline distT="0" distB="0" distL="0" distR="0" wp14:anchorId="09D3CFB5" wp14:editId="1DD418D0">
            <wp:extent cx="5691504" cy="2426323"/>
            <wp:effectExtent l="6097" t="6101" r="3429" b="8516"/>
            <wp:docPr id="1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sz w:val="20"/>
          <w:szCs w:val="24"/>
        </w:rPr>
      </w:pPr>
    </w:p>
    <w:p w:rsidR="00D20BAA" w:rsidRPr="004E6412" w:rsidRDefault="00D20BAA" w:rsidP="00D20BAA">
      <w:pPr>
        <w:rPr>
          <w:sz w:val="20"/>
          <w:szCs w:val="24"/>
        </w:rPr>
      </w:pPr>
    </w:p>
    <w:p w:rsidR="005C3AEC" w:rsidRPr="004E6412" w:rsidRDefault="0005183B" w:rsidP="00B15A78">
      <w:pPr>
        <w:pStyle w:val="ListParagraph"/>
        <w:numPr>
          <w:ilvl w:val="0"/>
          <w:numId w:val="152"/>
        </w:numPr>
        <w:spacing w:after="0"/>
        <w:ind w:left="714" w:hanging="357"/>
        <w:jc w:val="both"/>
        <w:rPr>
          <w:rFonts w:eastAsia="HelveticaNeueLTPro-BdCn"/>
        </w:rPr>
      </w:pPr>
      <w:r w:rsidRPr="004E6412">
        <w:rPr>
          <w:rFonts w:ascii="Times New Roman" w:hAnsi="Times New Roman"/>
        </w:rPr>
        <w:t xml:space="preserve">Vezano zasebno za </w:t>
      </w:r>
      <w:r w:rsidR="00D20BAA" w:rsidRPr="004E6412">
        <w:rPr>
          <w:rFonts w:ascii="Times New Roman" w:hAnsi="Times New Roman"/>
        </w:rPr>
        <w:t>prerađivačku industriju, proizvođačke cijene su se od 2004. do 2012. godine povećale za 29,01%., a od 2008. do 2012. godine za 10,61%.</w:t>
      </w:r>
      <w:bookmarkStart w:id="61" w:name="_Toc372553997"/>
    </w:p>
    <w:p w:rsidR="005C3AEC" w:rsidRPr="004E6412" w:rsidRDefault="005C3AEC" w:rsidP="005C3AEC">
      <w:pPr>
        <w:rPr>
          <w:rFonts w:eastAsia="HelveticaNeueLTPro-BdCn"/>
          <w:sz w:val="22"/>
        </w:rPr>
      </w:pPr>
    </w:p>
    <w:p w:rsidR="005C3AEC" w:rsidRPr="004E6412" w:rsidRDefault="005C3AEC" w:rsidP="005C3AEC">
      <w:pPr>
        <w:rPr>
          <w:rFonts w:eastAsia="HelveticaNeueLTPro-BdCn"/>
          <w:sz w:val="22"/>
        </w:rPr>
      </w:pPr>
    </w:p>
    <w:p w:rsidR="00D20BAA" w:rsidRPr="004E6412" w:rsidRDefault="00D20BAA" w:rsidP="00FA7287">
      <w:pPr>
        <w:pStyle w:val="Heading4"/>
        <w:rPr>
          <w:rFonts w:eastAsia="HelveticaNeueLTPro-BdCn"/>
        </w:rPr>
      </w:pPr>
      <w:r w:rsidRPr="004E6412">
        <w:rPr>
          <w:rFonts w:eastAsia="HelveticaNeueLTPro-BdCn"/>
        </w:rPr>
        <w:t>Krediti kreditnih institucija</w:t>
      </w:r>
      <w:bookmarkEnd w:id="61"/>
    </w:p>
    <w:p w:rsidR="00700AA0" w:rsidRPr="004E6412" w:rsidRDefault="00700AA0" w:rsidP="00700AA0">
      <w:pPr>
        <w:pStyle w:val="ListParagraph"/>
        <w:numPr>
          <w:ilvl w:val="0"/>
          <w:numId w:val="73"/>
        </w:numPr>
        <w:spacing w:after="0"/>
        <w:jc w:val="both"/>
        <w:rPr>
          <w:rFonts w:ascii="Times New Roman" w:hAnsi="Times New Roman"/>
        </w:rPr>
      </w:pPr>
      <w:bookmarkStart w:id="62" w:name="_Toc372308887"/>
      <w:r w:rsidRPr="004E6412">
        <w:rPr>
          <w:rFonts w:ascii="Times New Roman" w:hAnsi="Times New Roman"/>
        </w:rPr>
        <w:t>Ukupan iznos kunskih i deviznih kredita izdanih od strane kreditnih i</w:t>
      </w:r>
      <w:r w:rsidR="00D46C68" w:rsidRPr="004E6412">
        <w:rPr>
          <w:rFonts w:ascii="Times New Roman" w:hAnsi="Times New Roman"/>
        </w:rPr>
        <w:t>nstitucija, bez kredita izdanih</w:t>
      </w:r>
      <w:r w:rsidRPr="004E6412">
        <w:rPr>
          <w:rFonts w:ascii="Times New Roman" w:hAnsi="Times New Roman"/>
        </w:rPr>
        <w:t xml:space="preserve"> drugim bankarskim i kreditnim institucijama, povećavao se u svim promatranim godinama</w:t>
      </w:r>
      <w:r w:rsidR="004D38A5" w:rsidRPr="004E6412">
        <w:rPr>
          <w:rFonts w:ascii="Times New Roman" w:hAnsi="Times New Roman"/>
        </w:rPr>
        <w:t xml:space="preserve"> razdoblja 2004. </w:t>
      </w:r>
      <w:r w:rsidR="00D46C68" w:rsidRPr="004E6412">
        <w:rPr>
          <w:rFonts w:ascii="Times New Roman" w:hAnsi="Times New Roman"/>
        </w:rPr>
        <w:t>–</w:t>
      </w:r>
      <w:r w:rsidR="00B02488" w:rsidRPr="004E6412">
        <w:rPr>
          <w:rFonts w:ascii="Times New Roman" w:hAnsi="Times New Roman"/>
        </w:rPr>
        <w:t xml:space="preserve"> 2012.</w:t>
      </w:r>
      <w:r w:rsidRPr="004E6412">
        <w:rPr>
          <w:rFonts w:ascii="Times New Roman" w:hAnsi="Times New Roman"/>
        </w:rPr>
        <w:t xml:space="preserve"> </w:t>
      </w:r>
      <w:r w:rsidR="00D46C68" w:rsidRPr="004E6412">
        <w:rPr>
          <w:rFonts w:ascii="Times New Roman" w:hAnsi="Times New Roman"/>
        </w:rPr>
        <w:t>U tom razdoblju</w:t>
      </w:r>
      <w:r w:rsidR="00B02488" w:rsidRPr="004E6412">
        <w:rPr>
          <w:rFonts w:ascii="Times New Roman" w:hAnsi="Times New Roman"/>
        </w:rPr>
        <w:t xml:space="preserve"> </w:t>
      </w:r>
      <w:r w:rsidRPr="004E6412">
        <w:rPr>
          <w:rFonts w:ascii="Times New Roman" w:hAnsi="Times New Roman"/>
        </w:rPr>
        <w:t>kunski krediti</w:t>
      </w:r>
      <w:r w:rsidR="00D46C68" w:rsidRPr="004E6412">
        <w:rPr>
          <w:rFonts w:ascii="Times New Roman" w:hAnsi="Times New Roman"/>
        </w:rPr>
        <w:t xml:space="preserve"> </w:t>
      </w:r>
      <w:r w:rsidRPr="004E6412">
        <w:rPr>
          <w:rFonts w:ascii="Times New Roman" w:hAnsi="Times New Roman"/>
        </w:rPr>
        <w:t xml:space="preserve">povećali </w:t>
      </w:r>
      <w:r w:rsidR="00D46C68" w:rsidRPr="004E6412">
        <w:rPr>
          <w:rFonts w:ascii="Times New Roman" w:hAnsi="Times New Roman"/>
        </w:rPr>
        <w:t>su se za 121,04%, a devizni</w:t>
      </w:r>
      <w:r w:rsidRPr="004E6412">
        <w:rPr>
          <w:rFonts w:ascii="Times New Roman" w:hAnsi="Times New Roman"/>
        </w:rPr>
        <w:t xml:space="preserve"> za 272,66%. U razdoblju od 2008. do 20</w:t>
      </w:r>
      <w:r w:rsidR="00D46C68" w:rsidRPr="004E6412">
        <w:rPr>
          <w:rFonts w:ascii="Times New Roman" w:hAnsi="Times New Roman"/>
        </w:rPr>
        <w:t xml:space="preserve">12. godine kunski krediti </w:t>
      </w:r>
      <w:r w:rsidRPr="004E6412">
        <w:rPr>
          <w:rFonts w:ascii="Times New Roman" w:hAnsi="Times New Roman"/>
        </w:rPr>
        <w:t xml:space="preserve">povećali </w:t>
      </w:r>
      <w:r w:rsidR="00D46C68" w:rsidRPr="004E6412">
        <w:rPr>
          <w:rFonts w:ascii="Times New Roman" w:hAnsi="Times New Roman"/>
        </w:rPr>
        <w:t xml:space="preserve">su se za 11,31%, a devizni </w:t>
      </w:r>
      <w:r w:rsidRPr="004E6412">
        <w:rPr>
          <w:rFonts w:ascii="Times New Roman" w:hAnsi="Times New Roman"/>
        </w:rPr>
        <w:t>za 137,62%. Vrijednost deviznih kredita kroz oba promatrana razdoblja raste bržom stopom od kunskih kredita.</w:t>
      </w:r>
      <w:r w:rsidR="00E83F90" w:rsidRPr="004E6412">
        <w:rPr>
          <w:rFonts w:ascii="Times New Roman" w:hAnsi="Times New Roman"/>
        </w:rPr>
        <w:t xml:space="preserve"> Ukupan iznos kunskih kredita iznosio je 2.821.091,00 milijuna u 2012., a ukupan iznos deviznih kredita izno</w:t>
      </w:r>
      <w:r w:rsidR="00D46C68" w:rsidRPr="004E6412">
        <w:rPr>
          <w:rFonts w:ascii="Times New Roman" w:hAnsi="Times New Roman"/>
        </w:rPr>
        <w:t xml:space="preserve">sio je 588.791,60 milijuna </w:t>
      </w:r>
      <w:r w:rsidR="00E83F90" w:rsidRPr="004E6412">
        <w:rPr>
          <w:rFonts w:ascii="Times New Roman" w:hAnsi="Times New Roman"/>
        </w:rPr>
        <w:t xml:space="preserve">u 2012. </w:t>
      </w:r>
    </w:p>
    <w:p w:rsidR="00700AA0" w:rsidRPr="004E6412" w:rsidRDefault="00700AA0" w:rsidP="00700AA0">
      <w:pPr>
        <w:pStyle w:val="ListParagraph"/>
        <w:spacing w:after="0"/>
        <w:jc w:val="both"/>
        <w:rPr>
          <w:rFonts w:ascii="Times New Roman" w:hAnsi="Times New Roman"/>
        </w:rPr>
      </w:pPr>
    </w:p>
    <w:p w:rsidR="00E70081" w:rsidRPr="004E6412" w:rsidRDefault="0079518D" w:rsidP="00E70081">
      <w:pPr>
        <w:pStyle w:val="ListParagraph"/>
        <w:numPr>
          <w:ilvl w:val="0"/>
          <w:numId w:val="73"/>
        </w:numPr>
        <w:spacing w:after="0"/>
        <w:jc w:val="both"/>
        <w:rPr>
          <w:rFonts w:ascii="Times New Roman" w:hAnsi="Times New Roman"/>
        </w:rPr>
      </w:pPr>
      <w:r w:rsidRPr="004E6412">
        <w:rPr>
          <w:rFonts w:ascii="Times New Roman" w:hAnsi="Times New Roman"/>
        </w:rPr>
        <w:t>Iznos i</w:t>
      </w:r>
      <w:r w:rsidR="00E70081" w:rsidRPr="004E6412">
        <w:rPr>
          <w:rFonts w:ascii="Times New Roman" w:hAnsi="Times New Roman"/>
        </w:rPr>
        <w:t>zdani</w:t>
      </w:r>
      <w:r w:rsidRPr="004E6412">
        <w:rPr>
          <w:rFonts w:ascii="Times New Roman" w:hAnsi="Times New Roman"/>
        </w:rPr>
        <w:t>h</w:t>
      </w:r>
      <w:r w:rsidR="00E70081" w:rsidRPr="004E6412">
        <w:rPr>
          <w:rFonts w:ascii="Times New Roman" w:hAnsi="Times New Roman"/>
        </w:rPr>
        <w:t xml:space="preserve"> kunski</w:t>
      </w:r>
      <w:r w:rsidRPr="004E6412">
        <w:rPr>
          <w:rFonts w:ascii="Times New Roman" w:hAnsi="Times New Roman"/>
        </w:rPr>
        <w:t>h</w:t>
      </w:r>
      <w:r w:rsidR="00E70081" w:rsidRPr="004E6412">
        <w:rPr>
          <w:rFonts w:ascii="Times New Roman" w:hAnsi="Times New Roman"/>
        </w:rPr>
        <w:t xml:space="preserve"> kredit</w:t>
      </w:r>
      <w:r w:rsidRPr="004E6412">
        <w:rPr>
          <w:rFonts w:ascii="Times New Roman" w:hAnsi="Times New Roman"/>
        </w:rPr>
        <w:t>a</w:t>
      </w:r>
      <w:r w:rsidR="00E70081" w:rsidRPr="004E6412">
        <w:rPr>
          <w:rFonts w:ascii="Times New Roman" w:hAnsi="Times New Roman"/>
        </w:rPr>
        <w:t xml:space="preserve"> stanovništvu i nefinancijskom trgovačkom sektoru tijekom godina </w:t>
      </w:r>
      <w:r w:rsidRPr="004E6412">
        <w:rPr>
          <w:rFonts w:ascii="Times New Roman" w:hAnsi="Times New Roman"/>
        </w:rPr>
        <w:t>je</w:t>
      </w:r>
      <w:r w:rsidR="00E70081" w:rsidRPr="004E6412">
        <w:rPr>
          <w:rFonts w:ascii="Times New Roman" w:hAnsi="Times New Roman"/>
        </w:rPr>
        <w:t xml:space="preserve"> ras</w:t>
      </w:r>
      <w:r w:rsidRPr="004E6412">
        <w:rPr>
          <w:rFonts w:ascii="Times New Roman" w:hAnsi="Times New Roman"/>
        </w:rPr>
        <w:t>tao</w:t>
      </w:r>
      <w:r w:rsidR="00E70081" w:rsidRPr="004E6412">
        <w:rPr>
          <w:rFonts w:ascii="Times New Roman" w:hAnsi="Times New Roman"/>
        </w:rPr>
        <w:t xml:space="preserve">. Međutim, od 2009. godine rast se znatno usporio, da bi se u 2012. godini i </w:t>
      </w:r>
      <w:r w:rsidR="00D46C68" w:rsidRPr="004E6412">
        <w:rPr>
          <w:rFonts w:ascii="Times New Roman" w:hAnsi="Times New Roman"/>
        </w:rPr>
        <w:t xml:space="preserve">zaustavio. Od 2011. do 2012. </w:t>
      </w:r>
      <w:r w:rsidR="00E70081" w:rsidRPr="004E6412">
        <w:rPr>
          <w:rFonts w:ascii="Times New Roman" w:hAnsi="Times New Roman"/>
        </w:rPr>
        <w:t xml:space="preserve">kunski </w:t>
      </w:r>
      <w:r w:rsidR="00D46C68" w:rsidRPr="004E6412">
        <w:rPr>
          <w:rFonts w:ascii="Times New Roman" w:hAnsi="Times New Roman"/>
        </w:rPr>
        <w:t xml:space="preserve">su </w:t>
      </w:r>
      <w:r w:rsidR="00E70081" w:rsidRPr="004E6412">
        <w:rPr>
          <w:rFonts w:ascii="Times New Roman" w:hAnsi="Times New Roman"/>
        </w:rPr>
        <w:t>krediti stanovništvu povećani za svega 0,1%, dok su krediti nefinancijskom trgovačkom sektoru smanjeni za 0,16%.</w:t>
      </w:r>
    </w:p>
    <w:p w:rsidR="00D20BAA" w:rsidRPr="004E6412" w:rsidRDefault="00D20BAA" w:rsidP="009E3961">
      <w:pPr>
        <w:pStyle w:val="ListParagraph"/>
        <w:spacing w:after="0"/>
        <w:jc w:val="both"/>
        <w:rPr>
          <w:rFonts w:ascii="Times New Roman" w:hAnsi="Times New Roman"/>
        </w:rPr>
      </w:pPr>
    </w:p>
    <w:p w:rsidR="00E67FC4" w:rsidRPr="004E6412" w:rsidRDefault="00E67FC4" w:rsidP="009E3961">
      <w:pPr>
        <w:pStyle w:val="ListParagraph"/>
        <w:spacing w:after="0"/>
        <w:jc w:val="both"/>
        <w:rPr>
          <w:rFonts w:ascii="Times New Roman" w:hAnsi="Times New Roman"/>
        </w:rPr>
      </w:pPr>
    </w:p>
    <w:p w:rsidR="00E67FC4" w:rsidRPr="004E6412" w:rsidRDefault="00E67FC4" w:rsidP="00755B73">
      <w:pPr>
        <w:pStyle w:val="Subtitle"/>
        <w:rPr>
          <w:lang w:val="hr-HR"/>
        </w:rPr>
      </w:pPr>
    </w:p>
    <w:p w:rsidR="00E67FC4" w:rsidRPr="004E6412" w:rsidRDefault="00E67FC4" w:rsidP="00755B73">
      <w:pPr>
        <w:pStyle w:val="Subtitle"/>
        <w:rPr>
          <w:lang w:val="hr-HR"/>
        </w:rPr>
      </w:pPr>
    </w:p>
    <w:p w:rsidR="00E67FC4" w:rsidRDefault="00E67FC4" w:rsidP="00755B73">
      <w:pPr>
        <w:pStyle w:val="Subtitle"/>
        <w:rPr>
          <w:lang w:val="hr-HR"/>
        </w:rPr>
      </w:pPr>
    </w:p>
    <w:p w:rsidR="00522233" w:rsidRDefault="00522233" w:rsidP="00522233"/>
    <w:p w:rsidR="00522233" w:rsidRPr="00522233" w:rsidRDefault="00522233" w:rsidP="00522233"/>
    <w:p w:rsidR="00E67FC4" w:rsidRPr="004E6412" w:rsidRDefault="00E67FC4" w:rsidP="00755B73">
      <w:pPr>
        <w:pStyle w:val="Subtitle"/>
        <w:rPr>
          <w:lang w:val="hr-HR"/>
        </w:rPr>
      </w:pPr>
    </w:p>
    <w:p w:rsidR="00D20BAA" w:rsidRPr="004E6412" w:rsidRDefault="00D20BAA" w:rsidP="00755B73">
      <w:pPr>
        <w:pStyle w:val="Subtitle"/>
        <w:rPr>
          <w:rFonts w:eastAsia="HelveticaNeueLTPro-BdCn"/>
          <w:sz w:val="22"/>
          <w:lang w:val="hr-HR"/>
        </w:rPr>
      </w:pPr>
      <w:bookmarkStart w:id="63" w:name="_Toc377635335"/>
      <w:r w:rsidRPr="004E6412">
        <w:rPr>
          <w:lang w:val="hr-HR"/>
        </w:rPr>
        <w:lastRenderedPageBreak/>
        <w:t xml:space="preserve">Slika </w:t>
      </w:r>
      <w:r w:rsidR="00755B73" w:rsidRPr="004E6412">
        <w:rPr>
          <w:lang w:val="hr-HR"/>
        </w:rPr>
        <w:t>1</w:t>
      </w:r>
      <w:r w:rsidR="001E30D1" w:rsidRPr="004E6412">
        <w:rPr>
          <w:lang w:val="hr-HR"/>
        </w:rPr>
        <w:t>1</w:t>
      </w:r>
      <w:r w:rsidRPr="004E6412">
        <w:rPr>
          <w:rFonts w:eastAsia="Calibri"/>
          <w:lang w:val="hr-HR"/>
        </w:rPr>
        <w:t xml:space="preserve">. </w:t>
      </w:r>
      <w:r w:rsidRPr="004E6412">
        <w:rPr>
          <w:lang w:val="hr-HR"/>
        </w:rPr>
        <w:t xml:space="preserve">Distribucija kunskih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3"/>
    </w:p>
    <w:p w:rsidR="00D20BAA" w:rsidRPr="004E6412" w:rsidRDefault="001E199D" w:rsidP="00D20BAA">
      <w:pPr>
        <w:rPr>
          <w:sz w:val="22"/>
        </w:rPr>
      </w:pPr>
      <w:r w:rsidRPr="004E6412">
        <w:rPr>
          <w:noProof/>
          <w:sz w:val="22"/>
          <w:lang w:eastAsia="hr-HR"/>
        </w:rPr>
        <w:drawing>
          <wp:inline distT="0" distB="0" distL="0" distR="0" wp14:anchorId="6CC8B708" wp14:editId="6B229515">
            <wp:extent cx="5734812" cy="2746867"/>
            <wp:effectExtent l="6096" t="6104" r="7747" b="6104"/>
            <wp:docPr id="1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6D07FD" w:rsidRPr="004E6412" w:rsidRDefault="0079518D" w:rsidP="006D07FD">
      <w:pPr>
        <w:pStyle w:val="ListParagraph"/>
        <w:numPr>
          <w:ilvl w:val="0"/>
          <w:numId w:val="73"/>
        </w:numPr>
        <w:spacing w:after="0"/>
        <w:jc w:val="both"/>
        <w:rPr>
          <w:rFonts w:ascii="Times New Roman" w:hAnsi="Times New Roman"/>
        </w:rPr>
      </w:pPr>
      <w:r w:rsidRPr="004E6412">
        <w:rPr>
          <w:rFonts w:ascii="Times New Roman" w:hAnsi="Times New Roman"/>
        </w:rPr>
        <w:t>Iznos izdanih deviznih kredita nefinancijskom trgovačkom sektoru i središnjoj državi rastao je tijekom godina. Rast je posebice izražen od 2008. do 2012.</w:t>
      </w:r>
      <w:r w:rsidR="00B02488" w:rsidRPr="004E6412">
        <w:rPr>
          <w:rFonts w:ascii="Times New Roman" w:hAnsi="Times New Roman"/>
        </w:rPr>
        <w:t xml:space="preserve"> godine, a iznosio je 111,83%.</w:t>
      </w:r>
    </w:p>
    <w:p w:rsidR="006D07FD" w:rsidRPr="004E6412" w:rsidRDefault="006D07FD" w:rsidP="006D07FD">
      <w:pPr>
        <w:ind w:left="360"/>
      </w:pPr>
    </w:p>
    <w:p w:rsidR="006D07FD" w:rsidRPr="004E6412" w:rsidRDefault="006D07FD" w:rsidP="006D07FD">
      <w:pPr>
        <w:pStyle w:val="ListParagraph"/>
        <w:numPr>
          <w:ilvl w:val="0"/>
          <w:numId w:val="73"/>
        </w:numPr>
        <w:spacing w:after="0"/>
        <w:jc w:val="both"/>
        <w:rPr>
          <w:rFonts w:ascii="Times New Roman" w:hAnsi="Times New Roman"/>
        </w:rPr>
      </w:pPr>
      <w:r w:rsidRPr="004E6412">
        <w:rPr>
          <w:rFonts w:ascii="Times New Roman" w:hAnsi="Times New Roman"/>
        </w:rPr>
        <w:t>Isto vrijedi i za kredite središnjoj državi i fondovima socijalne sigurnosti, uz manji pad zabilježen samo u 2007. godini.</w:t>
      </w:r>
    </w:p>
    <w:p w:rsidR="00CD2B55" w:rsidRPr="004E6412" w:rsidRDefault="00CD2B55" w:rsidP="00CD2B55">
      <w:pPr>
        <w:pStyle w:val="ListParagraph"/>
        <w:spacing w:after="0"/>
        <w:jc w:val="both"/>
        <w:rPr>
          <w:rFonts w:ascii="Times New Roman" w:hAnsi="Times New Roman"/>
          <w:highlight w:val="yellow"/>
        </w:rPr>
      </w:pPr>
    </w:p>
    <w:p w:rsidR="0079518D" w:rsidRPr="004E6412" w:rsidRDefault="006D07FD" w:rsidP="0079518D">
      <w:pPr>
        <w:pStyle w:val="ListParagraph"/>
        <w:numPr>
          <w:ilvl w:val="0"/>
          <w:numId w:val="73"/>
        </w:numPr>
        <w:spacing w:after="0"/>
        <w:jc w:val="both"/>
        <w:rPr>
          <w:rFonts w:ascii="Times New Roman" w:hAnsi="Times New Roman"/>
        </w:rPr>
      </w:pPr>
      <w:r w:rsidRPr="004E6412">
        <w:rPr>
          <w:rFonts w:ascii="Times New Roman" w:hAnsi="Times New Roman"/>
        </w:rPr>
        <w:t>Povećani su i krediti stanovništvu, iako je njihova vrijednost</w:t>
      </w:r>
      <w:r w:rsidR="00D46C68" w:rsidRPr="004E6412">
        <w:rPr>
          <w:rFonts w:ascii="Times New Roman" w:hAnsi="Times New Roman"/>
        </w:rPr>
        <w:t xml:space="preserve"> tijekom</w:t>
      </w:r>
      <w:r w:rsidR="001445FA" w:rsidRPr="004E6412">
        <w:rPr>
          <w:rFonts w:ascii="Times New Roman" w:hAnsi="Times New Roman"/>
        </w:rPr>
        <w:t xml:space="preserve"> promatranih godina</w:t>
      </w:r>
      <w:r w:rsidRPr="004E6412">
        <w:rPr>
          <w:rFonts w:ascii="Times New Roman" w:hAnsi="Times New Roman"/>
        </w:rPr>
        <w:t xml:space="preserve"> činila manje od 1% ukupnih deviznih kredita</w:t>
      </w:r>
      <w:r w:rsidR="00D46C68" w:rsidRPr="004E6412">
        <w:rPr>
          <w:rFonts w:ascii="Times New Roman" w:hAnsi="Times New Roman"/>
        </w:rPr>
        <w:t>,</w:t>
      </w:r>
      <w:r w:rsidRPr="004E6412">
        <w:rPr>
          <w:rFonts w:ascii="Times New Roman" w:hAnsi="Times New Roman"/>
        </w:rPr>
        <w:t xml:space="preserve"> </w:t>
      </w:r>
      <w:r w:rsidR="001445FA" w:rsidRPr="004E6412">
        <w:rPr>
          <w:rFonts w:ascii="Times New Roman" w:hAnsi="Times New Roman"/>
        </w:rPr>
        <w:t>zbog čega</w:t>
      </w:r>
      <w:r w:rsidRPr="004E6412">
        <w:rPr>
          <w:rFonts w:ascii="Times New Roman" w:hAnsi="Times New Roman"/>
        </w:rPr>
        <w:t xml:space="preserve"> </w:t>
      </w:r>
      <w:r w:rsidR="001445FA" w:rsidRPr="004E6412">
        <w:rPr>
          <w:rFonts w:ascii="Times New Roman" w:hAnsi="Times New Roman"/>
        </w:rPr>
        <w:t>rast kredita stanovništvu ne čini značajnu razliku u promjeni ukupne vrijednosti deviznih kredita.</w:t>
      </w:r>
    </w:p>
    <w:p w:rsidR="00234105" w:rsidRPr="004E6412" w:rsidRDefault="00234105" w:rsidP="00D20BAA">
      <w:pPr>
        <w:rPr>
          <w:sz w:val="22"/>
        </w:rPr>
      </w:pPr>
    </w:p>
    <w:p w:rsidR="00234105" w:rsidRPr="004E6412" w:rsidRDefault="00234105" w:rsidP="00D20BAA">
      <w:pPr>
        <w:rPr>
          <w:sz w:val="22"/>
        </w:rPr>
      </w:pPr>
    </w:p>
    <w:p w:rsidR="00D20BAA" w:rsidRPr="004E6412" w:rsidRDefault="00D20BAA" w:rsidP="00755B73">
      <w:pPr>
        <w:pStyle w:val="Subtitle"/>
        <w:rPr>
          <w:rFonts w:eastAsia="HelveticaNeueLTPro-BdCn"/>
          <w:sz w:val="22"/>
          <w:lang w:val="hr-HR"/>
        </w:rPr>
      </w:pPr>
      <w:bookmarkStart w:id="64" w:name="_Toc377635336"/>
      <w:r w:rsidRPr="004E6412">
        <w:rPr>
          <w:lang w:val="hr-HR"/>
        </w:rPr>
        <w:t xml:space="preserve">Slika </w:t>
      </w:r>
      <w:r w:rsidR="00755B73" w:rsidRPr="004E6412">
        <w:rPr>
          <w:lang w:val="hr-HR"/>
        </w:rPr>
        <w:t>1</w:t>
      </w:r>
      <w:r w:rsidR="001E30D1" w:rsidRPr="004E6412">
        <w:rPr>
          <w:lang w:val="hr-HR"/>
        </w:rPr>
        <w:t>2</w:t>
      </w:r>
      <w:r w:rsidRPr="004E6412">
        <w:rPr>
          <w:rFonts w:eastAsia="Calibri"/>
          <w:lang w:val="hr-HR"/>
        </w:rPr>
        <w:t xml:space="preserve">. </w:t>
      </w:r>
      <w:r w:rsidRPr="004E6412">
        <w:rPr>
          <w:lang w:val="hr-HR"/>
        </w:rPr>
        <w:t xml:space="preserve">Distribucija deviznih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4"/>
    </w:p>
    <w:p w:rsidR="00D20BAA" w:rsidRPr="004E6412" w:rsidRDefault="001E199D" w:rsidP="00D20BAA">
      <w:pPr>
        <w:rPr>
          <w:sz w:val="22"/>
        </w:rPr>
      </w:pPr>
      <w:r w:rsidRPr="004E6412">
        <w:rPr>
          <w:noProof/>
          <w:sz w:val="22"/>
          <w:lang w:eastAsia="hr-HR"/>
        </w:rPr>
        <w:drawing>
          <wp:inline distT="0" distB="0" distL="0" distR="0" wp14:anchorId="28BE251E" wp14:editId="21A2A553">
            <wp:extent cx="5739257" cy="2340864"/>
            <wp:effectExtent l="6096" t="6096" r="3302" b="6350"/>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CD2B55" w:rsidRPr="004E6412" w:rsidRDefault="00CD2B55" w:rsidP="00CD2B55">
      <w:pPr>
        <w:pStyle w:val="ListParagraph"/>
        <w:numPr>
          <w:ilvl w:val="0"/>
          <w:numId w:val="73"/>
        </w:numPr>
        <w:spacing w:after="0"/>
        <w:jc w:val="both"/>
      </w:pPr>
      <w:r w:rsidRPr="004E6412">
        <w:rPr>
          <w:rFonts w:ascii="Times New Roman" w:hAnsi="Times New Roman"/>
        </w:rPr>
        <w:t xml:space="preserve">Prema strukturi kredita u 2012. godini, bez kredita bankama i drugim financijskim institucijama, 55,47% kunskih kredita otpada na kredite stanovništvu, dok na nefinancijska trgovačka društva (realni sektor) otpada 38,39%. Na trećem mjestu je središnja država sa </w:t>
      </w:r>
      <w:r w:rsidR="00D46C68" w:rsidRPr="004E6412">
        <w:rPr>
          <w:rFonts w:ascii="Times New Roman" w:hAnsi="Times New Roman"/>
        </w:rPr>
        <w:t>4,76%. Omjer je potpuno drukčiji</w:t>
      </w:r>
      <w:r w:rsidRPr="004E6412">
        <w:rPr>
          <w:rFonts w:ascii="Times New Roman" w:hAnsi="Times New Roman"/>
        </w:rPr>
        <w:t xml:space="preserve"> kod deviznih </w:t>
      </w:r>
      <w:r w:rsidR="00D46C68" w:rsidRPr="004E6412">
        <w:rPr>
          <w:rFonts w:ascii="Times New Roman" w:hAnsi="Times New Roman"/>
        </w:rPr>
        <w:t>kredita budući da</w:t>
      </w:r>
      <w:r w:rsidRPr="004E6412">
        <w:rPr>
          <w:rFonts w:ascii="Times New Roman" w:hAnsi="Times New Roman"/>
        </w:rPr>
        <w:t xml:space="preserve"> 56,15% otpada na kredite nefinancijskim trgovačkim društvima, 43,20% otpada na kredite središnjoj državi, dok je stan</w:t>
      </w:r>
      <w:r w:rsidR="00D46C68" w:rsidRPr="004E6412">
        <w:rPr>
          <w:rFonts w:ascii="Times New Roman" w:hAnsi="Times New Roman"/>
        </w:rPr>
        <w:t>ovništvo tek na trećem mjestu s</w:t>
      </w:r>
      <w:r w:rsidRPr="004E6412">
        <w:rPr>
          <w:rFonts w:ascii="Times New Roman" w:hAnsi="Times New Roman"/>
        </w:rPr>
        <w:t xml:space="preserve"> 0,65%.</w:t>
      </w:r>
    </w:p>
    <w:p w:rsidR="00D20BAA" w:rsidRPr="004E6412" w:rsidRDefault="00D20BAA" w:rsidP="00D20BAA">
      <w:pPr>
        <w:autoSpaceDE w:val="0"/>
        <w:autoSpaceDN w:val="0"/>
        <w:adjustRightInd w:val="0"/>
        <w:rPr>
          <w:rFonts w:eastAsia="HelveticaNeueLTPro-BdCn"/>
          <w:highlight w:val="yellow"/>
        </w:rPr>
      </w:pPr>
    </w:p>
    <w:p w:rsidR="006257DC" w:rsidRPr="007D0CFD" w:rsidRDefault="00CD2B55" w:rsidP="007D0CFD">
      <w:pPr>
        <w:pStyle w:val="Heading5"/>
        <w:rPr>
          <w:rStyle w:val="IntenseEmphasis"/>
          <w:b/>
          <w:bCs w:val="0"/>
          <w:iCs w:val="0"/>
          <w:color w:val="548DD4" w:themeColor="text2" w:themeTint="99"/>
          <w:sz w:val="20"/>
        </w:rPr>
      </w:pPr>
      <w:bookmarkStart w:id="65" w:name="_Toc377551018"/>
      <w:bookmarkStart w:id="66" w:name="_Toc377635207"/>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Udio kredita kreditnih institucija u ukupnim kreditima</w:t>
      </w:r>
      <w:r w:rsidR="00E83F90" w:rsidRPr="007D0CFD">
        <w:rPr>
          <w:rStyle w:val="IntenseEmphasis"/>
          <w:b/>
          <w:bCs w:val="0"/>
          <w:iCs w:val="0"/>
          <w:color w:val="548DD4" w:themeColor="text2" w:themeTint="99"/>
          <w:sz w:val="20"/>
        </w:rPr>
        <w:t xml:space="preserve"> kreditnih institucija</w:t>
      </w:r>
      <w:r w:rsidRPr="007D0CFD">
        <w:rPr>
          <w:rStyle w:val="IntenseEmphasis"/>
          <w:b/>
          <w:bCs w:val="0"/>
          <w:iCs w:val="0"/>
          <w:color w:val="548DD4" w:themeColor="text2" w:themeTint="99"/>
          <w:sz w:val="20"/>
        </w:rPr>
        <w:t>, 2012.*</w:t>
      </w:r>
      <w:bookmarkEnd w:id="65"/>
      <w:bookmarkEnd w:id="66"/>
    </w:p>
    <w:tbl>
      <w:tblPr>
        <w:tblW w:w="5000" w:type="pct"/>
        <w:tblLook w:val="04A0" w:firstRow="1" w:lastRow="0" w:firstColumn="1" w:lastColumn="0" w:noHBand="0" w:noVBand="1"/>
      </w:tblPr>
      <w:tblGrid>
        <w:gridCol w:w="5895"/>
        <w:gridCol w:w="1694"/>
        <w:gridCol w:w="1697"/>
      </w:tblGrid>
      <w:tr w:rsidR="00AE218E" w:rsidRPr="004E6412" w:rsidTr="0097195F">
        <w:trPr>
          <w:trHeight w:val="1149"/>
        </w:trPr>
        <w:tc>
          <w:tcPr>
            <w:tcW w:w="3174" w:type="pct"/>
            <w:tcBorders>
              <w:top w:val="single" w:sz="4" w:space="0" w:color="auto"/>
              <w:left w:val="single" w:sz="4" w:space="0" w:color="auto"/>
              <w:bottom w:val="single" w:sz="4" w:space="0" w:color="auto"/>
              <w:right w:val="nil"/>
            </w:tcBorders>
            <w:shd w:val="clear" w:color="auto" w:fill="D9D9D9"/>
            <w:noWrap/>
            <w:vAlign w:val="center"/>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b/>
                <w:bCs/>
                <w:sz w:val="20"/>
                <w:szCs w:val="20"/>
                <w:lang w:eastAsia="hr-HR"/>
              </w:rPr>
              <w:t>KUNSKI KREDITI (milijuni kuna)</w:t>
            </w:r>
          </w:p>
        </w:tc>
        <w:tc>
          <w:tcPr>
            <w:tcW w:w="912" w:type="pct"/>
            <w:tcBorders>
              <w:top w:val="single" w:sz="4" w:space="0" w:color="auto"/>
              <w:left w:val="single" w:sz="4" w:space="0" w:color="auto"/>
              <w:bottom w:val="single" w:sz="4" w:space="0" w:color="auto"/>
              <w:right w:val="single" w:sz="4" w:space="0" w:color="auto"/>
            </w:tcBorders>
            <w:shd w:val="clear" w:color="000000" w:fill="D8D8D8"/>
            <w:vAlign w:val="center"/>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w:t>
            </w:r>
            <w:r w:rsidR="00D46C68" w:rsidRPr="004E6412">
              <w:rPr>
                <w:rFonts w:eastAsia="Times New Roman"/>
                <w:sz w:val="20"/>
                <w:szCs w:val="20"/>
                <w:lang w:eastAsia="hr-HR"/>
              </w:rPr>
              <w:t>IO U UKUPNIM KUNSKIM KREDITIMA U</w:t>
            </w:r>
            <w:r w:rsidRPr="004E6412">
              <w:rPr>
                <w:rFonts w:eastAsia="Times New Roman"/>
                <w:sz w:val="20"/>
                <w:szCs w:val="20"/>
                <w:lang w:eastAsia="hr-HR"/>
              </w:rPr>
              <w:t xml:space="preserve"> 2012.</w:t>
            </w:r>
          </w:p>
        </w:tc>
        <w:tc>
          <w:tcPr>
            <w:tcW w:w="914" w:type="pct"/>
            <w:tcBorders>
              <w:top w:val="single" w:sz="4" w:space="0" w:color="auto"/>
              <w:left w:val="single" w:sz="4" w:space="0" w:color="auto"/>
              <w:bottom w:val="single" w:sz="4" w:space="0" w:color="auto"/>
              <w:right w:val="single" w:sz="4" w:space="0" w:color="auto"/>
            </w:tcBorders>
            <w:shd w:val="clear" w:color="000000" w:fill="D8D8D8"/>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UDI</w:t>
            </w:r>
            <w:r w:rsidR="00D46C68" w:rsidRPr="004E6412">
              <w:rPr>
                <w:rFonts w:eastAsia="Times New Roman"/>
                <w:sz w:val="20"/>
                <w:szCs w:val="20"/>
                <w:lang w:eastAsia="hr-HR"/>
              </w:rPr>
              <w:t>O U UKUPNIM DEVIZNIM KREDITIMA U</w:t>
            </w:r>
            <w:r w:rsidRPr="004E6412">
              <w:rPr>
                <w:rFonts w:eastAsia="Times New Roman"/>
                <w:sz w:val="20"/>
                <w:szCs w:val="20"/>
                <w:lang w:eastAsia="hr-HR"/>
              </w:rPr>
              <w:t xml:space="preserve"> 2012.</w:t>
            </w:r>
          </w:p>
        </w:tc>
      </w:tr>
      <w:tr w:rsidR="00AE218E" w:rsidRPr="004E6412" w:rsidTr="00F60896">
        <w:trPr>
          <w:trHeight w:val="225"/>
        </w:trPr>
        <w:tc>
          <w:tcPr>
            <w:tcW w:w="3174"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1. Krediti središnjoj državi i fondovima socijalne sigurnosti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4,76%</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43,20%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2. Krediti lokalnoj državi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1,38%</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0,00%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3. Krediti nefinancijskim trgovačkim društvima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38,39%</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56,15%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4. Krediti stanovništvu</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55,47%</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0,65%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b/>
                <w:bCs/>
                <w:sz w:val="20"/>
                <w:szCs w:val="20"/>
                <w:lang w:eastAsia="hr-HR"/>
              </w:rPr>
            </w:pPr>
            <w:r w:rsidRPr="004E6412">
              <w:rPr>
                <w:rFonts w:eastAsia="Times New Roman"/>
                <w:b/>
                <w:bCs/>
                <w:sz w:val="20"/>
                <w:szCs w:val="20"/>
                <w:lang w:eastAsia="hr-HR"/>
              </w:rPr>
              <w:t>Ukupno, bez kredita bankama i drugim financijskim institucijama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2.821.091 HRK</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588.792 HRK</w:t>
            </w:r>
          </w:p>
        </w:tc>
      </w:tr>
    </w:tbl>
    <w:p w:rsidR="00AE218E" w:rsidRPr="004E6412" w:rsidRDefault="00AE218E" w:rsidP="00CD2B55">
      <w:pPr>
        <w:rPr>
          <w:sz w:val="20"/>
          <w:szCs w:val="24"/>
        </w:rPr>
      </w:pPr>
    </w:p>
    <w:p w:rsidR="00CD2B55" w:rsidRPr="004E6412" w:rsidRDefault="00CD2B55" w:rsidP="00CD2B55">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CD2B55" w:rsidRPr="004E6412" w:rsidRDefault="00CD2B55" w:rsidP="00CD2B55">
      <w:pPr>
        <w:rPr>
          <w:sz w:val="22"/>
          <w:lang w:eastAsia="hr-HR"/>
        </w:rPr>
      </w:pPr>
      <w:r w:rsidRPr="004E6412">
        <w:rPr>
          <w:sz w:val="22"/>
          <w:lang w:eastAsia="hr-HR"/>
        </w:rPr>
        <w:t>*Gornja tablica ne uključuje kredite bankarskim i drugim financijskim institucijama.</w:t>
      </w:r>
    </w:p>
    <w:p w:rsidR="006257DC" w:rsidRPr="004E6412" w:rsidRDefault="006257DC" w:rsidP="00D20BAA"/>
    <w:p w:rsidR="00D20BAA" w:rsidRPr="004E6412" w:rsidRDefault="00D20BAA" w:rsidP="008A03D8">
      <w:pPr>
        <w:pStyle w:val="Heading4"/>
        <w:rPr>
          <w:rFonts w:eastAsia="HelveticaNeueLTPro-BdCn"/>
          <w:i/>
          <w:highlight w:val="yellow"/>
        </w:rPr>
      </w:pPr>
      <w:bookmarkStart w:id="67" w:name="_Toc372553998"/>
      <w:r w:rsidRPr="004E6412">
        <w:rPr>
          <w:rFonts w:eastAsia="HelveticaNeueLTPro-BdCn"/>
        </w:rPr>
        <w:t>Kamatne stope</w:t>
      </w:r>
      <w:bookmarkEnd w:id="67"/>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 xml:space="preserve">Kamatne stope na kredite </w:t>
      </w:r>
      <w:r w:rsidR="00D46C68" w:rsidRPr="004E6412">
        <w:rPr>
          <w:rFonts w:ascii="Times New Roman" w:hAnsi="Times New Roman"/>
        </w:rPr>
        <w:t>iz</w:t>
      </w:r>
      <w:r w:rsidRPr="004E6412">
        <w:rPr>
          <w:rFonts w:ascii="Times New Roman" w:hAnsi="Times New Roman"/>
        </w:rPr>
        <w:t>računate</w:t>
      </w:r>
      <w:r w:rsidR="008A03D8" w:rsidRPr="004E6412">
        <w:rPr>
          <w:rFonts w:ascii="Times New Roman" w:hAnsi="Times New Roman"/>
        </w:rPr>
        <w:t xml:space="preserve"> su</w:t>
      </w:r>
      <w:r w:rsidRPr="004E6412">
        <w:rPr>
          <w:rFonts w:ascii="Times New Roman" w:hAnsi="Times New Roman"/>
        </w:rPr>
        <w:t xml:space="preserve"> </w:t>
      </w:r>
      <w:r w:rsidR="00797F30" w:rsidRPr="004E6412">
        <w:rPr>
          <w:rFonts w:ascii="Times New Roman" w:hAnsi="Times New Roman"/>
        </w:rPr>
        <w:t>kao godišnji prosjek mjesečnih v</w:t>
      </w:r>
      <w:r w:rsidRPr="004E6412">
        <w:rPr>
          <w:rFonts w:ascii="Times New Roman" w:hAnsi="Times New Roman"/>
        </w:rPr>
        <w:t>aganih pro</w:t>
      </w:r>
      <w:r w:rsidR="004D38A5" w:rsidRPr="004E6412">
        <w:rPr>
          <w:rFonts w:ascii="Times New Roman" w:hAnsi="Times New Roman"/>
        </w:rPr>
        <w:t>sječnih kamatnih stopa za razdoblje</w:t>
      </w:r>
      <w:r w:rsidRPr="004E6412">
        <w:rPr>
          <w:rFonts w:ascii="Times New Roman" w:hAnsi="Times New Roman"/>
        </w:rPr>
        <w:t xml:space="preserve"> 2004. – 2012. Iznosi su izraženi u postocima.</w:t>
      </w:r>
    </w:p>
    <w:p w:rsidR="00D20BAA" w:rsidRPr="004E6412" w:rsidRDefault="00D20BAA" w:rsidP="00D20BAA">
      <w:pPr>
        <w:ind w:left="360"/>
      </w:pPr>
    </w:p>
    <w:p w:rsidR="001E30D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kunske kredite bez valutne klauzule kretale su se u rasponu od najnižih 7% zabilježenih u 2007. do najviših 10,04% zabilježenih u 2009</w:t>
      </w:r>
      <w:r w:rsidR="00D46C68" w:rsidRPr="004E6412">
        <w:rPr>
          <w:rFonts w:ascii="Times New Roman" w:hAnsi="Times New Roman"/>
        </w:rPr>
        <w:t>. za kratkoročne kredite, te od</w:t>
      </w:r>
      <w:r w:rsidRPr="004E6412">
        <w:rPr>
          <w:rFonts w:ascii="Times New Roman" w:hAnsi="Times New Roman"/>
        </w:rPr>
        <w:t xml:space="preserve"> najnižih 5,80% zabilježenih u 2011. do najviših 9,35% u 2009. za dugoročne kredite. Porast kamatnih stopa zabilježen je od 2007. do 2009., nakon čega slijedi pad.</w:t>
      </w:r>
    </w:p>
    <w:p w:rsidR="001E30D1" w:rsidRPr="004E6412" w:rsidRDefault="001E30D1" w:rsidP="00D20BAA">
      <w:pPr>
        <w:rPr>
          <w:sz w:val="22"/>
        </w:rPr>
      </w:pPr>
    </w:p>
    <w:p w:rsidR="00D20BAA" w:rsidRPr="004E6412" w:rsidRDefault="00D20BAA" w:rsidP="00755B73">
      <w:pPr>
        <w:pStyle w:val="Subtitle"/>
        <w:rPr>
          <w:rFonts w:eastAsia="HelveticaNeueLTPro-BdCn"/>
          <w:sz w:val="22"/>
          <w:lang w:val="hr-HR"/>
        </w:rPr>
      </w:pPr>
      <w:bookmarkStart w:id="68" w:name="_Toc377635337"/>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00661B08">
        <w:rPr>
          <w:noProof/>
          <w:lang w:val="hr-HR"/>
        </w:rPr>
        <w:t>1</w:t>
      </w:r>
      <w:r w:rsidR="00A36B38" w:rsidRPr="004E6412">
        <w:rPr>
          <w:lang w:val="hr-HR"/>
        </w:rPr>
        <w:fldChar w:fldCharType="end"/>
      </w:r>
      <w:r w:rsidR="001E30D1" w:rsidRPr="004E6412">
        <w:rPr>
          <w:lang w:val="hr-HR"/>
        </w:rPr>
        <w:t>3</w:t>
      </w:r>
      <w:r w:rsidRPr="004E6412">
        <w:rPr>
          <w:rFonts w:eastAsia="Calibri"/>
          <w:lang w:val="hr-HR"/>
        </w:rPr>
        <w:t xml:space="preserve">. </w:t>
      </w:r>
      <w:r w:rsidRPr="004E6412">
        <w:rPr>
          <w:lang w:val="hr-HR"/>
        </w:rPr>
        <w:t>Kamatne stope trgovačkim društvima na kunske kredite bez valutne klauzule, 2004. – 2012., godišnji prosjek</w:t>
      </w:r>
      <w:bookmarkEnd w:id="68"/>
    </w:p>
    <w:p w:rsidR="00D20BAA" w:rsidRPr="004E6412" w:rsidRDefault="001E199D" w:rsidP="00D20BAA">
      <w:pPr>
        <w:rPr>
          <w:sz w:val="22"/>
        </w:rPr>
      </w:pPr>
      <w:r w:rsidRPr="004E6412">
        <w:rPr>
          <w:noProof/>
          <w:sz w:val="22"/>
          <w:lang w:eastAsia="hr-HR"/>
        </w:rPr>
        <w:drawing>
          <wp:inline distT="0" distB="0" distL="0" distR="0" wp14:anchorId="77AD282E" wp14:editId="48EB7468">
            <wp:extent cx="5800211" cy="2139718"/>
            <wp:effectExtent l="6099" t="6087" r="5845" b="875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lastRenderedPageBreak/>
        <w:t>Kamatne stope trgovačkim društvima na kunske kredite s valutnom klauzulom kretale su se u rasponu od najnižih 6,23% zabilježenih u 2006. do najviših 8,02% zabilježenih u 2010</w:t>
      </w:r>
      <w:r w:rsidR="00D46C68" w:rsidRPr="004E6412">
        <w:rPr>
          <w:rFonts w:ascii="Times New Roman" w:hAnsi="Times New Roman"/>
        </w:rPr>
        <w:t>. za kratkoročne kredite, te od</w:t>
      </w:r>
      <w:r w:rsidRPr="004E6412">
        <w:rPr>
          <w:rFonts w:ascii="Times New Roman" w:hAnsi="Times New Roman"/>
        </w:rPr>
        <w:t xml:space="preserve"> najnižih 5,38% zabilježenih u 2005. do najviših 7,24% u 2010. za dugoročne kredite. </w:t>
      </w:r>
    </w:p>
    <w:p w:rsidR="000D5DC6" w:rsidRPr="004E6412" w:rsidRDefault="000D5DC6" w:rsidP="00D20BAA"/>
    <w:p w:rsidR="00D20BAA" w:rsidRPr="004E6412" w:rsidRDefault="00D20BAA" w:rsidP="00755B73">
      <w:pPr>
        <w:pStyle w:val="Subtitle"/>
        <w:rPr>
          <w:rFonts w:eastAsia="HelveticaNeueLTPro-BdCn"/>
          <w:sz w:val="22"/>
          <w:lang w:val="hr-HR"/>
        </w:rPr>
      </w:pPr>
      <w:bookmarkStart w:id="69" w:name="_Toc377635338"/>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00661B08">
        <w:rPr>
          <w:noProof/>
          <w:lang w:val="hr-HR"/>
        </w:rPr>
        <w:t>2</w:t>
      </w:r>
      <w:r w:rsidR="00A36B38" w:rsidRPr="004E6412">
        <w:rPr>
          <w:lang w:val="hr-HR"/>
        </w:rPr>
        <w:fldChar w:fldCharType="end"/>
      </w:r>
      <w:r w:rsidR="001E30D1" w:rsidRPr="004E6412">
        <w:rPr>
          <w:lang w:val="hr-HR"/>
        </w:rPr>
        <w:t>4</w:t>
      </w:r>
      <w:r w:rsidRPr="004E6412">
        <w:rPr>
          <w:rFonts w:eastAsia="Calibri"/>
          <w:lang w:val="hr-HR"/>
        </w:rPr>
        <w:t xml:space="preserve">. </w:t>
      </w:r>
      <w:r w:rsidRPr="004E6412">
        <w:rPr>
          <w:lang w:val="hr-HR"/>
        </w:rPr>
        <w:t>Kamatne stope trgovačkim društvima na kunske kredite s valutnom klauzulom, 2004. – 2012., godišnji prosjek</w:t>
      </w:r>
      <w:bookmarkEnd w:id="69"/>
    </w:p>
    <w:p w:rsidR="00D20BAA" w:rsidRPr="004E6412" w:rsidRDefault="001E199D" w:rsidP="00D20BAA">
      <w:pPr>
        <w:rPr>
          <w:sz w:val="22"/>
        </w:rPr>
      </w:pPr>
      <w:r w:rsidRPr="004E6412">
        <w:rPr>
          <w:noProof/>
          <w:sz w:val="22"/>
          <w:lang w:eastAsia="hr-HR"/>
        </w:rPr>
        <w:drawing>
          <wp:inline distT="0" distB="0" distL="0" distR="0" wp14:anchorId="0BDD91D3" wp14:editId="4E300F89">
            <wp:extent cx="5802753" cy="2068712"/>
            <wp:effectExtent l="6099" t="6092" r="3303" b="8631"/>
            <wp:docPr id="1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9E396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kredite u eurima kretale su se u rasponu od najnižih 5,58% zabilježenih u 2006. do najviših 7,44% zabilježenih u 2009</w:t>
      </w:r>
      <w:r w:rsidR="00D46C68" w:rsidRPr="004E6412">
        <w:rPr>
          <w:rFonts w:ascii="Times New Roman" w:hAnsi="Times New Roman"/>
        </w:rPr>
        <w:t>. za kratkoročne kredite, te od</w:t>
      </w:r>
      <w:r w:rsidRPr="004E6412">
        <w:rPr>
          <w:rFonts w:ascii="Times New Roman" w:hAnsi="Times New Roman"/>
        </w:rPr>
        <w:t xml:space="preserve"> najnižih 4,84% zabilježenih u 2005. do najviših 6,97% u 2009. za dugoročne kredite. Porast kamatnih stopa zabilježen je od 2005. do 2009., nakon čega slijedi pad.</w:t>
      </w:r>
    </w:p>
    <w:p w:rsidR="00CB2FA5" w:rsidRPr="004E6412" w:rsidRDefault="00CB2FA5" w:rsidP="001E30D1"/>
    <w:p w:rsidR="00D20BAA" w:rsidRPr="004E6412" w:rsidRDefault="00D20BAA" w:rsidP="00755B73">
      <w:pPr>
        <w:pStyle w:val="Subtitle"/>
        <w:rPr>
          <w:rFonts w:eastAsia="HelveticaNeueLTPro-BdCn"/>
          <w:sz w:val="22"/>
          <w:lang w:val="hr-HR"/>
        </w:rPr>
      </w:pPr>
      <w:bookmarkStart w:id="70" w:name="_Toc377635339"/>
      <w:r w:rsidRPr="004E6412">
        <w:rPr>
          <w:lang w:val="hr-HR"/>
        </w:rPr>
        <w:t xml:space="preserve">Slika </w:t>
      </w:r>
      <w:r w:rsidR="00755B73" w:rsidRPr="004E6412">
        <w:rPr>
          <w:lang w:val="hr-HR"/>
        </w:rPr>
        <w:t>1</w:t>
      </w:r>
      <w:r w:rsidR="001E30D1" w:rsidRPr="004E6412">
        <w:rPr>
          <w:lang w:val="hr-HR"/>
        </w:rPr>
        <w:t>5</w:t>
      </w:r>
      <w:r w:rsidRPr="004E6412">
        <w:rPr>
          <w:rFonts w:eastAsia="Calibri"/>
          <w:lang w:val="hr-HR"/>
        </w:rPr>
        <w:t xml:space="preserve">. </w:t>
      </w:r>
      <w:r w:rsidRPr="004E6412">
        <w:rPr>
          <w:lang w:val="hr-HR"/>
        </w:rPr>
        <w:t>Kamatne stope na kredite u eurima 2004. – 2012., godišnji prosjek</w:t>
      </w:r>
      <w:bookmarkEnd w:id="70"/>
    </w:p>
    <w:p w:rsidR="00D20BAA" w:rsidRPr="004E6412" w:rsidRDefault="001E199D" w:rsidP="00D20BAA">
      <w:pPr>
        <w:rPr>
          <w:sz w:val="22"/>
        </w:rPr>
      </w:pPr>
      <w:r w:rsidRPr="004E6412">
        <w:rPr>
          <w:noProof/>
          <w:sz w:val="22"/>
          <w:lang w:eastAsia="hr-HR"/>
        </w:rPr>
        <w:drawing>
          <wp:inline distT="0" distB="0" distL="0" distR="0" wp14:anchorId="24D0EA57" wp14:editId="7DBAD0D6">
            <wp:extent cx="5797304" cy="2239385"/>
            <wp:effectExtent l="6093" t="6099" r="8758" b="4956"/>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0BAA" w:rsidRPr="004E6412" w:rsidRDefault="00D20BAA" w:rsidP="00D20BAA">
      <w:pPr>
        <w:rPr>
          <w:sz w:val="20"/>
          <w:szCs w:val="24"/>
        </w:rPr>
      </w:pPr>
      <w:r w:rsidRPr="004E6412">
        <w:rPr>
          <w:sz w:val="20"/>
          <w:szCs w:val="24"/>
        </w:rPr>
        <w:t>Izvor: Hrvatska narodna banka. Dostupno na:  www.hnb.hr [11.7.2013.]; obrada autora.</w:t>
      </w:r>
    </w:p>
    <w:p w:rsidR="00D20BAA" w:rsidRPr="004E6412" w:rsidRDefault="00D20BAA" w:rsidP="00D20BAA">
      <w:pPr>
        <w:rPr>
          <w:sz w:val="22"/>
        </w:rPr>
      </w:pPr>
    </w:p>
    <w:p w:rsidR="00D20BAA" w:rsidRPr="004E6412" w:rsidRDefault="00D20BAA" w:rsidP="00D20BAA">
      <w:pPr>
        <w:rPr>
          <w:sz w:val="22"/>
          <w:highlight w:val="yellow"/>
        </w:rPr>
      </w:pPr>
    </w:p>
    <w:p w:rsidR="00D20BAA" w:rsidRPr="004E6412" w:rsidRDefault="00D20BAA" w:rsidP="00D246F9">
      <w:pPr>
        <w:pStyle w:val="Heading4"/>
        <w:rPr>
          <w:rFonts w:eastAsia="Calibri"/>
          <w:i/>
        </w:rPr>
      </w:pPr>
      <w:bookmarkStart w:id="71" w:name="_Toc372553999"/>
      <w:r w:rsidRPr="004E6412">
        <w:rPr>
          <w:rFonts w:eastAsia="Calibri"/>
        </w:rPr>
        <w:t>Zaposlenost</w:t>
      </w:r>
      <w:bookmarkEnd w:id="62"/>
      <w:bookmarkEnd w:id="71"/>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Podaci o radno sposobnom stanovništvu p</w:t>
      </w:r>
      <w:r w:rsidR="00140211" w:rsidRPr="004E6412">
        <w:rPr>
          <w:rFonts w:ascii="Times New Roman" w:hAnsi="Times New Roman"/>
        </w:rPr>
        <w:t>okazuju rast iz godine u godinu.</w:t>
      </w:r>
      <w:r w:rsidRPr="004E6412">
        <w:rPr>
          <w:rFonts w:ascii="Times New Roman" w:hAnsi="Times New Roman"/>
        </w:rPr>
        <w:t xml:space="preserve"> </w:t>
      </w:r>
      <w:r w:rsidR="00140211" w:rsidRPr="004E6412">
        <w:rPr>
          <w:rFonts w:ascii="Times New Roman" w:hAnsi="Times New Roman"/>
        </w:rPr>
        <w:t>M</w:t>
      </w:r>
      <w:r w:rsidRPr="004E6412">
        <w:rPr>
          <w:rFonts w:ascii="Times New Roman" w:hAnsi="Times New Roman"/>
        </w:rPr>
        <w:t>eđutim</w:t>
      </w:r>
      <w:r w:rsidR="00D46C68" w:rsidRPr="004E6412">
        <w:rPr>
          <w:rFonts w:ascii="Times New Roman" w:hAnsi="Times New Roman"/>
        </w:rPr>
        <w:t>,</w:t>
      </w:r>
      <w:r w:rsidRPr="004E6412">
        <w:rPr>
          <w:rFonts w:ascii="Times New Roman" w:hAnsi="Times New Roman"/>
        </w:rPr>
        <w:t xml:space="preserve"> aktivno </w:t>
      </w:r>
      <w:r w:rsidR="00D46C68" w:rsidRPr="004E6412">
        <w:rPr>
          <w:rFonts w:ascii="Times New Roman" w:hAnsi="Times New Roman"/>
        </w:rPr>
        <w:t xml:space="preserve">se </w:t>
      </w:r>
      <w:r w:rsidRPr="004E6412">
        <w:rPr>
          <w:rFonts w:ascii="Times New Roman" w:hAnsi="Times New Roman"/>
        </w:rPr>
        <w:t>stanovništvo</w:t>
      </w:r>
      <w:r w:rsidR="001445FA" w:rsidRPr="004E6412">
        <w:rPr>
          <w:rFonts w:ascii="Times New Roman" w:hAnsi="Times New Roman"/>
        </w:rPr>
        <w:t>, odnosno radna snaga,</w:t>
      </w:r>
      <w:r w:rsidR="00D46C68" w:rsidRPr="004E6412">
        <w:rPr>
          <w:rFonts w:ascii="Times New Roman" w:hAnsi="Times New Roman"/>
        </w:rPr>
        <w:t xml:space="preserve"> </w:t>
      </w:r>
      <w:r w:rsidRPr="004E6412">
        <w:rPr>
          <w:rFonts w:ascii="Times New Roman" w:hAnsi="Times New Roman"/>
        </w:rPr>
        <w:t xml:space="preserve">smanjuje. </w:t>
      </w:r>
      <w:r w:rsidR="00C91766" w:rsidRPr="004E6412">
        <w:rPr>
          <w:rFonts w:ascii="Times New Roman" w:hAnsi="Times New Roman"/>
        </w:rPr>
        <w:t>S druge strane, povećava</w:t>
      </w:r>
      <w:r w:rsidR="007143D9" w:rsidRPr="004E6412">
        <w:rPr>
          <w:rFonts w:ascii="Times New Roman" w:hAnsi="Times New Roman"/>
        </w:rPr>
        <w:t xml:space="preserve"> se</w:t>
      </w:r>
      <w:r w:rsidR="00C91766" w:rsidRPr="004E6412">
        <w:rPr>
          <w:rFonts w:ascii="Times New Roman" w:hAnsi="Times New Roman"/>
        </w:rPr>
        <w:t xml:space="preserve"> broj neaktivnog stanovništva starijeg od 15 godina, odnosno radno sposobnog s</w:t>
      </w:r>
      <w:r w:rsidR="00D46C68" w:rsidRPr="004E6412">
        <w:rPr>
          <w:rFonts w:ascii="Times New Roman" w:hAnsi="Times New Roman"/>
        </w:rPr>
        <w:t>tanovništva koje se ne vodi ni</w:t>
      </w:r>
      <w:r w:rsidR="00C91766" w:rsidRPr="004E6412">
        <w:rPr>
          <w:rFonts w:ascii="Times New Roman" w:hAnsi="Times New Roman"/>
        </w:rPr>
        <w:t xml:space="preserve"> kao zaposleno niti kao nezaposleno.</w:t>
      </w:r>
    </w:p>
    <w:p w:rsidR="00D20BAA" w:rsidRPr="004E6412" w:rsidRDefault="00D20BAA" w:rsidP="00D20BAA">
      <w:pPr>
        <w:rPr>
          <w:sz w:val="22"/>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lastRenderedPageBreak/>
        <w:t>Najveći broj zaposlenih u Hrvatskoj radi u pravnim osobama (82,7% u 2012.), zatim slijede zaposleni u obrtu i d</w:t>
      </w:r>
      <w:r w:rsidR="00D46C68" w:rsidRPr="004E6412">
        <w:rPr>
          <w:rFonts w:ascii="Times New Roman" w:hAnsi="Times New Roman"/>
        </w:rPr>
        <w:t>jelatnostima slobodnih zanimanja</w:t>
      </w:r>
      <w:r w:rsidRPr="004E6412">
        <w:rPr>
          <w:rFonts w:ascii="Times New Roman" w:hAnsi="Times New Roman"/>
        </w:rPr>
        <w:t xml:space="preserve"> (15,3% u 2012.), a najmanje os</w:t>
      </w:r>
      <w:r w:rsidR="00D46C68" w:rsidRPr="004E6412">
        <w:rPr>
          <w:rFonts w:ascii="Times New Roman" w:hAnsi="Times New Roman"/>
        </w:rPr>
        <w:t>oba je zaposleno kao osigurani</w:t>
      </w:r>
      <w:r w:rsidRPr="004E6412">
        <w:rPr>
          <w:rFonts w:ascii="Times New Roman" w:hAnsi="Times New Roman"/>
        </w:rPr>
        <w:t xml:space="preserve"> poljoprivrednici (2% u 2012.). </w:t>
      </w:r>
    </w:p>
    <w:p w:rsidR="00D20BAA" w:rsidRPr="004E6412" w:rsidRDefault="00D20BAA" w:rsidP="00D20BAA">
      <w:pPr>
        <w:pStyle w:val="ListParagraph"/>
        <w:rPr>
          <w:rFonts w:ascii="Times New Roman" w:hAnsi="Times New Roman"/>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U razdoblju 2008.</w:t>
      </w:r>
      <w:r w:rsidR="00D46C68" w:rsidRPr="004E6412">
        <w:rPr>
          <w:rFonts w:ascii="Times New Roman" w:hAnsi="Times New Roman"/>
        </w:rPr>
        <w:t xml:space="preserve"> – 2012.</w:t>
      </w:r>
      <w:r w:rsidRPr="004E6412">
        <w:rPr>
          <w:rFonts w:ascii="Times New Roman" w:hAnsi="Times New Roman"/>
        </w:rPr>
        <w:t xml:space="preserve"> broj radnih mjesta manji </w:t>
      </w:r>
      <w:r w:rsidR="00D46C68" w:rsidRPr="004E6412">
        <w:rPr>
          <w:rFonts w:ascii="Times New Roman" w:hAnsi="Times New Roman"/>
        </w:rPr>
        <w:t xml:space="preserve">je </w:t>
      </w:r>
      <w:r w:rsidRPr="004E6412">
        <w:rPr>
          <w:rFonts w:ascii="Times New Roman" w:hAnsi="Times New Roman"/>
        </w:rPr>
        <w:t>za</w:t>
      </w:r>
      <w:r w:rsidR="00140211" w:rsidRPr="004E6412">
        <w:rPr>
          <w:rFonts w:ascii="Times New Roman" w:hAnsi="Times New Roman"/>
        </w:rPr>
        <w:t xml:space="preserve"> ukupno</w:t>
      </w:r>
      <w:r w:rsidRPr="004E6412">
        <w:rPr>
          <w:rFonts w:ascii="Times New Roman" w:hAnsi="Times New Roman"/>
        </w:rPr>
        <w:t xml:space="preserve"> 159.884.</w:t>
      </w:r>
    </w:p>
    <w:p w:rsidR="00F607ED" w:rsidRPr="004E6412" w:rsidRDefault="00F607ED" w:rsidP="00D20BAA"/>
    <w:p w:rsidR="00D20BAA" w:rsidRPr="007D0CFD" w:rsidRDefault="00D20BAA" w:rsidP="007D0CFD">
      <w:pPr>
        <w:pStyle w:val="Heading5"/>
        <w:rPr>
          <w:rStyle w:val="IntenseEmphasis"/>
          <w:b/>
          <w:bCs w:val="0"/>
          <w:iCs w:val="0"/>
          <w:color w:val="548DD4" w:themeColor="text2" w:themeTint="99"/>
          <w:sz w:val="20"/>
        </w:rPr>
      </w:pPr>
      <w:bookmarkStart w:id="72" w:name="_Toc377551019"/>
      <w:bookmarkStart w:id="73" w:name="_Toc377635208"/>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Struktura radno sposobnog stanovništva, 2004. – 2012.</w:t>
      </w:r>
      <w:bookmarkEnd w:id="72"/>
      <w:bookmarkEnd w:id="73"/>
    </w:p>
    <w:tbl>
      <w:tblPr>
        <w:tblW w:w="5000" w:type="pct"/>
        <w:tblLayout w:type="fixed"/>
        <w:tblCellMar>
          <w:left w:w="57" w:type="dxa"/>
          <w:right w:w="57" w:type="dxa"/>
        </w:tblCellMar>
        <w:tblLook w:val="04A0" w:firstRow="1" w:lastRow="0" w:firstColumn="1" w:lastColumn="0" w:noHBand="0" w:noVBand="1"/>
      </w:tblPr>
      <w:tblGrid>
        <w:gridCol w:w="1050"/>
        <w:gridCol w:w="1271"/>
        <w:gridCol w:w="1493"/>
        <w:gridCol w:w="1264"/>
        <w:gridCol w:w="1139"/>
        <w:gridCol w:w="1139"/>
        <w:gridCol w:w="1828"/>
      </w:tblGrid>
      <w:tr w:rsidR="00D20BAA" w:rsidRPr="004E6412" w:rsidTr="00234105">
        <w:trPr>
          <w:trHeight w:val="22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RADNO SPOSOBNO STANOVNIŠTVO</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AKTIVNO STANOVNIŠTVO</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UKUPAN BROJ ZAPOSLENIH</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PRAVNIM OSOBAMA</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OBRTU I DJ. SLOB. ZANIM.</w:t>
            </w:r>
          </w:p>
        </w:tc>
        <w:tc>
          <w:tcPr>
            <w:tcW w:w="995"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OSIGURANICI POLJOPRIVREDNICI</w:t>
            </w:r>
          </w:p>
        </w:tc>
      </w:tr>
      <w:tr w:rsidR="00D20BAA" w:rsidRPr="004E6412" w:rsidTr="00234105">
        <w:trPr>
          <w:trHeight w:val="67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813"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995"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r>
      <w:tr w:rsidR="00D20BAA" w:rsidRPr="004E6412" w:rsidTr="00234105">
        <w:trPr>
          <w:trHeight w:val="225"/>
        </w:trPr>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258.000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3.657.000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1.555.000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3.708.000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3.752.000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3.777.000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1.724.500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221.000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1.719.440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1.395.116</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1.153.761</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213.453</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27.902</w:t>
            </w:r>
          </w:p>
        </w:tc>
      </w:tr>
      <w:tr w:rsidR="00D20BAA" w:rsidRPr="004E6412" w:rsidTr="00234105">
        <w:trPr>
          <w:trHeight w:val="675"/>
        </w:trPr>
        <w:tc>
          <w:tcPr>
            <w:tcW w:w="572"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2008. - 2012.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-65.560</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-159.884</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-98.239</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-51.547</w:t>
            </w:r>
          </w:p>
        </w:tc>
        <w:tc>
          <w:tcPr>
            <w:tcW w:w="995"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-10.098</w:t>
            </w:r>
          </w:p>
        </w:tc>
      </w:tr>
      <w:tr w:rsidR="00D20BAA" w:rsidRPr="004E6412" w:rsidTr="00234105">
        <w:trPr>
          <w:trHeight w:val="67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-19,45%</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-26,57%</w:t>
            </w:r>
          </w:p>
        </w:tc>
      </w:tr>
    </w:tbl>
    <w:p w:rsidR="00D20BAA" w:rsidRPr="004E6412" w:rsidRDefault="00D20BAA" w:rsidP="00D20BAA">
      <w:pPr>
        <w:rPr>
          <w:sz w:val="20"/>
          <w:szCs w:val="20"/>
        </w:rPr>
      </w:pPr>
      <w:r w:rsidRPr="004E6412">
        <w:rPr>
          <w:sz w:val="20"/>
          <w:szCs w:val="20"/>
        </w:rPr>
        <w:t>Izvor: Državni za</w:t>
      </w:r>
      <w:r w:rsidR="00D46C68" w:rsidRPr="004E6412">
        <w:rPr>
          <w:sz w:val="20"/>
          <w:szCs w:val="20"/>
        </w:rPr>
        <w:t>vod za statistiku. Dostupno na:</w:t>
      </w:r>
      <w:r w:rsidRPr="004E6412">
        <w:rPr>
          <w:sz w:val="20"/>
          <w:szCs w:val="20"/>
        </w:rPr>
        <w:t xml:space="preserve"> www.dzs.hr [11.7.2013.]; obrada aut</w:t>
      </w:r>
      <w:r w:rsidR="00FD773F" w:rsidRPr="004E6412">
        <w:rPr>
          <w:sz w:val="20"/>
          <w:szCs w:val="20"/>
        </w:rPr>
        <w:t>ora. Radno sposobno</w:t>
      </w:r>
      <w:r w:rsidRPr="004E6412">
        <w:rPr>
          <w:sz w:val="20"/>
          <w:szCs w:val="20"/>
        </w:rPr>
        <w:t xml:space="preserve"> i </w:t>
      </w:r>
      <w:r w:rsidR="00D46C68" w:rsidRPr="004E6412">
        <w:rPr>
          <w:sz w:val="20"/>
          <w:szCs w:val="20"/>
        </w:rPr>
        <w:t>aktivno stanovništvo prema anketi</w:t>
      </w:r>
      <w:r w:rsidRPr="004E6412">
        <w:rPr>
          <w:sz w:val="20"/>
          <w:szCs w:val="20"/>
        </w:rPr>
        <w:t xml:space="preserve"> o radnoj snazi. Ostali podaci </w:t>
      </w:r>
      <w:r w:rsidR="00FD773F" w:rsidRPr="004E6412">
        <w:rPr>
          <w:sz w:val="20"/>
          <w:szCs w:val="20"/>
        </w:rPr>
        <w:t xml:space="preserve">uzeti </w:t>
      </w:r>
      <w:r w:rsidRPr="004E6412">
        <w:rPr>
          <w:sz w:val="20"/>
          <w:szCs w:val="20"/>
        </w:rPr>
        <w:t>su iz administrativnih izvora.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szCs w:val="24"/>
        </w:rPr>
        <w:t>Broj zaposlenih u pravnim osobama kontinuirano se smanjuje od 2009.</w:t>
      </w:r>
      <w:r w:rsidR="00140211" w:rsidRPr="004E6412">
        <w:rPr>
          <w:rFonts w:ascii="Times New Roman" w:hAnsi="Times New Roman"/>
          <w:szCs w:val="24"/>
        </w:rPr>
        <w:t xml:space="preserve"> godine.</w:t>
      </w:r>
      <w:r w:rsidRPr="004E6412">
        <w:rPr>
          <w:rFonts w:ascii="Times New Roman" w:hAnsi="Times New Roman"/>
          <w:szCs w:val="24"/>
        </w:rPr>
        <w:t xml:space="preserve"> Najveći pad broja zaposlenih ostvaren je od 2009. do 2010. godine, kada je posao izgubilo 42.906 radnika, što je međugodišnje smanjenje od 3,54%.</w:t>
      </w:r>
    </w:p>
    <w:p w:rsidR="00D20BAA" w:rsidRPr="004E6412" w:rsidRDefault="00D20BAA" w:rsidP="00D20BAA"/>
    <w:p w:rsidR="00D20BAA" w:rsidRPr="004E6412" w:rsidRDefault="00D20BAA" w:rsidP="00D20BAA"/>
    <w:p w:rsidR="00D20BAA" w:rsidRPr="004E6412" w:rsidRDefault="00D20BAA" w:rsidP="00140211">
      <w:pPr>
        <w:pStyle w:val="Heading4"/>
        <w:rPr>
          <w:rFonts w:eastAsia="Calibri"/>
          <w:i/>
        </w:rPr>
      </w:pPr>
      <w:bookmarkStart w:id="74" w:name="_Toc372308888"/>
      <w:bookmarkStart w:id="75" w:name="_Toc372554000"/>
      <w:r w:rsidRPr="004E6412">
        <w:rPr>
          <w:rFonts w:eastAsia="Calibri"/>
        </w:rPr>
        <w:t>Nezaposlenost</w:t>
      </w:r>
      <w:bookmarkEnd w:id="74"/>
      <w:bookmarkEnd w:id="75"/>
    </w:p>
    <w:p w:rsidR="00D20BAA" w:rsidRPr="004E6412" w:rsidRDefault="00D20BAA" w:rsidP="00D20BAA">
      <w:pPr>
        <w:pStyle w:val="ListParagraph"/>
        <w:numPr>
          <w:ilvl w:val="0"/>
          <w:numId w:val="74"/>
        </w:numPr>
        <w:autoSpaceDE w:val="0"/>
        <w:autoSpaceDN w:val="0"/>
        <w:adjustRightInd w:val="0"/>
        <w:spacing w:after="0"/>
        <w:jc w:val="both"/>
        <w:rPr>
          <w:rFonts w:ascii="Times New Roman" w:hAnsi="Times New Roman"/>
        </w:rPr>
      </w:pPr>
      <w:r w:rsidRPr="004E6412">
        <w:rPr>
          <w:rFonts w:ascii="Times New Roman" w:eastAsia="HelveticaNeueLTPro-BdCn" w:hAnsi="Times New Roman"/>
        </w:rPr>
        <w:t>Anketna stopa nezaposlenosti, koja se smatra realnijim prikazom stvarno nezaposlen</w:t>
      </w:r>
      <w:r w:rsidR="00FD773F" w:rsidRPr="004E6412">
        <w:rPr>
          <w:rFonts w:ascii="Times New Roman" w:eastAsia="HelveticaNeueLTPro-BdCn" w:hAnsi="Times New Roman"/>
        </w:rPr>
        <w:t>ih osoba i koja je usporediva među različitim zemljama, iznosila je 15,9%.</w:t>
      </w:r>
      <w:r w:rsidRPr="004E6412">
        <w:rPr>
          <w:rFonts w:ascii="Times New Roman" w:eastAsia="HelveticaNeueLTPro-BdCn" w:hAnsi="Times New Roman"/>
        </w:rPr>
        <w:t xml:space="preserve"> </w:t>
      </w:r>
      <w:r w:rsidRPr="004E6412">
        <w:rPr>
          <w:rFonts w:ascii="Times New Roman" w:hAnsi="Times New Roman"/>
        </w:rPr>
        <w:t>Broj nezaposlenih se</w:t>
      </w:r>
      <w:r w:rsidR="00E84A18" w:rsidRPr="004E6412">
        <w:rPr>
          <w:rFonts w:ascii="Times New Roman" w:hAnsi="Times New Roman"/>
        </w:rPr>
        <w:t xml:space="preserve"> od 2008. do 2012. godine povećao sa 149.000</w:t>
      </w:r>
      <w:r w:rsidRPr="004E6412">
        <w:rPr>
          <w:rFonts w:ascii="Times New Roman" w:hAnsi="Times New Roman"/>
        </w:rPr>
        <w:t xml:space="preserve"> na 272.000., odnosno za visokih 82,55%. </w:t>
      </w:r>
    </w:p>
    <w:p w:rsidR="008E798D" w:rsidRPr="004E6412" w:rsidRDefault="008E798D" w:rsidP="00D20BAA">
      <w:pPr>
        <w:autoSpaceDE w:val="0"/>
        <w:autoSpaceDN w:val="0"/>
        <w:adjustRightInd w:val="0"/>
      </w:pP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76" w:name="_Toc377551020"/>
      <w:bookmarkStart w:id="77" w:name="_Toc377635209"/>
      <w:r w:rsidRPr="007D0CFD">
        <w:rPr>
          <w:rStyle w:val="IntenseEmphasis"/>
          <w:b/>
          <w:bCs w:val="0"/>
          <w:iCs w:val="0"/>
          <w:color w:val="548DD4" w:themeColor="text2" w:themeTint="99"/>
          <w:sz w:val="20"/>
        </w:rPr>
        <w:t>Tablica</w:t>
      </w:r>
      <w:r w:rsidR="00A23CB5" w:rsidRPr="007D0CFD">
        <w:rPr>
          <w:rStyle w:val="IntenseEmphasis"/>
          <w:b/>
          <w:bCs w:val="0"/>
          <w:iCs w:val="0"/>
          <w:color w:val="548DD4" w:themeColor="text2" w:themeTint="99"/>
          <w:sz w:val="20"/>
        </w:rPr>
        <w:t xml:space="preserve"> </w:t>
      </w:r>
      <w:smartTag w:uri="urn:schemas-microsoft-com:office:smarttags" w:element="metricconverter">
        <w:smartTagPr>
          <w:attr w:name="ProductID" w:val="8. Stope"/>
        </w:smartTagPr>
        <w:r w:rsidR="005C3AEC"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Stope</w:t>
        </w:r>
      </w:smartTag>
      <w:r w:rsidRPr="007D0CFD">
        <w:rPr>
          <w:rStyle w:val="IntenseEmphasis"/>
          <w:b/>
          <w:bCs w:val="0"/>
          <w:iCs w:val="0"/>
          <w:color w:val="548DD4" w:themeColor="text2" w:themeTint="99"/>
          <w:sz w:val="20"/>
        </w:rPr>
        <w:t xml:space="preserve"> nezaposlenosti prema anketi o radnoj snazi</w:t>
      </w:r>
      <w:bookmarkEnd w:id="76"/>
      <w:bookmarkEnd w:id="77"/>
    </w:p>
    <w:tbl>
      <w:tblPr>
        <w:tblW w:w="5000" w:type="pct"/>
        <w:tblLook w:val="04A0" w:firstRow="1" w:lastRow="0" w:firstColumn="1" w:lastColumn="0" w:noHBand="0" w:noVBand="1"/>
      </w:tblPr>
      <w:tblGrid>
        <w:gridCol w:w="1087"/>
        <w:gridCol w:w="1087"/>
        <w:gridCol w:w="1086"/>
        <w:gridCol w:w="923"/>
        <w:gridCol w:w="923"/>
        <w:gridCol w:w="923"/>
        <w:gridCol w:w="1086"/>
        <w:gridCol w:w="1086"/>
        <w:gridCol w:w="1085"/>
      </w:tblGrid>
      <w:tr w:rsidR="00D20BAA" w:rsidRPr="004E6412" w:rsidTr="000D5DC6">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bottom"/>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STOPE NEZAPOSLENOSTI PREMA ANKETI O RADNOJ SNAZI</w:t>
            </w:r>
          </w:p>
        </w:tc>
      </w:tr>
      <w:tr w:rsidR="00D20BAA" w:rsidRPr="004E6412" w:rsidTr="000D5DC6">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r>
      <w:tr w:rsidR="00D20BAA" w:rsidRPr="004E6412" w:rsidTr="000D5DC6">
        <w:trPr>
          <w:trHeight w:val="315"/>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15,90%</w:t>
            </w:r>
          </w:p>
        </w:tc>
      </w:tr>
    </w:tbl>
    <w:p w:rsidR="00D20BAA" w:rsidRPr="004E6412" w:rsidRDefault="00D20BAA" w:rsidP="00D20BAA">
      <w:pPr>
        <w:autoSpaceDE w:val="0"/>
        <w:autoSpaceDN w:val="0"/>
        <w:adjustRightInd w:val="0"/>
        <w:rPr>
          <w:sz w:val="20"/>
          <w:szCs w:val="20"/>
        </w:rPr>
      </w:pPr>
      <w:r w:rsidRPr="004E6412">
        <w:rPr>
          <w:sz w:val="20"/>
          <w:szCs w:val="20"/>
        </w:rPr>
        <w:t>Izvor: Državni za</w:t>
      </w:r>
      <w:r w:rsidR="00FD773F" w:rsidRPr="004E6412">
        <w:rPr>
          <w:sz w:val="20"/>
          <w:szCs w:val="20"/>
        </w:rPr>
        <w:t>vod za statistiku. Dostupno na:</w:t>
      </w:r>
      <w:r w:rsidRPr="004E6412">
        <w:rPr>
          <w:sz w:val="20"/>
          <w:szCs w:val="20"/>
        </w:rPr>
        <w:t xml:space="preserve"> www.dzs.hr [11.7.2013.]; obrada autora.</w:t>
      </w:r>
    </w:p>
    <w:p w:rsidR="008E798D" w:rsidRPr="004E6412" w:rsidRDefault="008E798D" w:rsidP="00D20BAA">
      <w:pPr>
        <w:autoSpaceDE w:val="0"/>
        <w:autoSpaceDN w:val="0"/>
        <w:adjustRightInd w:val="0"/>
        <w:rPr>
          <w:rFonts w:eastAsia="HelveticaNeueLTPro-BdCn"/>
          <w:highlight w:val="yellow"/>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szCs w:val="24"/>
        </w:rPr>
        <w:t>Gledajući po godinama, stopa anketn</w:t>
      </w:r>
      <w:r w:rsidR="00FD773F" w:rsidRPr="004E6412">
        <w:rPr>
          <w:rFonts w:ascii="Times New Roman" w:eastAsia="HelveticaNeueLTPro-BdCn" w:hAnsi="Times New Roman"/>
          <w:szCs w:val="24"/>
        </w:rPr>
        <w:t xml:space="preserve">e nezaposlenosti u Hrvatskoj </w:t>
      </w:r>
      <w:r w:rsidRPr="004E6412">
        <w:rPr>
          <w:rFonts w:ascii="Times New Roman" w:eastAsia="HelveticaNeueLTPro-BdCn" w:hAnsi="Times New Roman"/>
          <w:szCs w:val="24"/>
        </w:rPr>
        <w:t xml:space="preserve">bila </w:t>
      </w:r>
      <w:r w:rsidR="00FD773F" w:rsidRPr="004E6412">
        <w:rPr>
          <w:rFonts w:ascii="Times New Roman" w:eastAsia="HelveticaNeueLTPro-BdCn" w:hAnsi="Times New Roman"/>
          <w:szCs w:val="24"/>
        </w:rPr>
        <w:t xml:space="preserve">je </w:t>
      </w:r>
      <w:r w:rsidRPr="004E6412">
        <w:rPr>
          <w:rFonts w:ascii="Times New Roman" w:eastAsia="HelveticaNeueLTPro-BdCn" w:hAnsi="Times New Roman"/>
          <w:szCs w:val="24"/>
        </w:rPr>
        <w:t xml:space="preserve">najniža </w:t>
      </w:r>
      <w:r w:rsidR="00E84A18" w:rsidRPr="004E6412">
        <w:rPr>
          <w:rFonts w:ascii="Times New Roman" w:eastAsia="HelveticaNeueLTPro-BdCn" w:hAnsi="Times New Roman"/>
          <w:szCs w:val="24"/>
        </w:rPr>
        <w:t>u</w:t>
      </w:r>
      <w:r w:rsidRPr="004E6412">
        <w:rPr>
          <w:rFonts w:ascii="Times New Roman" w:eastAsia="HelveticaNeueLTPro-BdCn" w:hAnsi="Times New Roman"/>
          <w:szCs w:val="24"/>
        </w:rPr>
        <w:t xml:space="preserve"> 2008. </w:t>
      </w:r>
      <w:r w:rsidR="00E84A18" w:rsidRPr="004E6412">
        <w:rPr>
          <w:rFonts w:ascii="Times New Roman" w:eastAsia="HelveticaNeueLTPro-BdCn" w:hAnsi="Times New Roman"/>
          <w:szCs w:val="24"/>
        </w:rPr>
        <w:t>godini.</w:t>
      </w:r>
      <w:r w:rsidR="000D5DC6" w:rsidRPr="004E6412">
        <w:rPr>
          <w:rFonts w:ascii="Times New Roman" w:eastAsia="HelveticaNeueLTPro-BdCn" w:hAnsi="Times New Roman"/>
          <w:szCs w:val="24"/>
        </w:rPr>
        <w:t xml:space="preserve"> </w:t>
      </w:r>
      <w:r w:rsidR="00FD773F" w:rsidRPr="004E6412">
        <w:rPr>
          <w:rFonts w:ascii="Times New Roman" w:eastAsia="HelveticaNeueLTPro-BdCn" w:hAnsi="Times New Roman"/>
          <w:szCs w:val="24"/>
        </w:rPr>
        <w:t>U 2012. godini s</w:t>
      </w:r>
      <w:r w:rsidR="000D5DC6" w:rsidRPr="004E6412">
        <w:rPr>
          <w:rFonts w:ascii="Times New Roman" w:eastAsia="HelveticaNeueLTPro-BdCn" w:hAnsi="Times New Roman"/>
          <w:szCs w:val="24"/>
        </w:rPr>
        <w:t>topa nezaposlenos</w:t>
      </w:r>
      <w:r w:rsidR="00FD773F" w:rsidRPr="004E6412">
        <w:rPr>
          <w:rFonts w:ascii="Times New Roman" w:eastAsia="HelveticaNeueLTPro-BdCn" w:hAnsi="Times New Roman"/>
          <w:szCs w:val="24"/>
        </w:rPr>
        <w:t>ti u Hrvatskoj je</w:t>
      </w:r>
      <w:r w:rsidR="000D5DC6" w:rsidRPr="004E6412">
        <w:rPr>
          <w:rFonts w:ascii="Times New Roman" w:eastAsia="HelveticaNeueLTPro-BdCn" w:hAnsi="Times New Roman"/>
          <w:szCs w:val="24"/>
        </w:rPr>
        <w:t xml:space="preserve"> 89,29% veća nego što je bila u 2008.</w:t>
      </w:r>
    </w:p>
    <w:p w:rsidR="00D20BAA" w:rsidRPr="004E6412" w:rsidRDefault="00D20BAA" w:rsidP="00D20BAA">
      <w:pPr>
        <w:autoSpaceDE w:val="0"/>
        <w:autoSpaceDN w:val="0"/>
        <w:adjustRightInd w:val="0"/>
        <w:rPr>
          <w:rFonts w:eastAsia="HelveticaNeueLTPro-BdCn"/>
        </w:rPr>
      </w:pPr>
    </w:p>
    <w:p w:rsidR="00D20BAA" w:rsidRPr="004E6412" w:rsidRDefault="00E84A18"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lastRenderedPageBreak/>
        <w:t>U svim zemljama članicama EU28 anketna</w:t>
      </w:r>
      <w:r w:rsidR="00D20BAA" w:rsidRPr="004E6412">
        <w:rPr>
          <w:rFonts w:ascii="Times New Roman" w:eastAsia="HelveticaNeueLTPro-BdCn" w:hAnsi="Times New Roman"/>
        </w:rPr>
        <w:t xml:space="preserve"> stop</w:t>
      </w:r>
      <w:r w:rsidR="00250C6C" w:rsidRPr="004E6412">
        <w:rPr>
          <w:rFonts w:ascii="Times New Roman" w:eastAsia="HelveticaNeueLTPro-BdCn" w:hAnsi="Times New Roman"/>
        </w:rPr>
        <w:t>a</w:t>
      </w:r>
      <w:r w:rsidR="00D20BAA" w:rsidRPr="004E6412">
        <w:rPr>
          <w:rFonts w:ascii="Times New Roman" w:eastAsia="HelveticaNeueLTPro-BdCn" w:hAnsi="Times New Roman"/>
        </w:rPr>
        <w:t xml:space="preserve"> nezaposlenosti</w:t>
      </w:r>
      <w:r w:rsidRPr="004E6412">
        <w:rPr>
          <w:rFonts w:ascii="Times New Roman" w:eastAsia="HelveticaNeueLTPro-BdCn" w:hAnsi="Times New Roman"/>
        </w:rPr>
        <w:t xml:space="preserve"> u razdoblju od 2008. do </w:t>
      </w:r>
      <w:r w:rsidR="00D20BAA" w:rsidRPr="004E6412">
        <w:rPr>
          <w:rFonts w:ascii="Times New Roman" w:eastAsia="HelveticaNeueLTPro-BdCn" w:hAnsi="Times New Roman"/>
        </w:rPr>
        <w:t>2012.</w:t>
      </w:r>
      <w:r w:rsidRPr="004E6412">
        <w:rPr>
          <w:rFonts w:ascii="Times New Roman" w:eastAsia="HelveticaNeueLTPro-BdCn" w:hAnsi="Times New Roman"/>
        </w:rPr>
        <w:t xml:space="preserve"> se povećala.</w:t>
      </w:r>
      <w:r w:rsidR="00FD773F" w:rsidRPr="004E6412">
        <w:rPr>
          <w:rFonts w:ascii="Times New Roman" w:eastAsia="HelveticaNeueLTPro-BdCn" w:hAnsi="Times New Roman"/>
        </w:rPr>
        <w:t xml:space="preserve"> Hrvatska je s</w:t>
      </w:r>
      <w:r w:rsidR="00D20BAA" w:rsidRPr="004E6412">
        <w:rPr>
          <w:rFonts w:ascii="Times New Roman" w:eastAsia="HelveticaNeueLTPro-BdCn" w:hAnsi="Times New Roman"/>
        </w:rPr>
        <w:t xml:space="preserve"> anketnom stopom nezaposlenosti od 15,90% u 2012. godini bila na trećem mjestu među EU28 zemljama. Višu stopu nezaposlenosti imale su samo Španjolska i Grčka.</w:t>
      </w:r>
    </w:p>
    <w:p w:rsidR="00D20BAA" w:rsidRPr="004E6412" w:rsidRDefault="00D20BAA" w:rsidP="00D20BAA">
      <w:pPr>
        <w:autoSpaceDE w:val="0"/>
        <w:autoSpaceDN w:val="0"/>
        <w:adjustRightInd w:val="0"/>
        <w:rPr>
          <w:rFonts w:eastAsia="HelveticaNeueLTPro-BdCn"/>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Administrativna stopa nezaposlenosti je prema podacima Hrvatskog zavoda za zapošljavanje (HZZ) u 2012. iznosila 18,9% (prosjek mjesečnih vrijednosti u 2012.). </w:t>
      </w:r>
      <w:r w:rsidRPr="004E6412">
        <w:rPr>
          <w:rFonts w:ascii="Times New Roman" w:eastAsia="HelveticaNeueLTPro-BdCn" w:hAnsi="Times New Roman"/>
          <w:szCs w:val="24"/>
        </w:rPr>
        <w:t>Prema administrativnim izvorima, broj nezaposlenih osoba se u Hrvatskoj od 2008. do 2012. povećao za 58.136 ili 24.</w:t>
      </w:r>
      <w:r w:rsidR="007712F9" w:rsidRPr="004E6412">
        <w:rPr>
          <w:rFonts w:ascii="Times New Roman" w:eastAsia="HelveticaNeueLTPro-BdCn" w:hAnsi="Times New Roman"/>
          <w:szCs w:val="24"/>
        </w:rPr>
        <w:t>56%. Ukupan broj nezaposlenih</w:t>
      </w:r>
      <w:r w:rsidRPr="004E6412">
        <w:rPr>
          <w:rFonts w:ascii="Times New Roman" w:eastAsia="HelveticaNeueLTPro-BdCn" w:hAnsi="Times New Roman"/>
          <w:szCs w:val="24"/>
        </w:rPr>
        <w:t xml:space="preserve"> u 2012. godini iznosio</w:t>
      </w:r>
      <w:r w:rsidR="007712F9" w:rsidRPr="004E6412">
        <w:rPr>
          <w:rFonts w:ascii="Times New Roman" w:eastAsia="HelveticaNeueLTPro-BdCn" w:hAnsi="Times New Roman"/>
          <w:szCs w:val="24"/>
        </w:rPr>
        <w:t xml:space="preserve"> je</w:t>
      </w:r>
      <w:r w:rsidRPr="004E6412">
        <w:rPr>
          <w:rFonts w:ascii="Times New Roman" w:eastAsia="HelveticaNeueLTPro-BdCn" w:hAnsi="Times New Roman"/>
          <w:szCs w:val="24"/>
        </w:rPr>
        <w:t xml:space="preserve"> 324.324 osoba.</w:t>
      </w:r>
      <w:bookmarkStart w:id="78" w:name="_Toc366056520"/>
      <w:bookmarkStart w:id="79" w:name="_Toc366154246"/>
      <w:bookmarkStart w:id="80" w:name="_Toc366154364"/>
      <w:bookmarkStart w:id="81" w:name="_Toc366409906"/>
    </w:p>
    <w:p w:rsidR="00F102ED" w:rsidRPr="004E6412" w:rsidRDefault="00F102ED" w:rsidP="00F102ED">
      <w:pPr>
        <w:pStyle w:val="ListParagraph"/>
        <w:rPr>
          <w:rFonts w:ascii="Times New Roman" w:eastAsia="HelveticaNeueLTPro-BdCn" w:hAnsi="Times New Roman"/>
        </w:rPr>
      </w:pPr>
    </w:p>
    <w:p w:rsidR="00F102ED" w:rsidRPr="004E6412" w:rsidRDefault="00F102ED"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Broj nezaposlenih krajem rujna 2013. godine iznosio je 344.444, što je za 3,3% više nego krajem rujna 2012. godine. </w:t>
      </w:r>
    </w:p>
    <w:p w:rsidR="00D20BAA" w:rsidRPr="004E6412" w:rsidRDefault="00D20BAA" w:rsidP="00D20BAA">
      <w:pPr>
        <w:rPr>
          <w:rFonts w:eastAsia="HelveticaNeueLTPro-BdCn"/>
          <w:sz w:val="22"/>
        </w:rPr>
      </w:pPr>
    </w:p>
    <w:bookmarkEnd w:id="78"/>
    <w:bookmarkEnd w:id="79"/>
    <w:bookmarkEnd w:id="80"/>
    <w:bookmarkEnd w:id="81"/>
    <w:p w:rsidR="00D20BAA" w:rsidRPr="004E6412" w:rsidRDefault="00D20BAA" w:rsidP="00D20BAA">
      <w:pPr>
        <w:rPr>
          <w:szCs w:val="24"/>
        </w:rPr>
      </w:pPr>
    </w:p>
    <w:p w:rsidR="00CF12DA" w:rsidRPr="004E6412" w:rsidRDefault="00D20BAA" w:rsidP="00CF12DA">
      <w:pPr>
        <w:pStyle w:val="Heading4"/>
        <w:rPr>
          <w:rFonts w:eastAsia="Calibri"/>
        </w:rPr>
      </w:pPr>
      <w:bookmarkStart w:id="82" w:name="_Toc366154247"/>
      <w:bookmarkStart w:id="83" w:name="_Toc366154365"/>
      <w:bookmarkStart w:id="84" w:name="_Toc366409907"/>
      <w:bookmarkStart w:id="85" w:name="_Toc372308889"/>
      <w:bookmarkStart w:id="86" w:name="_Toc372554001"/>
      <w:r w:rsidRPr="004E6412">
        <w:rPr>
          <w:rFonts w:eastAsia="Calibri"/>
        </w:rPr>
        <w:t>Ekonomski odnosi s inozemstvom</w:t>
      </w:r>
      <w:bookmarkEnd w:id="82"/>
      <w:bookmarkEnd w:id="83"/>
      <w:bookmarkEnd w:id="84"/>
      <w:bookmarkEnd w:id="85"/>
      <w:bookmarkEnd w:id="86"/>
    </w:p>
    <w:p w:rsidR="00CF12D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 razdoblju od 2004. do 2008. godine ukupan </w:t>
      </w:r>
      <w:r w:rsidRPr="004E6412">
        <w:rPr>
          <w:rFonts w:ascii="Times New Roman" w:hAnsi="Times New Roman"/>
          <w:b/>
        </w:rPr>
        <w:t>izvoz robe i usluga</w:t>
      </w:r>
      <w:r w:rsidRPr="004E6412">
        <w:rPr>
          <w:rFonts w:ascii="Times New Roman" w:hAnsi="Times New Roman"/>
        </w:rPr>
        <w:t xml:space="preserve"> rastao je po prosječnoj stopi od </w:t>
      </w:r>
      <w:r w:rsidR="00125A94" w:rsidRPr="004E6412">
        <w:rPr>
          <w:rFonts w:ascii="Times New Roman" w:hAnsi="Times New Roman"/>
        </w:rPr>
        <w:t>8,99</w:t>
      </w:r>
      <w:r w:rsidRPr="004E6412">
        <w:rPr>
          <w:rFonts w:ascii="Times New Roman" w:hAnsi="Times New Roman"/>
        </w:rPr>
        <w:t>% godišnje. U 2009. godini u odnosu na 2008. usl</w:t>
      </w:r>
      <w:r w:rsidR="004823E2" w:rsidRPr="004E6412">
        <w:rPr>
          <w:rFonts w:ascii="Times New Roman" w:hAnsi="Times New Roman"/>
        </w:rPr>
        <w:t>i</w:t>
      </w:r>
      <w:r w:rsidRPr="004E6412">
        <w:rPr>
          <w:rFonts w:ascii="Times New Roman" w:hAnsi="Times New Roman"/>
        </w:rPr>
        <w:t>jedio je veliki pad od 17,83% nakon čega u razdoblju od 2010. do 2012. dolazi do oporavka.</w:t>
      </w:r>
    </w:p>
    <w:p w:rsidR="00CF12DA" w:rsidRPr="004E6412" w:rsidRDefault="00CF12DA" w:rsidP="00CF12DA">
      <w:pPr>
        <w:pStyle w:val="ListParagraph"/>
        <w:spacing w:after="0"/>
        <w:jc w:val="both"/>
        <w:rPr>
          <w:rFonts w:ascii="Times New Roman" w:hAnsi="Times New Roman"/>
        </w:rPr>
      </w:pPr>
    </w:p>
    <w:p w:rsidR="00CF12DA"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CF12DA" w:rsidRPr="004E6412">
        <w:rPr>
          <w:rFonts w:ascii="Times New Roman" w:hAnsi="Times New Roman"/>
        </w:rPr>
        <w:t xml:space="preserve"> predkriznom 2008.</w:t>
      </w:r>
      <w:r w:rsidRPr="004E6412">
        <w:rPr>
          <w:rFonts w:ascii="Times New Roman" w:hAnsi="Times New Roman"/>
        </w:rPr>
        <w:t xml:space="preserve">, ukupan izvoz robe i usluga </w:t>
      </w:r>
      <w:r w:rsidR="00CF12DA" w:rsidRPr="004E6412">
        <w:rPr>
          <w:rFonts w:ascii="Times New Roman" w:hAnsi="Times New Roman"/>
        </w:rPr>
        <w:t xml:space="preserve">smanjio </w:t>
      </w:r>
      <w:r w:rsidRPr="004E6412">
        <w:rPr>
          <w:rFonts w:ascii="Times New Roman" w:hAnsi="Times New Roman"/>
        </w:rPr>
        <w:t xml:space="preserve">se </w:t>
      </w:r>
      <w:r w:rsidR="00CF12DA" w:rsidRPr="004E6412">
        <w:rPr>
          <w:rFonts w:ascii="Times New Roman" w:hAnsi="Times New Roman"/>
        </w:rPr>
        <w:t>za 0,84% u 2012.  Ukupan uvoz rob</w:t>
      </w:r>
      <w:r w:rsidRPr="004E6412">
        <w:rPr>
          <w:rFonts w:ascii="Times New Roman" w:hAnsi="Times New Roman"/>
        </w:rPr>
        <w:t>e i usluga se od 2008. do</w:t>
      </w:r>
      <w:r w:rsidR="00234105" w:rsidRPr="004E6412">
        <w:rPr>
          <w:rFonts w:ascii="Times New Roman" w:hAnsi="Times New Roman"/>
        </w:rPr>
        <w:t xml:space="preserve"> 2012. s</w:t>
      </w:r>
      <w:r w:rsidRPr="004E6412">
        <w:rPr>
          <w:rFonts w:ascii="Times New Roman" w:hAnsi="Times New Roman"/>
        </w:rPr>
        <w:t>manjio za daleko</w:t>
      </w:r>
      <w:r w:rsidR="00CF12DA" w:rsidRPr="004E6412">
        <w:rPr>
          <w:rFonts w:ascii="Times New Roman" w:hAnsi="Times New Roman"/>
        </w:rPr>
        <w:t xml:space="preserve"> većih </w:t>
      </w:r>
      <w:r w:rsidR="00627884" w:rsidRPr="004E6412">
        <w:rPr>
          <w:rFonts w:ascii="Times New Roman" w:hAnsi="Times New Roman"/>
        </w:rPr>
        <w:t>17,42</w:t>
      </w:r>
      <w:r w:rsidR="00CF12DA" w:rsidRPr="004E6412">
        <w:rPr>
          <w:rFonts w:ascii="Times New Roman" w:hAnsi="Times New Roman"/>
        </w:rPr>
        <w:t>%.</w:t>
      </w:r>
    </w:p>
    <w:p w:rsidR="00627884" w:rsidRPr="004E6412" w:rsidRDefault="00627884" w:rsidP="00627884">
      <w:pPr>
        <w:pStyle w:val="ListParagraph"/>
        <w:rPr>
          <w:rFonts w:ascii="Times New Roman" w:hAnsi="Times New Roman"/>
        </w:rPr>
      </w:pPr>
    </w:p>
    <w:p w:rsidR="00627884"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Udio izvoza u BDP-u </w:t>
      </w:r>
      <w:r w:rsidR="00627884" w:rsidRPr="004E6412">
        <w:rPr>
          <w:rFonts w:ascii="Times New Roman" w:hAnsi="Times New Roman"/>
        </w:rPr>
        <w:t xml:space="preserve">kretao </w:t>
      </w:r>
      <w:r w:rsidRPr="004E6412">
        <w:rPr>
          <w:rFonts w:ascii="Times New Roman" w:hAnsi="Times New Roman"/>
        </w:rPr>
        <w:t xml:space="preserve">se </w:t>
      </w:r>
      <w:r w:rsidR="00627884" w:rsidRPr="004E6412">
        <w:rPr>
          <w:rFonts w:ascii="Times New Roman" w:hAnsi="Times New Roman"/>
        </w:rPr>
        <w:t>oko 4</w:t>
      </w:r>
      <w:r w:rsidR="00234105" w:rsidRPr="004E6412">
        <w:rPr>
          <w:rFonts w:ascii="Times New Roman" w:hAnsi="Times New Roman"/>
        </w:rPr>
        <w:t>3% u cijelom promatranom razdoblju</w:t>
      </w:r>
      <w:r w:rsidR="00627884" w:rsidRPr="004E6412">
        <w:rPr>
          <w:rFonts w:ascii="Times New Roman" w:hAnsi="Times New Roman"/>
        </w:rPr>
        <w:t>, dok se udio uvoza u BDP-u smanjio sa 49,13%, koliko je iznosio u 2004., na 42,69% u 2012.</w:t>
      </w:r>
    </w:p>
    <w:p w:rsidR="00804474" w:rsidRPr="004E6412" w:rsidRDefault="00804474" w:rsidP="00804474">
      <w:pPr>
        <w:pStyle w:val="ListParagraph"/>
        <w:rPr>
          <w:rFonts w:ascii="Times New Roman" w:hAnsi="Times New Roman"/>
        </w:rPr>
      </w:pPr>
    </w:p>
    <w:p w:rsidR="00804474" w:rsidRPr="004E6412" w:rsidRDefault="00804474" w:rsidP="00B15A78">
      <w:pPr>
        <w:pStyle w:val="ListParagraph"/>
        <w:numPr>
          <w:ilvl w:val="0"/>
          <w:numId w:val="155"/>
        </w:numPr>
        <w:spacing w:after="0"/>
        <w:jc w:val="both"/>
        <w:rPr>
          <w:rFonts w:ascii="Times New Roman" w:hAnsi="Times New Roman"/>
        </w:rPr>
      </w:pPr>
      <w:r w:rsidRPr="004E6412">
        <w:rPr>
          <w:rFonts w:ascii="Times New Roman" w:hAnsi="Times New Roman"/>
        </w:rPr>
        <w:t>Nega</w:t>
      </w:r>
      <w:r w:rsidR="00FD773F" w:rsidRPr="004E6412">
        <w:rPr>
          <w:rFonts w:ascii="Times New Roman" w:hAnsi="Times New Roman"/>
        </w:rPr>
        <w:t xml:space="preserve">tivna vrijednost neto izvoza </w:t>
      </w:r>
      <w:r w:rsidRPr="004E6412">
        <w:rPr>
          <w:rFonts w:ascii="Times New Roman" w:hAnsi="Times New Roman"/>
        </w:rPr>
        <w:t xml:space="preserve">rasla </w:t>
      </w:r>
      <w:r w:rsidR="00FD773F" w:rsidRPr="004E6412">
        <w:rPr>
          <w:rFonts w:ascii="Times New Roman" w:hAnsi="Times New Roman"/>
        </w:rPr>
        <w:t xml:space="preserve">je </w:t>
      </w:r>
      <w:r w:rsidRPr="004E6412">
        <w:rPr>
          <w:rFonts w:ascii="Times New Roman" w:hAnsi="Times New Roman"/>
        </w:rPr>
        <w:t xml:space="preserve">sve do 2008. godine, nakon koje se trend okreće. U 2012. ostvaruje </w:t>
      </w:r>
      <w:r w:rsidR="00FD773F" w:rsidRPr="004E6412">
        <w:rPr>
          <w:rFonts w:ascii="Times New Roman" w:hAnsi="Times New Roman"/>
        </w:rPr>
        <w:t xml:space="preserve">se </w:t>
      </w:r>
      <w:r w:rsidRPr="004E6412">
        <w:rPr>
          <w:rFonts w:ascii="Times New Roman" w:hAnsi="Times New Roman"/>
        </w:rPr>
        <w:t xml:space="preserve">pozitivan neto izvoz. Razlog ostvarenju pozitivnog neto izvoza ne nalazi se u </w:t>
      </w:r>
      <w:r w:rsidR="00255B81" w:rsidRPr="004E6412">
        <w:rPr>
          <w:rFonts w:ascii="Times New Roman" w:hAnsi="Times New Roman"/>
        </w:rPr>
        <w:t>porastu izvoza, već u smanjenju uvoza.</w:t>
      </w:r>
    </w:p>
    <w:p w:rsidR="00CF12DA" w:rsidRPr="004E6412" w:rsidRDefault="00CF12DA" w:rsidP="00CF12DA"/>
    <w:p w:rsidR="00CF12DA" w:rsidRPr="004E6412" w:rsidRDefault="00CF12DA"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Pr>
        <w:sectPr w:rsidR="00234105" w:rsidRPr="004E6412" w:rsidSect="00234105">
          <w:pgSz w:w="11906" w:h="16838"/>
          <w:pgMar w:top="1418" w:right="1418" w:bottom="1418" w:left="1418" w:header="709" w:footer="709" w:gutter="0"/>
          <w:cols w:space="708"/>
          <w:docGrid w:linePitch="360"/>
        </w:sectPr>
      </w:pPr>
    </w:p>
    <w:p w:rsidR="00234105" w:rsidRPr="004E6412" w:rsidRDefault="00234105" w:rsidP="00CF12DA"/>
    <w:p w:rsidR="00CF12DA" w:rsidRPr="007D0CFD" w:rsidRDefault="00CF12DA" w:rsidP="007D0CFD">
      <w:pPr>
        <w:pStyle w:val="Heading5"/>
        <w:rPr>
          <w:rStyle w:val="IntenseEmphasis"/>
          <w:b/>
          <w:bCs w:val="0"/>
          <w:iCs w:val="0"/>
          <w:color w:val="548DD4" w:themeColor="text2" w:themeTint="99"/>
          <w:sz w:val="20"/>
        </w:rPr>
      </w:pPr>
      <w:bookmarkStart w:id="87" w:name="_Toc377551021"/>
      <w:bookmarkStart w:id="88" w:name="_Toc377635210"/>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Ukupan izvoz i uvoz robe i usluga Republike Hrvatske, 2004. – 2012.</w:t>
      </w:r>
      <w:bookmarkEnd w:id="87"/>
      <w:bookmarkEnd w:id="88"/>
    </w:p>
    <w:tbl>
      <w:tblPr>
        <w:tblW w:w="5000" w:type="pct"/>
        <w:tblCellMar>
          <w:top w:w="28" w:type="dxa"/>
          <w:left w:w="57" w:type="dxa"/>
          <w:bottom w:w="28" w:type="dxa"/>
          <w:right w:w="57" w:type="dxa"/>
        </w:tblCellMar>
        <w:tblLook w:val="04A0" w:firstRow="1" w:lastRow="0" w:firstColumn="1" w:lastColumn="0" w:noHBand="0" w:noVBand="1"/>
      </w:tblPr>
      <w:tblGrid>
        <w:gridCol w:w="536"/>
        <w:gridCol w:w="2656"/>
        <w:gridCol w:w="1261"/>
        <w:gridCol w:w="1207"/>
        <w:gridCol w:w="1000"/>
        <w:gridCol w:w="2612"/>
        <w:gridCol w:w="1261"/>
        <w:gridCol w:w="1207"/>
        <w:gridCol w:w="1000"/>
        <w:gridCol w:w="1376"/>
      </w:tblGrid>
      <w:tr w:rsidR="00804474" w:rsidRPr="004E6412" w:rsidTr="0008774F">
        <w:trPr>
          <w:trHeight w:val="270"/>
        </w:trPr>
        <w:tc>
          <w:tcPr>
            <w:tcW w:w="189" w:type="pct"/>
            <w:tcBorders>
              <w:top w:val="single" w:sz="4" w:space="0" w:color="auto"/>
              <w:left w:val="single" w:sz="4" w:space="0" w:color="auto"/>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Godina</w:t>
            </w:r>
          </w:p>
        </w:tc>
        <w:tc>
          <w:tcPr>
            <w:tcW w:w="938"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IZVOZ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IZVOZA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922"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UVOZ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UVOZA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NETO IZVOZ</w:t>
            </w:r>
            <w:r w:rsidR="00C87FA7" w:rsidRPr="004E6412">
              <w:rPr>
                <w:rFonts w:eastAsia="Times New Roman"/>
                <w:b/>
                <w:bCs/>
                <w:color w:val="000000"/>
                <w:sz w:val="18"/>
                <w:szCs w:val="18"/>
                <w:lang w:eastAsia="hr-HR"/>
              </w:rPr>
              <w:t xml:space="preserve"> (HRK)</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2004</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106.226.447.000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42,93%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109,01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121.564.462.000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49,13%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-15.338.015.000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2005</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112.924.920.000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42,35%</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129.515.552.000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-16.590.632.000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2006</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124.686.837.000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110,42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144.269.793.000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-19.582.956.000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2007</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134.596.121.000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157.661.679.000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-23.065.558.000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144.454.457.000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42,06%</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171.118.302.000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49,83%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-26.663.845.000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120.293.081.000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36,60%</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131.932.489.000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-11.639.408.000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128.693.000.000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39,74%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89,09</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130.149.000.000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76,06</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-1.456.000.000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139.549.000.000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108,44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96,60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139.768.000.000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81,68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-219.000.000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143.245.000.000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99,16</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140.971.000.000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42,69%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100,86</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2.274.000.000 </w:t>
            </w:r>
          </w:p>
        </w:tc>
      </w:tr>
    </w:tbl>
    <w:p w:rsidR="00627884" w:rsidRPr="004E6412" w:rsidRDefault="00627884" w:rsidP="00627884">
      <w:pPr>
        <w:rPr>
          <w:sz w:val="20"/>
          <w:szCs w:val="20"/>
        </w:rPr>
      </w:pPr>
      <w:r w:rsidRPr="004E6412">
        <w:rPr>
          <w:sz w:val="20"/>
          <w:szCs w:val="20"/>
        </w:rPr>
        <w:t>Izvor: Državni zavod za stati</w:t>
      </w:r>
      <w:r w:rsidR="00FD773F" w:rsidRPr="004E6412">
        <w:rPr>
          <w:sz w:val="20"/>
          <w:szCs w:val="20"/>
        </w:rPr>
        <w:t>stiku. Dostupno na:</w:t>
      </w:r>
      <w:r w:rsidRPr="004E6412">
        <w:rPr>
          <w:sz w:val="20"/>
          <w:szCs w:val="20"/>
        </w:rPr>
        <w:t xml:space="preserve"> www</w:t>
      </w:r>
      <w:r w:rsidR="00803431" w:rsidRPr="004E6412">
        <w:rPr>
          <w:sz w:val="20"/>
          <w:szCs w:val="20"/>
        </w:rPr>
        <w:t>.dzs.hr [11.7.2013.]; Pretvorba</w:t>
      </w:r>
      <w:r w:rsidRPr="004E6412">
        <w:rPr>
          <w:sz w:val="20"/>
          <w:szCs w:val="20"/>
        </w:rPr>
        <w:t xml:space="preserve"> iz EUR</w:t>
      </w:r>
      <w:r w:rsidR="00FD773F" w:rsidRPr="004E6412">
        <w:rPr>
          <w:sz w:val="20"/>
          <w:szCs w:val="20"/>
        </w:rPr>
        <w:t>-a</w:t>
      </w:r>
      <w:r w:rsidRPr="004E6412">
        <w:rPr>
          <w:sz w:val="20"/>
          <w:szCs w:val="20"/>
        </w:rPr>
        <w:t xml:space="preserve"> prema godišnjim prosjeci</w:t>
      </w:r>
      <w:r w:rsidR="00FD773F" w:rsidRPr="004E6412">
        <w:rPr>
          <w:sz w:val="20"/>
          <w:szCs w:val="20"/>
        </w:rPr>
        <w:t>ma središnjih deviznih tečajeva</w:t>
      </w:r>
      <w:r w:rsidRPr="004E6412">
        <w:rPr>
          <w:sz w:val="20"/>
          <w:szCs w:val="20"/>
        </w:rPr>
        <w:t xml:space="preserve"> (HNB)</w:t>
      </w:r>
      <w:r w:rsidR="00FD773F" w:rsidRPr="004E6412">
        <w:rPr>
          <w:sz w:val="20"/>
          <w:szCs w:val="20"/>
        </w:rPr>
        <w:t>.</w:t>
      </w:r>
    </w:p>
    <w:p w:rsidR="00E10F91" w:rsidRPr="004E6412" w:rsidRDefault="00E10F91" w:rsidP="00BA04DA"/>
    <w:p w:rsidR="00E10F91" w:rsidRPr="004E6412" w:rsidRDefault="00E10F91" w:rsidP="00BA04DA"/>
    <w:p w:rsidR="00CF12DA" w:rsidRPr="004E6412" w:rsidRDefault="00CF12DA" w:rsidP="00BA04DA">
      <w:pPr>
        <w:sectPr w:rsidR="00CF12DA" w:rsidRPr="004E6412" w:rsidSect="00CF12DA">
          <w:pgSz w:w="16838" w:h="11906" w:orient="landscape"/>
          <w:pgMar w:top="1418" w:right="1418" w:bottom="1418" w:left="1418" w:header="709" w:footer="709" w:gutter="0"/>
          <w:cols w:space="708"/>
          <w:docGrid w:linePitch="360"/>
        </w:sectPr>
      </w:pPr>
    </w:p>
    <w:p w:rsidR="007712F9" w:rsidRPr="004E6412" w:rsidRDefault="007712F9" w:rsidP="00B15A78">
      <w:pPr>
        <w:pStyle w:val="ListParagraph"/>
        <w:numPr>
          <w:ilvl w:val="0"/>
          <w:numId w:val="155"/>
        </w:numPr>
        <w:spacing w:after="0"/>
        <w:jc w:val="both"/>
        <w:rPr>
          <w:rFonts w:ascii="Times New Roman" w:hAnsi="Times New Roman"/>
        </w:rPr>
      </w:pPr>
      <w:r w:rsidRPr="004E6412">
        <w:rPr>
          <w:rFonts w:ascii="Times New Roman" w:hAnsi="Times New Roman"/>
        </w:rPr>
        <w:lastRenderedPageBreak/>
        <w:t xml:space="preserve">U razdoblju </w:t>
      </w:r>
      <w:r w:rsidR="00250C6C" w:rsidRPr="004E6412">
        <w:rPr>
          <w:rFonts w:ascii="Times New Roman" w:hAnsi="Times New Roman"/>
        </w:rPr>
        <w:t>od</w:t>
      </w:r>
      <w:r w:rsidRPr="004E6412">
        <w:rPr>
          <w:rFonts w:ascii="Times New Roman" w:hAnsi="Times New Roman"/>
        </w:rPr>
        <w:t xml:space="preserve"> 200</w:t>
      </w:r>
      <w:r w:rsidR="00D34C9E" w:rsidRPr="004E6412">
        <w:rPr>
          <w:rFonts w:ascii="Times New Roman" w:hAnsi="Times New Roman"/>
        </w:rPr>
        <w:t xml:space="preserve">4. do 2008. godine </w:t>
      </w:r>
      <w:r w:rsidR="00BA04DA" w:rsidRPr="004E6412">
        <w:rPr>
          <w:rFonts w:ascii="Times New Roman" w:hAnsi="Times New Roman"/>
        </w:rPr>
        <w:t>ukupan izvoz robe</w:t>
      </w:r>
      <w:r w:rsidR="00446864" w:rsidRPr="004E6412">
        <w:rPr>
          <w:rFonts w:ascii="Times New Roman" w:hAnsi="Times New Roman"/>
        </w:rPr>
        <w:t xml:space="preserve"> rastao</w:t>
      </w:r>
      <w:r w:rsidR="00D34C9E" w:rsidRPr="004E6412">
        <w:rPr>
          <w:rFonts w:ascii="Times New Roman" w:hAnsi="Times New Roman"/>
        </w:rPr>
        <w:t xml:space="preserve"> je</w:t>
      </w:r>
      <w:r w:rsidR="00446864" w:rsidRPr="004E6412">
        <w:rPr>
          <w:rFonts w:ascii="Times New Roman" w:hAnsi="Times New Roman"/>
        </w:rPr>
        <w:t xml:space="preserve"> po prosječnoj stopi od 9,4% godišnje. U 2009. godini</w:t>
      </w:r>
      <w:r w:rsidR="00F607ED" w:rsidRPr="004E6412">
        <w:rPr>
          <w:rFonts w:ascii="Times New Roman" w:hAnsi="Times New Roman"/>
        </w:rPr>
        <w:t xml:space="preserve"> u odnosu na </w:t>
      </w:r>
      <w:r w:rsidR="00DF1A47" w:rsidRPr="004E6412">
        <w:rPr>
          <w:rFonts w:ascii="Times New Roman" w:hAnsi="Times New Roman"/>
        </w:rPr>
        <w:t>2008.</w:t>
      </w:r>
      <w:r w:rsidR="00446864" w:rsidRPr="004E6412">
        <w:rPr>
          <w:rFonts w:ascii="Times New Roman" w:hAnsi="Times New Roman"/>
        </w:rPr>
        <w:t xml:space="preserve"> usl</w:t>
      </w:r>
      <w:r w:rsidR="004823E2" w:rsidRPr="004E6412">
        <w:rPr>
          <w:rFonts w:ascii="Times New Roman" w:hAnsi="Times New Roman"/>
        </w:rPr>
        <w:t>i</w:t>
      </w:r>
      <w:r w:rsidR="00446864" w:rsidRPr="004E6412">
        <w:rPr>
          <w:rFonts w:ascii="Times New Roman" w:hAnsi="Times New Roman"/>
        </w:rPr>
        <w:t>jedio je veliki pad od 20,18% nakon čega u razdoblju od 2010. do 2012. dolazi do oporavka.</w:t>
      </w:r>
    </w:p>
    <w:p w:rsidR="00446864" w:rsidRPr="004E6412" w:rsidRDefault="00446864" w:rsidP="00446864">
      <w:pPr>
        <w:pStyle w:val="ListParagraph"/>
        <w:spacing w:after="0"/>
        <w:jc w:val="both"/>
        <w:rPr>
          <w:rFonts w:ascii="Times New Roman" w:hAnsi="Times New Roman"/>
        </w:rPr>
      </w:pPr>
    </w:p>
    <w:p w:rsidR="00D20BAA" w:rsidRPr="004E6412" w:rsidRDefault="007275CE"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D20BAA" w:rsidRPr="004E6412">
        <w:rPr>
          <w:rFonts w:ascii="Times New Roman" w:hAnsi="Times New Roman"/>
        </w:rPr>
        <w:t xml:space="preserve"> predkriznom 2008.</w:t>
      </w:r>
      <w:r w:rsidRPr="004E6412">
        <w:rPr>
          <w:rFonts w:ascii="Times New Roman" w:hAnsi="Times New Roman"/>
        </w:rPr>
        <w:t xml:space="preserve"> godinom</w:t>
      </w:r>
      <w:r w:rsidR="00D20BAA" w:rsidRPr="004E6412">
        <w:rPr>
          <w:rFonts w:ascii="Times New Roman" w:hAnsi="Times New Roman"/>
        </w:rPr>
        <w:t xml:space="preserve">, ukupan izvoz </w:t>
      </w:r>
      <w:r w:rsidR="00BA04DA" w:rsidRPr="004E6412">
        <w:rPr>
          <w:rFonts w:ascii="Times New Roman" w:hAnsi="Times New Roman"/>
        </w:rPr>
        <w:t xml:space="preserve">robe </w:t>
      </w:r>
      <w:r w:rsidR="00D20BAA" w:rsidRPr="004E6412">
        <w:rPr>
          <w:rFonts w:ascii="Times New Roman" w:hAnsi="Times New Roman"/>
        </w:rPr>
        <w:t xml:space="preserve">povećao </w:t>
      </w:r>
      <w:r w:rsidRPr="004E6412">
        <w:rPr>
          <w:rFonts w:ascii="Times New Roman" w:hAnsi="Times New Roman"/>
        </w:rPr>
        <w:t xml:space="preserve">se </w:t>
      </w:r>
      <w:r w:rsidR="00D20BAA" w:rsidRPr="004E6412">
        <w:rPr>
          <w:rFonts w:ascii="Times New Roman" w:hAnsi="Times New Roman"/>
        </w:rPr>
        <w:t>za 4,55% u 2012.  Nasuprot izvozu, ukupan uvoz</w:t>
      </w:r>
      <w:r w:rsidR="00BA04DA" w:rsidRPr="004E6412">
        <w:rPr>
          <w:rFonts w:ascii="Times New Roman" w:hAnsi="Times New Roman"/>
        </w:rPr>
        <w:t xml:space="preserve"> robe</w:t>
      </w:r>
      <w:r w:rsidRPr="004E6412">
        <w:rPr>
          <w:rFonts w:ascii="Times New Roman" w:hAnsi="Times New Roman"/>
        </w:rPr>
        <w:t xml:space="preserve"> </w:t>
      </w:r>
      <w:r w:rsidR="00D20BAA" w:rsidRPr="004E6412">
        <w:rPr>
          <w:rFonts w:ascii="Times New Roman" w:hAnsi="Times New Roman"/>
        </w:rPr>
        <w:t>smanjio</w:t>
      </w:r>
      <w:r w:rsidRPr="004E6412">
        <w:rPr>
          <w:rFonts w:ascii="Times New Roman" w:hAnsi="Times New Roman"/>
        </w:rPr>
        <w:t xml:space="preserve"> se u razdoblju</w:t>
      </w:r>
      <w:r w:rsidR="00D20BAA" w:rsidRPr="004E6412">
        <w:rPr>
          <w:rFonts w:ascii="Times New Roman" w:hAnsi="Times New Roman"/>
        </w:rPr>
        <w:t xml:space="preserve"> 2008.</w:t>
      </w:r>
      <w:r w:rsidRPr="004E6412">
        <w:rPr>
          <w:rFonts w:ascii="Times New Roman" w:hAnsi="Times New Roman"/>
        </w:rPr>
        <w:t xml:space="preserve"> – 2012.</w:t>
      </w:r>
      <w:r w:rsidR="00D20BAA" w:rsidRPr="004E6412">
        <w:rPr>
          <w:rFonts w:ascii="Times New Roman" w:hAnsi="Times New Roman"/>
        </w:rPr>
        <w:t xml:space="preserve"> za 18,94%.</w:t>
      </w:r>
    </w:p>
    <w:p w:rsidR="00D20BAA" w:rsidRPr="004E6412" w:rsidRDefault="00D20BAA" w:rsidP="00D20BAA"/>
    <w:p w:rsidR="00D20BAA" w:rsidRPr="007D0CFD" w:rsidRDefault="00D20BAA" w:rsidP="007D0CFD">
      <w:pPr>
        <w:pStyle w:val="Heading5"/>
        <w:rPr>
          <w:rStyle w:val="IntenseEmphasis"/>
          <w:b/>
          <w:bCs w:val="0"/>
          <w:iCs w:val="0"/>
          <w:color w:val="548DD4" w:themeColor="text2" w:themeTint="99"/>
          <w:sz w:val="20"/>
        </w:rPr>
      </w:pPr>
      <w:bookmarkStart w:id="89" w:name="_Toc377551022"/>
      <w:bookmarkStart w:id="90" w:name="_Toc377635211"/>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10</w:t>
      </w:r>
      <w:r w:rsidRPr="007D0CFD">
        <w:rPr>
          <w:rStyle w:val="IntenseEmphasis"/>
          <w:b/>
          <w:bCs w:val="0"/>
          <w:iCs w:val="0"/>
          <w:color w:val="548DD4" w:themeColor="text2" w:themeTint="99"/>
          <w:sz w:val="20"/>
        </w:rPr>
        <w:t xml:space="preserve">. </w:t>
      </w:r>
      <w:r w:rsidR="00BA04DA" w:rsidRPr="007D0CFD">
        <w:rPr>
          <w:rStyle w:val="IntenseEmphasis"/>
          <w:b/>
          <w:bCs w:val="0"/>
          <w:iCs w:val="0"/>
          <w:color w:val="548DD4" w:themeColor="text2" w:themeTint="99"/>
          <w:sz w:val="20"/>
        </w:rPr>
        <w:t>Robni i</w:t>
      </w:r>
      <w:r w:rsidRPr="007D0CFD">
        <w:rPr>
          <w:rStyle w:val="IntenseEmphasis"/>
          <w:b/>
          <w:bCs w:val="0"/>
          <w:iCs w:val="0"/>
          <w:color w:val="548DD4" w:themeColor="text2" w:themeTint="99"/>
          <w:sz w:val="20"/>
        </w:rPr>
        <w:t>zvoz i uvoz Hrvatske, 2004. – 2012.</w:t>
      </w:r>
      <w:bookmarkEnd w:id="89"/>
      <w:bookmarkEnd w:id="90"/>
    </w:p>
    <w:tbl>
      <w:tblPr>
        <w:tblW w:w="5000" w:type="pct"/>
        <w:tblLook w:val="04A0" w:firstRow="1" w:lastRow="0" w:firstColumn="1" w:lastColumn="0" w:noHBand="0" w:noVBand="1"/>
      </w:tblPr>
      <w:tblGrid>
        <w:gridCol w:w="758"/>
        <w:gridCol w:w="1510"/>
        <w:gridCol w:w="1532"/>
        <w:gridCol w:w="1292"/>
        <w:gridCol w:w="1370"/>
        <w:gridCol w:w="1532"/>
        <w:gridCol w:w="1292"/>
      </w:tblGrid>
      <w:tr w:rsidR="00326E0B" w:rsidRPr="004E6412" w:rsidTr="001E26AA">
        <w:trPr>
          <w:trHeight w:val="870"/>
        </w:trPr>
        <w:tc>
          <w:tcPr>
            <w:tcW w:w="555"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IZVOZ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48.375.784.489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100.100.084.122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52.314.032.863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110.627.232.028</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110,52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60.425.132.934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115,50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125.254.893.636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113,22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66.054.571.463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109,32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138.159.106.443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69.235.129.036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150.365.958.233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55.262.408.529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111.708.672.440</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64.885.641.418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93,72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110.291.743.659</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98,73</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73,35</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71.235.739.635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121.037.368.152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80,50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72.382.211.658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101,61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104,55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121.889.157.696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81,06</w:t>
            </w:r>
          </w:p>
        </w:tc>
      </w:tr>
    </w:tbl>
    <w:p w:rsidR="00D20BAA" w:rsidRPr="004E6412" w:rsidRDefault="00D20BAA" w:rsidP="00D20BAA">
      <w:pPr>
        <w:rPr>
          <w:sz w:val="20"/>
          <w:szCs w:val="20"/>
        </w:rPr>
      </w:pPr>
      <w:r w:rsidRPr="004E6412">
        <w:rPr>
          <w:sz w:val="20"/>
          <w:szCs w:val="20"/>
        </w:rPr>
        <w:t>Izvor: Državni za</w:t>
      </w:r>
      <w:r w:rsidR="007275CE" w:rsidRPr="004E6412">
        <w:rPr>
          <w:sz w:val="20"/>
          <w:szCs w:val="20"/>
        </w:rPr>
        <w:t>vod za statistiku. Dostupno na:</w:t>
      </w:r>
      <w:r w:rsidRPr="004E6412">
        <w:rPr>
          <w:sz w:val="20"/>
          <w:szCs w:val="20"/>
        </w:rPr>
        <w:t xml:space="preserve"> ww</w:t>
      </w:r>
      <w:r w:rsidR="008E0839" w:rsidRPr="004E6412">
        <w:rPr>
          <w:sz w:val="20"/>
          <w:szCs w:val="20"/>
        </w:rPr>
        <w:t>w.dzs.hr [11.7.2013.]; Pretvorb</w:t>
      </w:r>
      <w:r w:rsidRPr="004E6412">
        <w:rPr>
          <w:sz w:val="20"/>
          <w:szCs w:val="20"/>
        </w:rPr>
        <w:t>a iz EUR</w:t>
      </w:r>
      <w:r w:rsidR="007275CE" w:rsidRPr="004E6412">
        <w:rPr>
          <w:sz w:val="20"/>
          <w:szCs w:val="20"/>
        </w:rPr>
        <w:t>-a</w:t>
      </w:r>
      <w:r w:rsidRPr="004E6412">
        <w:rPr>
          <w:sz w:val="20"/>
          <w:szCs w:val="20"/>
        </w:rPr>
        <w:t xml:space="preserve"> prema godišnjim prosjeci</w:t>
      </w:r>
      <w:r w:rsidR="007275CE" w:rsidRPr="004E6412">
        <w:rPr>
          <w:sz w:val="20"/>
          <w:szCs w:val="20"/>
        </w:rPr>
        <w:t>ma središnjih deviznih tečajeva</w:t>
      </w:r>
      <w:r w:rsidRPr="004E6412">
        <w:rPr>
          <w:sz w:val="20"/>
          <w:szCs w:val="20"/>
        </w:rPr>
        <w:t xml:space="preserve"> (HNB)</w:t>
      </w:r>
      <w:r w:rsidR="007275CE" w:rsidRPr="004E6412">
        <w:rPr>
          <w:sz w:val="20"/>
          <w:szCs w:val="20"/>
        </w:rPr>
        <w:t>.</w:t>
      </w:r>
    </w:p>
    <w:p w:rsidR="00D34C9E" w:rsidRDefault="00D34C9E" w:rsidP="00D20BAA">
      <w:pPr>
        <w:rPr>
          <w:sz w:val="22"/>
        </w:rPr>
      </w:pPr>
    </w:p>
    <w:p w:rsidR="00522233" w:rsidRPr="004E6412" w:rsidRDefault="00522233" w:rsidP="00D20BAA">
      <w:pPr>
        <w:rPr>
          <w:sz w:val="22"/>
        </w:rPr>
      </w:pPr>
    </w:p>
    <w:p w:rsidR="00D20BA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Saldo robne razmjene</w:t>
      </w:r>
      <w:r w:rsidR="00D20BAA" w:rsidRPr="004E6412">
        <w:rPr>
          <w:rFonts w:ascii="Times New Roman" w:hAnsi="Times New Roman"/>
        </w:rPr>
        <w:t xml:space="preserve"> je u razdoblju 2004.</w:t>
      </w:r>
      <w:r w:rsidR="007275CE" w:rsidRPr="004E6412">
        <w:rPr>
          <w:rFonts w:ascii="Times New Roman" w:hAnsi="Times New Roman"/>
        </w:rPr>
        <w:t xml:space="preserve"> – 2012.</w:t>
      </w:r>
      <w:r w:rsidR="00D20BAA" w:rsidRPr="004E6412">
        <w:rPr>
          <w:rFonts w:ascii="Times New Roman" w:hAnsi="Times New Roman"/>
        </w:rPr>
        <w:t xml:space="preserve"> bi</w:t>
      </w:r>
      <w:r w:rsidRPr="004E6412">
        <w:rPr>
          <w:rFonts w:ascii="Times New Roman" w:hAnsi="Times New Roman"/>
        </w:rPr>
        <w:t>o negativan</w:t>
      </w:r>
      <w:r w:rsidR="00D20BAA" w:rsidRPr="004E6412">
        <w:rPr>
          <w:rFonts w:ascii="Times New Roman" w:hAnsi="Times New Roman"/>
        </w:rPr>
        <w:t xml:space="preserve">, međutim deficit </w:t>
      </w:r>
      <w:r w:rsidR="00E0758A" w:rsidRPr="004E6412">
        <w:rPr>
          <w:rFonts w:ascii="Times New Roman" w:hAnsi="Times New Roman"/>
        </w:rPr>
        <w:t xml:space="preserve">robne razmjene </w:t>
      </w:r>
      <w:r w:rsidR="00D20BAA" w:rsidRPr="004E6412">
        <w:rPr>
          <w:rFonts w:ascii="Times New Roman" w:hAnsi="Times New Roman"/>
        </w:rPr>
        <w:t xml:space="preserve">se </w:t>
      </w:r>
      <w:r w:rsidR="007B6202" w:rsidRPr="004E6412">
        <w:rPr>
          <w:rFonts w:ascii="Times New Roman" w:hAnsi="Times New Roman"/>
        </w:rPr>
        <w:t>u razdoblju 2008.</w:t>
      </w:r>
      <w:r w:rsidR="007275CE" w:rsidRPr="004E6412">
        <w:rPr>
          <w:rFonts w:ascii="Times New Roman" w:hAnsi="Times New Roman"/>
        </w:rPr>
        <w:t xml:space="preserve"> – 2012. </w:t>
      </w:r>
      <w:r w:rsidR="00D20BAA" w:rsidRPr="004E6412">
        <w:rPr>
          <w:rFonts w:ascii="Times New Roman" w:hAnsi="Times New Roman"/>
        </w:rPr>
        <w:t>naglo smanjio</w:t>
      </w:r>
      <w:r w:rsidR="007275CE" w:rsidRPr="004E6412">
        <w:rPr>
          <w:rFonts w:ascii="Times New Roman" w:hAnsi="Times New Roman"/>
        </w:rPr>
        <w:t>,</w:t>
      </w:r>
      <w:r w:rsidR="00D20BAA" w:rsidRPr="004E6412">
        <w:rPr>
          <w:rFonts w:ascii="Times New Roman" w:hAnsi="Times New Roman"/>
        </w:rPr>
        <w:t xml:space="preserve"> i</w:t>
      </w:r>
      <w:r w:rsidR="007B6202" w:rsidRPr="004E6412">
        <w:rPr>
          <w:rFonts w:ascii="Times New Roman" w:hAnsi="Times New Roman"/>
        </w:rPr>
        <w:t xml:space="preserve"> </w:t>
      </w:r>
      <w:r w:rsidR="00D20BAA" w:rsidRPr="004E6412">
        <w:rPr>
          <w:rFonts w:ascii="Times New Roman" w:hAnsi="Times New Roman"/>
        </w:rPr>
        <w:t>to za 31 milijardu</w:t>
      </w:r>
      <w:r w:rsidR="00370BC4" w:rsidRPr="004E6412">
        <w:rPr>
          <w:rFonts w:ascii="Times New Roman" w:hAnsi="Times New Roman"/>
        </w:rPr>
        <w:t xml:space="preserve"> kuna</w:t>
      </w:r>
      <w:r w:rsidR="00D20BAA" w:rsidRPr="004E6412">
        <w:rPr>
          <w:rFonts w:ascii="Times New Roman" w:hAnsi="Times New Roman"/>
        </w:rPr>
        <w:t xml:space="preserve"> (-38,62%).</w:t>
      </w:r>
    </w:p>
    <w:p w:rsidR="00D20BAA" w:rsidRPr="004E6412" w:rsidRDefault="00D20BAA" w:rsidP="00D20BAA"/>
    <w:p w:rsidR="007B6202" w:rsidRPr="007D0CFD" w:rsidRDefault="00D20BAA" w:rsidP="007D0CFD">
      <w:pPr>
        <w:pStyle w:val="Heading5"/>
        <w:rPr>
          <w:rStyle w:val="IntenseEmphasis"/>
          <w:b/>
          <w:bCs w:val="0"/>
          <w:iCs w:val="0"/>
          <w:color w:val="548DD4" w:themeColor="text2" w:themeTint="99"/>
          <w:sz w:val="20"/>
        </w:rPr>
      </w:pPr>
      <w:bookmarkStart w:id="91" w:name="_Toc377551023"/>
      <w:bookmarkStart w:id="92" w:name="_Toc377635212"/>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Vanjskotrgovinska bilanca Hrvatske, 2004. – 2012.</w:t>
      </w:r>
      <w:bookmarkEnd w:id="91"/>
      <w:bookmarkEnd w:id="92"/>
    </w:p>
    <w:tbl>
      <w:tblPr>
        <w:tblW w:w="5000" w:type="pct"/>
        <w:tblLook w:val="04A0" w:firstRow="1" w:lastRow="0" w:firstColumn="1" w:lastColumn="0" w:noHBand="0" w:noVBand="1"/>
      </w:tblPr>
      <w:tblGrid>
        <w:gridCol w:w="799"/>
        <w:gridCol w:w="1418"/>
        <w:gridCol w:w="1532"/>
        <w:gridCol w:w="1292"/>
        <w:gridCol w:w="1421"/>
        <w:gridCol w:w="1532"/>
        <w:gridCol w:w="1292"/>
      </w:tblGrid>
      <w:tr w:rsidR="00D20BAA" w:rsidRPr="004E6412" w:rsidTr="00BA04DA">
        <w:trPr>
          <w:trHeight w:val="870"/>
        </w:trPr>
        <w:tc>
          <w:tcPr>
            <w:tcW w:w="467"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800"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POKRIVENOST UVOZA IZVOZOM (%)</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801"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SALDO ROBNE RAZMJENE (EUR)</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-51.724.299.633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47,29%</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97,85</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-58.313.199.165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112,74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48,24%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-64.829.760.702</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99,11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-72.104.534.980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111,22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96,31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-81.130.829.197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49,47%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-56.446.263.910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118,92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127,77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-45.406.102.241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55,97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127,82</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-49.801.628.517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100,90</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128,97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-49.506.946.038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61,02</w:t>
            </w:r>
          </w:p>
        </w:tc>
      </w:tr>
    </w:tbl>
    <w:p w:rsidR="00D20BAA" w:rsidRPr="004E6412" w:rsidRDefault="00D20BAA" w:rsidP="00D20BAA">
      <w:pPr>
        <w:rPr>
          <w:sz w:val="20"/>
          <w:szCs w:val="24"/>
        </w:rPr>
      </w:pPr>
      <w:r w:rsidRPr="004E6412">
        <w:rPr>
          <w:sz w:val="20"/>
          <w:szCs w:val="24"/>
        </w:rPr>
        <w:t>Izvor: Državni za</w:t>
      </w:r>
      <w:r w:rsidR="007275CE" w:rsidRPr="004E6412">
        <w:rPr>
          <w:sz w:val="20"/>
          <w:szCs w:val="24"/>
        </w:rPr>
        <w:t>vod za statistiku. Dostupno na: www.dzs.hr [11.7.2013.];</w:t>
      </w:r>
      <w:r w:rsidR="008E0839" w:rsidRPr="004E6412">
        <w:rPr>
          <w:sz w:val="20"/>
          <w:szCs w:val="24"/>
        </w:rPr>
        <w:t xml:space="preserve"> obrada autora. Pretvorba</w:t>
      </w:r>
      <w:r w:rsidRPr="004E6412">
        <w:rPr>
          <w:sz w:val="20"/>
          <w:szCs w:val="24"/>
        </w:rPr>
        <w:t xml:space="preserve"> iz EUR</w:t>
      </w:r>
      <w:r w:rsidR="007275CE" w:rsidRPr="004E6412">
        <w:rPr>
          <w:sz w:val="20"/>
          <w:szCs w:val="24"/>
        </w:rPr>
        <w:t>-a</w:t>
      </w:r>
      <w:r w:rsidRPr="004E6412">
        <w:rPr>
          <w:sz w:val="20"/>
          <w:szCs w:val="24"/>
        </w:rPr>
        <w:t xml:space="preserve"> prema godišnjim prosjecim</w:t>
      </w:r>
      <w:r w:rsidR="007275CE" w:rsidRPr="004E6412">
        <w:rPr>
          <w:sz w:val="20"/>
          <w:szCs w:val="24"/>
        </w:rPr>
        <w:t xml:space="preserve">a središnjih deviznih tečajeva </w:t>
      </w:r>
      <w:r w:rsidRPr="004E6412">
        <w:rPr>
          <w:sz w:val="20"/>
          <w:szCs w:val="24"/>
        </w:rPr>
        <w:t>(HNB)</w:t>
      </w:r>
      <w:r w:rsidR="007275CE" w:rsidRPr="004E6412">
        <w:rPr>
          <w:sz w:val="20"/>
          <w:szCs w:val="24"/>
        </w:rPr>
        <w:t>.</w:t>
      </w:r>
    </w:p>
    <w:p w:rsidR="00D20BAA" w:rsidRPr="004E6412" w:rsidRDefault="00D20BAA" w:rsidP="00D20BAA">
      <w:pPr>
        <w:rPr>
          <w:sz w:val="22"/>
        </w:rPr>
      </w:pPr>
    </w:p>
    <w:p w:rsidR="00D20BAA" w:rsidRPr="004E6412" w:rsidRDefault="00D20BAA" w:rsidP="00B15A78">
      <w:pPr>
        <w:pStyle w:val="ListParagraph"/>
        <w:numPr>
          <w:ilvl w:val="0"/>
          <w:numId w:val="155"/>
        </w:numPr>
        <w:spacing w:after="0"/>
        <w:jc w:val="both"/>
        <w:rPr>
          <w:rFonts w:ascii="Times New Roman" w:hAnsi="Times New Roman"/>
        </w:rPr>
      </w:pPr>
      <w:r w:rsidRPr="004E6412">
        <w:rPr>
          <w:rFonts w:ascii="Times New Roman" w:hAnsi="Times New Roman"/>
        </w:rPr>
        <w:t>Najvažniji pojedinačni trgovinski partner Hrvatske je Italija s udjelom izvoza od 15,75% i uvoza od 16,</w:t>
      </w:r>
      <w:r w:rsidR="007275CE" w:rsidRPr="004E6412">
        <w:rPr>
          <w:rFonts w:ascii="Times New Roman" w:hAnsi="Times New Roman"/>
        </w:rPr>
        <w:t>44%. Iza nje slijedi Njemačka s</w:t>
      </w:r>
      <w:r w:rsidRPr="004E6412">
        <w:rPr>
          <w:rFonts w:ascii="Times New Roman" w:hAnsi="Times New Roman"/>
        </w:rPr>
        <w:t xml:space="preserve"> udjelom od 10,09% izvoza i 12,59% uvoza, a</w:t>
      </w:r>
      <w:r w:rsidR="007275CE" w:rsidRPr="004E6412">
        <w:rPr>
          <w:rFonts w:ascii="Times New Roman" w:hAnsi="Times New Roman"/>
        </w:rPr>
        <w:t xml:space="preserve"> na trećem mjestu je Austrija s</w:t>
      </w:r>
      <w:r w:rsidRPr="004E6412">
        <w:rPr>
          <w:rFonts w:ascii="Times New Roman" w:hAnsi="Times New Roman"/>
        </w:rPr>
        <w:t xml:space="preserve"> udjelom od 5,71% izvoza i 4,46% uvoza.</w:t>
      </w:r>
    </w:p>
    <w:p w:rsidR="00627884" w:rsidRPr="004E6412" w:rsidRDefault="00627884" w:rsidP="00627884"/>
    <w:p w:rsidR="00627884" w:rsidRPr="004E6412" w:rsidRDefault="00627884" w:rsidP="00627884"/>
    <w:p w:rsidR="00D20BAA" w:rsidRPr="004E6412" w:rsidRDefault="00D20BAA" w:rsidP="007B6202">
      <w:pPr>
        <w:pStyle w:val="Heading4"/>
        <w:rPr>
          <w:highlight w:val="yellow"/>
        </w:rPr>
      </w:pPr>
      <w:r w:rsidRPr="004E6412">
        <w:lastRenderedPageBreak/>
        <w:t>Izravna inozemna ulaganja</w:t>
      </w:r>
    </w:p>
    <w:p w:rsidR="00E7055E" w:rsidRPr="004E6412" w:rsidRDefault="00D20BAA" w:rsidP="00B15A78">
      <w:pPr>
        <w:pStyle w:val="ListParagraph"/>
        <w:numPr>
          <w:ilvl w:val="0"/>
          <w:numId w:val="155"/>
        </w:numPr>
        <w:jc w:val="both"/>
        <w:rPr>
          <w:rFonts w:ascii="Times New Roman" w:hAnsi="Times New Roman"/>
        </w:rPr>
      </w:pPr>
      <w:r w:rsidRPr="004E6412">
        <w:rPr>
          <w:rFonts w:ascii="Times New Roman" w:hAnsi="Times New Roman"/>
        </w:rPr>
        <w:t>Tijekom 2012. godine u Hrvatsku je uloženo 8,05 milijard</w:t>
      </w:r>
      <w:r w:rsidR="007B6202" w:rsidRPr="004E6412">
        <w:rPr>
          <w:rFonts w:ascii="Times New Roman" w:hAnsi="Times New Roman"/>
        </w:rPr>
        <w:t xml:space="preserve">i kuna (1,07 milijardi eura) što je za </w:t>
      </w:r>
      <w:r w:rsidRPr="004E6412">
        <w:rPr>
          <w:rFonts w:ascii="Times New Roman" w:hAnsi="Times New Roman"/>
        </w:rPr>
        <w:t>238,1 milijuna kuna (-2,87%)</w:t>
      </w:r>
      <w:r w:rsidR="007B6202" w:rsidRPr="004E6412">
        <w:rPr>
          <w:rFonts w:ascii="Times New Roman" w:hAnsi="Times New Roman"/>
        </w:rPr>
        <w:t xml:space="preserve"> manje</w:t>
      </w:r>
      <w:r w:rsidRPr="004E6412">
        <w:rPr>
          <w:rFonts w:ascii="Times New Roman" w:hAnsi="Times New Roman"/>
        </w:rPr>
        <w:t xml:space="preserve"> u odnosu na godinu ranije. Najveće ulaganje u Hrvatsku, gledano po godinama, ostvareno je 2008. kada je uloženo 31,09 milijardi kuna, a naj</w:t>
      </w:r>
      <w:r w:rsidR="00E7055E" w:rsidRPr="004E6412">
        <w:rPr>
          <w:rFonts w:ascii="Times New Roman" w:hAnsi="Times New Roman"/>
        </w:rPr>
        <w:t>manje 2010. godine sa svega 2,35</w:t>
      </w:r>
      <w:r w:rsidRPr="004E6412">
        <w:rPr>
          <w:rFonts w:ascii="Times New Roman" w:hAnsi="Times New Roman"/>
        </w:rPr>
        <w:t xml:space="preserve"> milijarde kuna. Ukupno je od 2004. do 2012. u Hrvatsku uloženo 13</w:t>
      </w:r>
      <w:r w:rsidR="00E7055E" w:rsidRPr="004E6412">
        <w:rPr>
          <w:rFonts w:ascii="Times New Roman" w:hAnsi="Times New Roman"/>
        </w:rPr>
        <w:t>5,72</w:t>
      </w:r>
      <w:r w:rsidRPr="004E6412">
        <w:rPr>
          <w:rFonts w:ascii="Times New Roman" w:hAnsi="Times New Roman"/>
        </w:rPr>
        <w:t xml:space="preserve"> milijarde kuna (18 milijardi eura).</w:t>
      </w:r>
      <w:bookmarkStart w:id="93" w:name="_Toc372308886"/>
    </w:p>
    <w:p w:rsidR="009E3961" w:rsidRPr="004E6412" w:rsidRDefault="009E3961" w:rsidP="009E3961">
      <w:pPr>
        <w:pStyle w:val="ListParagraph"/>
        <w:ind w:left="0"/>
        <w:jc w:val="both"/>
        <w:rPr>
          <w:rFonts w:ascii="Times New Roman" w:hAnsi="Times New Roman"/>
        </w:rPr>
      </w:pPr>
    </w:p>
    <w:p w:rsidR="00E7055E" w:rsidRPr="004E6412" w:rsidRDefault="00E7055E" w:rsidP="00C27E82">
      <w:pPr>
        <w:pStyle w:val="Subtitle"/>
        <w:rPr>
          <w:rStyle w:val="IntenseEmphasis"/>
          <w:b/>
          <w:bCs w:val="0"/>
          <w:iCs/>
          <w:sz w:val="20"/>
          <w:lang w:val="hr-HR"/>
        </w:rPr>
      </w:pPr>
      <w:bookmarkStart w:id="94" w:name="_Toc377635340"/>
      <w:r w:rsidRPr="004E6412">
        <w:rPr>
          <w:rStyle w:val="IntenseEmphasis"/>
          <w:b/>
          <w:bCs w:val="0"/>
          <w:iCs/>
          <w:sz w:val="20"/>
          <w:lang w:val="hr-HR"/>
        </w:rPr>
        <w:t>Slika 1</w:t>
      </w:r>
      <w:r w:rsidR="001E30D1" w:rsidRPr="004E6412">
        <w:rPr>
          <w:rStyle w:val="IntenseEmphasis"/>
          <w:b/>
          <w:bCs w:val="0"/>
          <w:iCs/>
          <w:sz w:val="20"/>
          <w:lang w:val="hr-HR"/>
        </w:rPr>
        <w:t>6</w:t>
      </w:r>
      <w:r w:rsidRPr="004E6412">
        <w:rPr>
          <w:rStyle w:val="IntenseEmphasis"/>
          <w:b/>
          <w:bCs w:val="0"/>
          <w:iCs/>
          <w:sz w:val="20"/>
          <w:lang w:val="hr-HR"/>
        </w:rPr>
        <w:t>. Izravna inozemna ulaganja , u milijunima kuna, preračunato u kune prema srednjem tečaju HNB-a na dan 31. prosinca., 2004. – 2012.</w:t>
      </w:r>
      <w:bookmarkEnd w:id="94"/>
    </w:p>
    <w:p w:rsidR="00E7055E" w:rsidRPr="004E6412" w:rsidRDefault="001E199D" w:rsidP="00E7055E">
      <w:pPr>
        <w:pStyle w:val="Caption"/>
        <w:rPr>
          <w:szCs w:val="24"/>
        </w:rPr>
      </w:pPr>
      <w:r w:rsidRPr="004E6412">
        <w:rPr>
          <w:noProof/>
          <w:szCs w:val="24"/>
        </w:rPr>
        <w:drawing>
          <wp:inline distT="0" distB="0" distL="0" distR="0" wp14:anchorId="02EA9BA8" wp14:editId="7D621D85">
            <wp:extent cx="4575673" cy="2746867"/>
            <wp:effectExtent l="6101" t="6104" r="6101" b="6104"/>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055E" w:rsidRPr="004E6412" w:rsidRDefault="00E7055E" w:rsidP="00E7055E">
      <w:pPr>
        <w:rPr>
          <w:sz w:val="20"/>
          <w:szCs w:val="24"/>
        </w:rPr>
      </w:pPr>
      <w:r w:rsidRPr="004E6412">
        <w:rPr>
          <w:sz w:val="20"/>
          <w:szCs w:val="24"/>
        </w:rPr>
        <w:t xml:space="preserve">Izvor: Hrvatska </w:t>
      </w:r>
      <w:r w:rsidR="007275CE" w:rsidRPr="004E6412">
        <w:rPr>
          <w:sz w:val="20"/>
          <w:szCs w:val="24"/>
        </w:rPr>
        <w:t>narodna banka. Dostupno na:</w:t>
      </w:r>
      <w:r w:rsidRPr="004E6412">
        <w:rPr>
          <w:sz w:val="20"/>
          <w:szCs w:val="24"/>
        </w:rPr>
        <w:t xml:space="preserve"> www.hnb.hr [11.7.2013.]</w:t>
      </w:r>
    </w:p>
    <w:p w:rsidR="00E7055E" w:rsidRPr="004E6412" w:rsidRDefault="00E7055E" w:rsidP="00E7055E"/>
    <w:p w:rsidR="00E7055E" w:rsidRPr="004E6412" w:rsidRDefault="00CA67D7" w:rsidP="00B15A78">
      <w:pPr>
        <w:pStyle w:val="ListParagraph"/>
        <w:numPr>
          <w:ilvl w:val="0"/>
          <w:numId w:val="167"/>
        </w:numPr>
        <w:jc w:val="both"/>
        <w:rPr>
          <w:rFonts w:ascii="Times New Roman" w:hAnsi="Times New Roman"/>
        </w:rPr>
      </w:pPr>
      <w:r w:rsidRPr="004E6412">
        <w:rPr>
          <w:rFonts w:ascii="Times New Roman" w:hAnsi="Times New Roman"/>
        </w:rPr>
        <w:t xml:space="preserve">Uvidom u visinu </w:t>
      </w:r>
      <w:r w:rsidR="00E7055E" w:rsidRPr="004E6412">
        <w:rPr>
          <w:rFonts w:ascii="Times New Roman" w:hAnsi="Times New Roman"/>
        </w:rPr>
        <w:t>ulaganja prema djelatnostima</w:t>
      </w:r>
      <w:r w:rsidRPr="004E6412">
        <w:rPr>
          <w:rFonts w:ascii="Times New Roman" w:hAnsi="Times New Roman"/>
        </w:rPr>
        <w:t xml:space="preserve">, </w:t>
      </w:r>
      <w:r w:rsidR="00E7055E" w:rsidRPr="004E6412">
        <w:rPr>
          <w:rFonts w:ascii="Times New Roman" w:hAnsi="Times New Roman"/>
        </w:rPr>
        <w:t xml:space="preserve">utvrđeno je kako se </w:t>
      </w:r>
      <w:r w:rsidRPr="004E6412">
        <w:rPr>
          <w:rFonts w:ascii="Times New Roman" w:hAnsi="Times New Roman"/>
        </w:rPr>
        <w:t xml:space="preserve">u 2012. godini </w:t>
      </w:r>
      <w:r w:rsidR="00E7055E" w:rsidRPr="004E6412">
        <w:rPr>
          <w:rFonts w:ascii="Times New Roman" w:hAnsi="Times New Roman"/>
        </w:rPr>
        <w:t>najviše ulagalo u financijsko posredovanje, osim osiguravajućih i mirovinskih fondova. Iza te djelatnosti slijedi djelatnost trgovine na vel</w:t>
      </w:r>
      <w:r w:rsidR="007275CE" w:rsidRPr="004E6412">
        <w:rPr>
          <w:rFonts w:ascii="Times New Roman" w:hAnsi="Times New Roman"/>
        </w:rPr>
        <w:t>iko i posredovanje u trgovini s</w:t>
      </w:r>
      <w:r w:rsidR="00E7055E" w:rsidRPr="004E6412">
        <w:rPr>
          <w:rFonts w:ascii="Times New Roman" w:hAnsi="Times New Roman"/>
        </w:rPr>
        <w:t xml:space="preserve"> iznosom od 17,65 milijardi kuna, a jedina djelatnost koja je primi</w:t>
      </w:r>
      <w:r w:rsidR="007275CE" w:rsidRPr="004E6412">
        <w:rPr>
          <w:rFonts w:ascii="Times New Roman" w:hAnsi="Times New Roman"/>
        </w:rPr>
        <w:t xml:space="preserve">la više od 10 milijardi kuna </w:t>
      </w:r>
      <w:r w:rsidR="00E7055E" w:rsidRPr="004E6412">
        <w:rPr>
          <w:rFonts w:ascii="Times New Roman" w:hAnsi="Times New Roman"/>
        </w:rPr>
        <w:t>bila</w:t>
      </w:r>
      <w:r w:rsidR="007275CE" w:rsidRPr="004E6412">
        <w:rPr>
          <w:rFonts w:ascii="Times New Roman" w:hAnsi="Times New Roman"/>
        </w:rPr>
        <w:t xml:space="preserve"> je</w:t>
      </w:r>
      <w:r w:rsidR="00E7055E" w:rsidRPr="004E6412">
        <w:rPr>
          <w:rFonts w:ascii="Times New Roman" w:hAnsi="Times New Roman"/>
        </w:rPr>
        <w:t xml:space="preserve"> djela</w:t>
      </w:r>
      <w:r w:rsidR="007275CE" w:rsidRPr="004E6412">
        <w:rPr>
          <w:rFonts w:ascii="Times New Roman" w:hAnsi="Times New Roman"/>
        </w:rPr>
        <w:t>tnost poslovanja nekretninama s</w:t>
      </w:r>
      <w:r w:rsidR="00E7055E" w:rsidRPr="004E6412">
        <w:rPr>
          <w:rFonts w:ascii="Times New Roman" w:hAnsi="Times New Roman"/>
        </w:rPr>
        <w:t xml:space="preserve"> 11 milijardi kuna. </w:t>
      </w:r>
    </w:p>
    <w:p w:rsidR="00E7055E" w:rsidRPr="004E6412" w:rsidRDefault="00E7055E" w:rsidP="00E7055E">
      <w:pPr>
        <w:pStyle w:val="ListParagraph"/>
        <w:jc w:val="both"/>
        <w:rPr>
          <w:rFonts w:ascii="Times New Roman" w:hAnsi="Times New Roman"/>
        </w:rPr>
      </w:pPr>
    </w:p>
    <w:p w:rsidR="00E7055E" w:rsidRPr="004E6412" w:rsidRDefault="00E7055E" w:rsidP="00B15A78">
      <w:pPr>
        <w:pStyle w:val="ListParagraph"/>
        <w:numPr>
          <w:ilvl w:val="0"/>
          <w:numId w:val="167"/>
        </w:numPr>
        <w:spacing w:after="0"/>
        <w:jc w:val="both"/>
        <w:rPr>
          <w:rFonts w:ascii="Times New Roman" w:hAnsi="Times New Roman"/>
        </w:rPr>
      </w:pPr>
      <w:r w:rsidRPr="004E6412">
        <w:rPr>
          <w:rFonts w:ascii="Times New Roman" w:hAnsi="Times New Roman"/>
        </w:rPr>
        <w:t>Analizirajući razliku u odnosu na 2008. godinu u kojoj su ostvarena najveća ulaganja u posljednja dva desetljeća, sve promatrane djelatnosti su u 2012. godini ostvarile znatn</w:t>
      </w:r>
      <w:r w:rsidR="007275CE" w:rsidRPr="004E6412">
        <w:rPr>
          <w:rFonts w:ascii="Times New Roman" w:hAnsi="Times New Roman"/>
        </w:rPr>
        <w:t>o manja ulaganja. Dakle, od pred</w:t>
      </w:r>
      <w:r w:rsidRPr="004E6412">
        <w:rPr>
          <w:rFonts w:ascii="Times New Roman" w:hAnsi="Times New Roman"/>
        </w:rPr>
        <w:t>kriznog razdoblja inozemna ulaganja po svim djelatnostima su smanjena i to većinom za više od 100%.</w:t>
      </w:r>
    </w:p>
    <w:p w:rsidR="002C4FA9" w:rsidRPr="004E6412" w:rsidRDefault="002C4FA9" w:rsidP="002C4FA9">
      <w:pPr>
        <w:pStyle w:val="ListParagraph"/>
        <w:spacing w:after="0"/>
        <w:ind w:left="0"/>
        <w:jc w:val="both"/>
        <w:rPr>
          <w:rFonts w:ascii="Times New Roman" w:hAnsi="Times New Roman"/>
        </w:rPr>
      </w:pPr>
    </w:p>
    <w:p w:rsidR="00E7055E" w:rsidRPr="007D0CFD" w:rsidRDefault="00E7055E" w:rsidP="007D0CFD">
      <w:pPr>
        <w:pStyle w:val="Heading5"/>
        <w:rPr>
          <w:rStyle w:val="IntenseEmphasis"/>
          <w:b/>
          <w:bCs w:val="0"/>
          <w:iCs w:val="0"/>
          <w:color w:val="548DD4" w:themeColor="text2" w:themeTint="99"/>
          <w:sz w:val="20"/>
        </w:rPr>
      </w:pPr>
      <w:bookmarkStart w:id="95" w:name="_Toc377551024"/>
      <w:bookmarkStart w:id="96" w:name="_Toc377635213"/>
      <w:r w:rsidRPr="007D0CFD">
        <w:rPr>
          <w:rStyle w:val="IntenseEmphasis"/>
          <w:b/>
          <w:bCs w:val="0"/>
          <w:iCs w:val="0"/>
          <w:color w:val="548DD4" w:themeColor="text2" w:themeTint="99"/>
          <w:sz w:val="20"/>
        </w:rPr>
        <w:t xml:space="preserve">Tablica </w:t>
      </w:r>
      <w:r w:rsidR="00122D9F"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Inozemna izravna ulaganja u Hrvatsku po djelatnostima</w:t>
      </w:r>
      <w:r w:rsidR="002C4FA9" w:rsidRPr="007D0CFD">
        <w:rPr>
          <w:rStyle w:val="IntenseEmphasis"/>
          <w:b/>
          <w:bCs w:val="0"/>
          <w:iCs w:val="0"/>
          <w:color w:val="548DD4" w:themeColor="text2" w:themeTint="99"/>
          <w:sz w:val="20"/>
        </w:rPr>
        <w:t>, u milijunima kuna</w:t>
      </w:r>
      <w:bookmarkEnd w:id="95"/>
      <w:bookmarkEnd w:id="96"/>
    </w:p>
    <w:tbl>
      <w:tblPr>
        <w:tblW w:w="5000" w:type="pct"/>
        <w:tblLook w:val="04A0" w:firstRow="1" w:lastRow="0" w:firstColumn="1" w:lastColumn="0" w:noHBand="0" w:noVBand="1"/>
      </w:tblPr>
      <w:tblGrid>
        <w:gridCol w:w="1066"/>
        <w:gridCol w:w="6649"/>
        <w:gridCol w:w="1571"/>
      </w:tblGrid>
      <w:tr w:rsidR="00AA5B95" w:rsidRPr="004E6412" w:rsidTr="0008774F">
        <w:trPr>
          <w:trHeight w:val="645"/>
        </w:trPr>
        <w:tc>
          <w:tcPr>
            <w:tcW w:w="44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NKD 2002.</w:t>
            </w:r>
          </w:p>
        </w:tc>
        <w:tc>
          <w:tcPr>
            <w:tcW w:w="3647" w:type="pct"/>
            <w:tcBorders>
              <w:top w:val="single" w:sz="4" w:space="0" w:color="auto"/>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Djelatnost</w:t>
            </w:r>
          </w:p>
        </w:tc>
        <w:tc>
          <w:tcPr>
            <w:tcW w:w="912" w:type="pct"/>
            <w:tcBorders>
              <w:top w:val="single" w:sz="4" w:space="0" w:color="auto"/>
              <w:left w:val="nil"/>
              <w:bottom w:val="single" w:sz="4" w:space="0" w:color="auto"/>
              <w:right w:val="single" w:sz="4" w:space="0" w:color="auto"/>
            </w:tcBorders>
            <w:shd w:val="clear" w:color="000000" w:fill="D8D8D8"/>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Ukupna ulaganja 2004. - 2012.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UKUPNO INOZEMNA IZRAVNA ULAGANJA</w:t>
            </w:r>
          </w:p>
        </w:tc>
        <w:tc>
          <w:tcPr>
            <w:tcW w:w="912"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132.647,3</w:t>
            </w:r>
          </w:p>
        </w:tc>
      </w:tr>
      <w:tr w:rsidR="00AA5B95" w:rsidRPr="004E6412" w:rsidTr="0008774F">
        <w:trPr>
          <w:trHeight w:val="217"/>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FINANCIJSKO POSREDOVANJE, OSIM OSIGURAVAJUĆIH I MIROVINSKIH FONDOVA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45.648,3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VELIKO I POSREDOVANJE U TRGOVINI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17.151,4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POSLOVANJE NEKRETNINAMA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10.810,3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74</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POSLOVNE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9.420,1</w:t>
            </w:r>
          </w:p>
        </w:tc>
      </w:tr>
      <w:tr w:rsidR="00AA5B95" w:rsidRPr="004E6412" w:rsidTr="0008774F">
        <w:trPr>
          <w:trHeight w:val="14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KOKSA, NAFTNIH DERIVATA I NUKLEARNOG GORIVA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9.119,1</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lastRenderedPageBreak/>
              <w:t>52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MALO; POPRAVAK PREDMETA ZA KUĆANSTVO</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7.362,2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V</w:t>
            </w:r>
            <w:r w:rsidR="00AA5B95" w:rsidRPr="004E6412">
              <w:rPr>
                <w:rFonts w:eastAsia="Times New Roman"/>
                <w:sz w:val="18"/>
                <w:szCs w:val="18"/>
                <w:lang w:eastAsia="hr-HR"/>
              </w:rPr>
              <w:t>lasnička ulaganja u nekretnine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5.317,6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VAĐENJE NAFTE I ZEMNOGA PLINA; USLUŽNE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3.408,6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OSTALIH NEMETALNIH MINERALNIH PROIZVODA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3.109,8</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HOTELI I RESTORANI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2.844,8</w:t>
            </w:r>
          </w:p>
        </w:tc>
      </w:tr>
      <w:tr w:rsidR="00AA5B95" w:rsidRPr="004E6412" w:rsidTr="0008774F">
        <w:trPr>
          <w:trHeight w:val="92"/>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xml:space="preserve">OSIGURANJE I MIROVINSKI FONDOVI, OSIM </w:t>
            </w:r>
            <w:r w:rsidR="001E317A" w:rsidRPr="004E6412">
              <w:rPr>
                <w:rFonts w:eastAsia="Times New Roman"/>
                <w:sz w:val="18"/>
                <w:szCs w:val="18"/>
                <w:lang w:eastAsia="hr-HR"/>
              </w:rPr>
              <w:t>OBV</w:t>
            </w:r>
            <w:r w:rsidRPr="004E6412">
              <w:rPr>
                <w:rFonts w:eastAsia="Times New Roman"/>
                <w:sz w:val="18"/>
                <w:szCs w:val="18"/>
                <w:lang w:eastAsia="hr-HR"/>
              </w:rPr>
              <w:t>EZNOG OSIGURANJA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2.347,2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REKREACIJSKE, KULTURNE I SPORTSKE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1.989,4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1.626,0</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HRANE I PIĆA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1.194,9</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SKUPLJANJE, PROČIŠĆAVANJE I DISTRIBUCIJA VODE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1.119,8</w:t>
            </w:r>
          </w:p>
        </w:tc>
      </w:tr>
      <w:tr w:rsidR="00AA5B95" w:rsidRPr="004E6412" w:rsidTr="0008774F">
        <w:trPr>
          <w:trHeight w:val="79"/>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TRGOVINA MOTORNIM VOZILIMA</w:t>
            </w:r>
            <w:r w:rsidR="00AA5B95" w:rsidRPr="004E6412">
              <w:rPr>
                <w:rFonts w:eastAsia="Times New Roman"/>
                <w:sz w:val="18"/>
                <w:szCs w:val="18"/>
                <w:lang w:eastAsia="hr-HR"/>
              </w:rPr>
              <w:t>; POPRAVAK MOTORNIH VOZILA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1.063,4</w:t>
            </w:r>
          </w:p>
        </w:tc>
      </w:tr>
    </w:tbl>
    <w:p w:rsidR="00E7055E" w:rsidRPr="004E6412" w:rsidRDefault="00E7055E" w:rsidP="00E7055E">
      <w:pPr>
        <w:rPr>
          <w:sz w:val="20"/>
          <w:szCs w:val="24"/>
        </w:rPr>
      </w:pPr>
      <w:r w:rsidRPr="004E6412">
        <w:rPr>
          <w:sz w:val="20"/>
          <w:szCs w:val="24"/>
        </w:rPr>
        <w:t>Izvor: Hrvat</w:t>
      </w:r>
      <w:r w:rsidR="001E317A" w:rsidRPr="004E6412">
        <w:rPr>
          <w:sz w:val="20"/>
          <w:szCs w:val="24"/>
        </w:rPr>
        <w:t>ska narodna banka. Dostupno na:</w:t>
      </w:r>
      <w:r w:rsidRPr="004E6412">
        <w:rPr>
          <w:sz w:val="20"/>
          <w:szCs w:val="24"/>
        </w:rPr>
        <w:t xml:space="preserve"> www.hnb.hr [11.7.2013.]</w:t>
      </w:r>
    </w:p>
    <w:p w:rsidR="00E7055E" w:rsidRPr="004E6412" w:rsidRDefault="00E7055E" w:rsidP="005F1C24">
      <w:pPr>
        <w:spacing w:after="120"/>
        <w:rPr>
          <w:lang w:eastAsia="hr-HR"/>
        </w:rPr>
      </w:pPr>
    </w:p>
    <w:p w:rsidR="003F00B3" w:rsidRPr="004E6412" w:rsidRDefault="003F00B3" w:rsidP="003F00B3"/>
    <w:p w:rsidR="00D20BAA" w:rsidRPr="004E6412" w:rsidRDefault="00D20BAA" w:rsidP="007B6202">
      <w:pPr>
        <w:pStyle w:val="Heading4"/>
      </w:pPr>
      <w:r w:rsidRPr="004E6412">
        <w:t>Devizni tečaj</w:t>
      </w:r>
      <w:bookmarkEnd w:id="93"/>
    </w:p>
    <w:p w:rsidR="00D20BAA" w:rsidRPr="004E6412" w:rsidRDefault="00322BC2" w:rsidP="00B15A78">
      <w:pPr>
        <w:numPr>
          <w:ilvl w:val="0"/>
          <w:numId w:val="155"/>
        </w:numPr>
        <w:rPr>
          <w:sz w:val="22"/>
        </w:rPr>
      </w:pPr>
      <w:r w:rsidRPr="004E6412">
        <w:rPr>
          <w:sz w:val="22"/>
        </w:rPr>
        <w:t>U Tabl</w:t>
      </w:r>
      <w:r w:rsidR="001E317A" w:rsidRPr="004E6412">
        <w:rPr>
          <w:sz w:val="22"/>
        </w:rPr>
        <w:t>icama</w:t>
      </w:r>
      <w:r w:rsidR="004823E2" w:rsidRPr="004E6412">
        <w:rPr>
          <w:sz w:val="22"/>
        </w:rPr>
        <w:t xml:space="preserve"> 13</w:t>
      </w:r>
      <w:r w:rsidR="001E317A" w:rsidRPr="004E6412">
        <w:rPr>
          <w:sz w:val="22"/>
        </w:rPr>
        <w:t>. i</w:t>
      </w:r>
      <w:r w:rsidR="004823E2" w:rsidRPr="004E6412">
        <w:rPr>
          <w:sz w:val="22"/>
        </w:rPr>
        <w:t xml:space="preserve"> 14</w:t>
      </w:r>
      <w:r w:rsidR="001E317A" w:rsidRPr="004E6412">
        <w:rPr>
          <w:sz w:val="22"/>
        </w:rPr>
        <w:t>.</w:t>
      </w:r>
      <w:r w:rsidR="008363A5" w:rsidRPr="004E6412">
        <w:rPr>
          <w:sz w:val="22"/>
        </w:rPr>
        <w:t xml:space="preserve"> prikazana su kretanja</w:t>
      </w:r>
      <w:r w:rsidRPr="004E6412">
        <w:rPr>
          <w:sz w:val="22"/>
        </w:rPr>
        <w:t xml:space="preserve"> prosječnog godišnjeg tečaja hrvatske kune prema euru i hrvatske kune prema američkom dolaru u razdoblju od 2004. do 2012. godine.</w:t>
      </w:r>
    </w:p>
    <w:p w:rsidR="00322BC2" w:rsidRPr="004E6412" w:rsidRDefault="00322BC2" w:rsidP="00D20BAA">
      <w:pPr>
        <w:rPr>
          <w:sz w:val="22"/>
          <w:highlight w:val="yellow"/>
        </w:rPr>
      </w:pPr>
    </w:p>
    <w:p w:rsidR="00D20BAA" w:rsidRPr="007D0CFD" w:rsidRDefault="00D20BAA" w:rsidP="007D0CFD">
      <w:pPr>
        <w:pStyle w:val="Heading5"/>
        <w:rPr>
          <w:rStyle w:val="IntenseEmphasis"/>
          <w:b/>
          <w:bCs w:val="0"/>
          <w:iCs w:val="0"/>
          <w:color w:val="548DD4" w:themeColor="text2" w:themeTint="99"/>
          <w:sz w:val="20"/>
        </w:rPr>
      </w:pPr>
      <w:bookmarkStart w:id="97" w:name="_Toc377551025"/>
      <w:bookmarkStart w:id="98" w:name="_Toc377635214"/>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Pros</w:t>
      </w:r>
      <w:r w:rsidR="007B6202" w:rsidRPr="007D0CFD">
        <w:rPr>
          <w:rStyle w:val="IntenseEmphasis"/>
          <w:b/>
          <w:bCs w:val="0"/>
          <w:iCs w:val="0"/>
          <w:color w:val="548DD4" w:themeColor="text2" w:themeTint="99"/>
          <w:sz w:val="20"/>
        </w:rPr>
        <w:t>ječni godišnji devizni tečaj HRK/</w:t>
      </w:r>
      <w:r w:rsidRPr="007D0CFD">
        <w:rPr>
          <w:rStyle w:val="IntenseEmphasis"/>
          <w:b/>
          <w:bCs w:val="0"/>
          <w:iCs w:val="0"/>
          <w:color w:val="548DD4" w:themeColor="text2" w:themeTint="99"/>
          <w:sz w:val="20"/>
        </w:rPr>
        <w:t>EUR</w:t>
      </w:r>
      <w:bookmarkEnd w:id="97"/>
      <w:bookmarkEnd w:id="98"/>
    </w:p>
    <w:tbl>
      <w:tblPr>
        <w:tblW w:w="5000" w:type="pct"/>
        <w:tblLook w:val="04A0" w:firstRow="1" w:lastRow="0" w:firstColumn="1" w:lastColumn="0" w:noHBand="0" w:noVBand="1"/>
      </w:tblPr>
      <w:tblGrid>
        <w:gridCol w:w="3071"/>
        <w:gridCol w:w="691"/>
        <w:gridCol w:w="691"/>
        <w:gridCol w:w="691"/>
        <w:gridCol w:w="691"/>
        <w:gridCol w:w="691"/>
        <w:gridCol w:w="691"/>
        <w:gridCol w:w="691"/>
        <w:gridCol w:w="691"/>
        <w:gridCol w:w="687"/>
      </w:tblGrid>
      <w:tr w:rsidR="00D20BAA" w:rsidRPr="004E6412" w:rsidTr="001E26AA">
        <w:trPr>
          <w:trHeight w:val="225"/>
        </w:trPr>
        <w:tc>
          <w:tcPr>
            <w:tcW w:w="165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72"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5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1E26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GODIŠNJI</w:t>
            </w:r>
            <w:r w:rsidR="007B6202" w:rsidRPr="004E6412">
              <w:rPr>
                <w:rFonts w:eastAsia="Times New Roman"/>
                <w:b/>
                <w:bCs/>
                <w:color w:val="000000"/>
                <w:sz w:val="16"/>
                <w:szCs w:val="16"/>
                <w:lang w:eastAsia="hr-HR"/>
              </w:rPr>
              <w:t xml:space="preserve"> TEČAJ HRK</w:t>
            </w:r>
            <w:r w:rsidR="00D20BAA" w:rsidRPr="004E6412">
              <w:rPr>
                <w:rFonts w:eastAsia="Times New Roman"/>
                <w:b/>
                <w:bCs/>
                <w:color w:val="000000"/>
                <w:sz w:val="16"/>
                <w:szCs w:val="16"/>
                <w:lang w:eastAsia="hr-HR"/>
              </w:rPr>
              <w:t>/EUR</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7,4956</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7,4000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7,3228</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7,3360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7,2231</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7,3395</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7,2862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7,4342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7,5173</w:t>
            </w:r>
          </w:p>
        </w:tc>
      </w:tr>
    </w:tbl>
    <w:p w:rsidR="00D20BAA" w:rsidRPr="004E6412" w:rsidRDefault="00D20BAA" w:rsidP="00D20BAA">
      <w:pPr>
        <w:rPr>
          <w:sz w:val="20"/>
          <w:szCs w:val="20"/>
        </w:rPr>
      </w:pPr>
      <w:r w:rsidRPr="004E6412">
        <w:rPr>
          <w:sz w:val="20"/>
          <w:szCs w:val="20"/>
        </w:rPr>
        <w:t>Izvor: Hrvatska nar</w:t>
      </w:r>
      <w:r w:rsidR="001E317A" w:rsidRPr="004E6412">
        <w:rPr>
          <w:sz w:val="20"/>
          <w:szCs w:val="20"/>
        </w:rPr>
        <w:t>odna banka. Dostupno na:</w:t>
      </w:r>
      <w:r w:rsidRPr="004E6412">
        <w:rPr>
          <w:sz w:val="20"/>
          <w:szCs w:val="20"/>
        </w:rPr>
        <w:t xml:space="preserve"> www.hnb.hr [11.7.2013.]; obrada autora</w:t>
      </w:r>
    </w:p>
    <w:p w:rsidR="00D20BAA" w:rsidRPr="004E6412" w:rsidRDefault="00D20BAA"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99" w:name="_Toc372736934"/>
      <w:bookmarkStart w:id="100" w:name="_Toc372737597"/>
      <w:bookmarkStart w:id="101" w:name="_Toc377551026"/>
      <w:bookmarkStart w:id="102" w:name="_Toc377635215"/>
      <w:r w:rsidRPr="007D0CFD">
        <w:rPr>
          <w:rStyle w:val="IntenseEmphasis"/>
          <w:b/>
          <w:bCs w:val="0"/>
          <w:iCs w:val="0"/>
          <w:color w:val="548DD4" w:themeColor="text2" w:themeTint="99"/>
          <w:sz w:val="20"/>
        </w:rPr>
        <w:t xml:space="preserve">Tablica </w:t>
      </w:r>
      <w:r w:rsidR="00D90748"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xml:space="preserve">. Prosječni godišnji devizni tečaj </w:t>
      </w:r>
      <w:r w:rsidR="001E26AA" w:rsidRPr="007D0CFD">
        <w:rPr>
          <w:rStyle w:val="IntenseEmphasis"/>
          <w:b/>
          <w:bCs w:val="0"/>
          <w:iCs w:val="0"/>
          <w:color w:val="548DD4" w:themeColor="text2" w:themeTint="99"/>
          <w:sz w:val="20"/>
        </w:rPr>
        <w:t>HRK/</w:t>
      </w:r>
      <w:r w:rsidRPr="007D0CFD">
        <w:rPr>
          <w:rStyle w:val="IntenseEmphasis"/>
          <w:b/>
          <w:bCs w:val="0"/>
          <w:iCs w:val="0"/>
          <w:color w:val="548DD4" w:themeColor="text2" w:themeTint="99"/>
          <w:sz w:val="20"/>
        </w:rPr>
        <w:t>USD</w:t>
      </w:r>
      <w:bookmarkEnd w:id="99"/>
      <w:bookmarkEnd w:id="100"/>
      <w:bookmarkEnd w:id="101"/>
      <w:bookmarkEnd w:id="102"/>
    </w:p>
    <w:tbl>
      <w:tblPr>
        <w:tblW w:w="5000" w:type="pct"/>
        <w:tblLook w:val="04A0" w:firstRow="1" w:lastRow="0" w:firstColumn="1" w:lastColumn="0" w:noHBand="0" w:noVBand="1"/>
      </w:tblPr>
      <w:tblGrid>
        <w:gridCol w:w="3000"/>
        <w:gridCol w:w="708"/>
        <w:gridCol w:w="708"/>
        <w:gridCol w:w="708"/>
        <w:gridCol w:w="708"/>
        <w:gridCol w:w="708"/>
        <w:gridCol w:w="708"/>
        <w:gridCol w:w="622"/>
        <w:gridCol w:w="708"/>
        <w:gridCol w:w="708"/>
      </w:tblGrid>
      <w:tr w:rsidR="00D20BAA" w:rsidRPr="004E6412" w:rsidTr="001E26AA">
        <w:trPr>
          <w:trHeight w:val="225"/>
        </w:trPr>
        <w:tc>
          <w:tcPr>
            <w:tcW w:w="161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81"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35"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1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1E26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w:t>
            </w:r>
            <w:r w:rsidR="001E26AA" w:rsidRPr="004E6412">
              <w:rPr>
                <w:rFonts w:eastAsia="Times New Roman"/>
                <w:b/>
                <w:bCs/>
                <w:color w:val="000000"/>
                <w:sz w:val="16"/>
                <w:szCs w:val="16"/>
                <w:lang w:eastAsia="hr-HR"/>
              </w:rPr>
              <w:t>IŠNJI TEČAJ HRK</w:t>
            </w:r>
            <w:r w:rsidRPr="004E6412">
              <w:rPr>
                <w:rFonts w:eastAsia="Times New Roman"/>
                <w:b/>
                <w:bCs/>
                <w:color w:val="000000"/>
                <w:sz w:val="16"/>
                <w:szCs w:val="16"/>
                <w:lang w:eastAsia="hr-HR"/>
              </w:rPr>
              <w:t>/USD</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6,0312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5,8392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5,3660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4,9344</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5,2804</w:t>
            </w:r>
          </w:p>
        </w:tc>
        <w:tc>
          <w:tcPr>
            <w:tcW w:w="33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5,3435</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5,8509</w:t>
            </w:r>
          </w:p>
        </w:tc>
      </w:tr>
    </w:tbl>
    <w:p w:rsidR="00D20BAA" w:rsidRPr="004E6412" w:rsidRDefault="00D20BAA" w:rsidP="00D20BAA">
      <w:pPr>
        <w:rPr>
          <w:sz w:val="20"/>
          <w:szCs w:val="20"/>
        </w:rPr>
      </w:pPr>
      <w:bookmarkStart w:id="103" w:name="_Toc372308890"/>
      <w:r w:rsidRPr="004E6412">
        <w:rPr>
          <w:sz w:val="20"/>
          <w:szCs w:val="20"/>
        </w:rPr>
        <w:t>Izvor: Hrvat</w:t>
      </w:r>
      <w:r w:rsidR="001E317A" w:rsidRPr="004E6412">
        <w:rPr>
          <w:sz w:val="20"/>
          <w:szCs w:val="20"/>
        </w:rPr>
        <w:t>ska narodna banka. Dostupno na:</w:t>
      </w:r>
      <w:r w:rsidRPr="004E6412">
        <w:rPr>
          <w:sz w:val="20"/>
          <w:szCs w:val="20"/>
        </w:rPr>
        <w:t xml:space="preserve"> www.hnb.hr [11.7.2013.]; obrada autora</w:t>
      </w:r>
    </w:p>
    <w:p w:rsidR="00322BC2" w:rsidRPr="004E6412" w:rsidRDefault="00322BC2" w:rsidP="001E26AA"/>
    <w:p w:rsidR="00322BC2" w:rsidRPr="004E6412" w:rsidRDefault="00322BC2" w:rsidP="00B15A78">
      <w:pPr>
        <w:numPr>
          <w:ilvl w:val="0"/>
          <w:numId w:val="163"/>
        </w:numPr>
        <w:rPr>
          <w:sz w:val="22"/>
        </w:rPr>
      </w:pPr>
      <w:r w:rsidRPr="004E6412">
        <w:rPr>
          <w:sz w:val="22"/>
        </w:rPr>
        <w:t>Od 2008. godine kuna je u odnosu na dolar i euro deprecirala</w:t>
      </w:r>
      <w:r w:rsidR="00AA5B95" w:rsidRPr="004E6412">
        <w:rPr>
          <w:sz w:val="22"/>
        </w:rPr>
        <w:t>. Njena vrijednost u odnosu na euro je od 2008. smanjena za 4,07%, a u odnosu na dolar je od 2008. smanjena za 18,57%.</w:t>
      </w:r>
    </w:p>
    <w:p w:rsidR="00D20BAA" w:rsidRPr="004E6412" w:rsidRDefault="00D20BAA" w:rsidP="00D20BAA"/>
    <w:p w:rsidR="00322BC2" w:rsidRPr="004E6412" w:rsidRDefault="00322BC2" w:rsidP="00D20BAA"/>
    <w:p w:rsidR="00D20BAA" w:rsidRPr="004E6412" w:rsidRDefault="00D20BAA" w:rsidP="001E26AA">
      <w:pPr>
        <w:pStyle w:val="Heading4"/>
        <w:rPr>
          <w:highlight w:val="yellow"/>
        </w:rPr>
      </w:pPr>
      <w:r w:rsidRPr="004E6412">
        <w:t>Inozemni dug</w:t>
      </w:r>
    </w:p>
    <w:p w:rsidR="00D20BAA" w:rsidRPr="004E6412" w:rsidRDefault="00D20BAA" w:rsidP="00B15A78">
      <w:pPr>
        <w:numPr>
          <w:ilvl w:val="0"/>
          <w:numId w:val="164"/>
        </w:numPr>
        <w:rPr>
          <w:sz w:val="22"/>
        </w:rPr>
      </w:pPr>
      <w:r w:rsidRPr="004E6412">
        <w:rPr>
          <w:sz w:val="22"/>
        </w:rPr>
        <w:t>Ukupan inozemni dug Hr</w:t>
      </w:r>
      <w:r w:rsidR="00322BC2" w:rsidRPr="004E6412">
        <w:rPr>
          <w:sz w:val="22"/>
        </w:rPr>
        <w:t>vatske u stalnom je porastu. No,</w:t>
      </w:r>
      <w:r w:rsidRPr="004E6412">
        <w:rPr>
          <w:sz w:val="22"/>
        </w:rPr>
        <w:t xml:space="preserve"> njegov</w:t>
      </w:r>
      <w:r w:rsidR="00322BC2" w:rsidRPr="004E6412">
        <w:rPr>
          <w:sz w:val="22"/>
        </w:rPr>
        <w:t xml:space="preserve"> je</w:t>
      </w:r>
      <w:r w:rsidRPr="004E6412">
        <w:rPr>
          <w:sz w:val="22"/>
        </w:rPr>
        <w:t xml:space="preserve"> udio u BDP-u smanjen sa 104,60% iz 2010. godine, kada je ujedno bio najviši, na 102,10% u 2012.</w:t>
      </w:r>
      <w:r w:rsidR="007B6202" w:rsidRPr="004E6412">
        <w:rPr>
          <w:sz w:val="22"/>
        </w:rPr>
        <w:t xml:space="preserve"> godini.</w:t>
      </w:r>
      <w:r w:rsidR="001E317A" w:rsidRPr="004E6412">
        <w:rPr>
          <w:sz w:val="22"/>
        </w:rPr>
        <w:t xml:space="preserve"> U pred</w:t>
      </w:r>
      <w:r w:rsidRPr="004E6412">
        <w:rPr>
          <w:sz w:val="22"/>
        </w:rPr>
        <w:t xml:space="preserve">kriznoj 2008. godini ukupan </w:t>
      </w:r>
      <w:r w:rsidR="001E26AA" w:rsidRPr="004E6412">
        <w:rPr>
          <w:sz w:val="22"/>
        </w:rPr>
        <w:t>inozemni dug</w:t>
      </w:r>
      <w:r w:rsidRPr="004E6412">
        <w:rPr>
          <w:sz w:val="22"/>
        </w:rPr>
        <w:t xml:space="preserve"> </w:t>
      </w:r>
      <w:r w:rsidR="001E26AA" w:rsidRPr="004E6412">
        <w:rPr>
          <w:sz w:val="22"/>
        </w:rPr>
        <w:t>iznosio je</w:t>
      </w:r>
      <w:r w:rsidRPr="004E6412">
        <w:rPr>
          <w:sz w:val="22"/>
        </w:rPr>
        <w:t xml:space="preserve"> 85,40% BDP-a</w:t>
      </w:r>
      <w:r w:rsidR="001E317A" w:rsidRPr="004E6412">
        <w:rPr>
          <w:sz w:val="22"/>
        </w:rPr>
        <w:t>.</w:t>
      </w:r>
    </w:p>
    <w:p w:rsidR="004752DA" w:rsidRPr="004E6412" w:rsidRDefault="004752DA" w:rsidP="004752DA">
      <w:pPr>
        <w:ind w:left="360"/>
        <w:rPr>
          <w:sz w:val="22"/>
        </w:rPr>
      </w:pPr>
    </w:p>
    <w:p w:rsidR="004752DA" w:rsidRPr="004E6412" w:rsidRDefault="00171759" w:rsidP="00B15A78">
      <w:pPr>
        <w:numPr>
          <w:ilvl w:val="0"/>
          <w:numId w:val="164"/>
        </w:numPr>
        <w:rPr>
          <w:sz w:val="22"/>
        </w:rPr>
      </w:pPr>
      <w:r w:rsidRPr="004E6412">
        <w:rPr>
          <w:sz w:val="22"/>
        </w:rPr>
        <w:t xml:space="preserve">Struktura duga pokazuje da opća država čini 19,06% ukupnog inozemnog duga u 2012., dok kreditne institucije čine 20,94%, </w:t>
      </w:r>
      <w:r w:rsidR="001E317A" w:rsidRPr="004E6412">
        <w:rPr>
          <w:sz w:val="22"/>
        </w:rPr>
        <w:t xml:space="preserve">a </w:t>
      </w:r>
      <w:r w:rsidRPr="004E6412">
        <w:rPr>
          <w:sz w:val="22"/>
        </w:rPr>
        <w:t>na izravna ulaganja otpada 16,12%. Ostali</w:t>
      </w:r>
      <w:r w:rsidR="001E317A" w:rsidRPr="004E6412">
        <w:rPr>
          <w:sz w:val="22"/>
        </w:rPr>
        <w:t xml:space="preserve"> domaći sektori čine prevladavajućih</w:t>
      </w:r>
      <w:r w:rsidRPr="004E6412">
        <w:rPr>
          <w:sz w:val="22"/>
        </w:rPr>
        <w:t xml:space="preserve"> 43,88% duga.</w:t>
      </w:r>
    </w:p>
    <w:p w:rsidR="00171759" w:rsidRPr="004E6412" w:rsidRDefault="00171759" w:rsidP="00171759">
      <w:pPr>
        <w:ind w:left="360"/>
      </w:pPr>
    </w:p>
    <w:p w:rsidR="00171759" w:rsidRPr="004E6412" w:rsidRDefault="001E317A" w:rsidP="00B15A78">
      <w:pPr>
        <w:numPr>
          <w:ilvl w:val="0"/>
          <w:numId w:val="164"/>
        </w:numPr>
        <w:rPr>
          <w:sz w:val="22"/>
        </w:rPr>
      </w:pPr>
      <w:r w:rsidRPr="004E6412">
        <w:rPr>
          <w:sz w:val="22"/>
        </w:rPr>
        <w:t>U odnosu na pred</w:t>
      </w:r>
      <w:r w:rsidR="00171759" w:rsidRPr="004E6412">
        <w:rPr>
          <w:sz w:val="22"/>
        </w:rPr>
        <w:t xml:space="preserve">kriznu 2008. godinu, samo su kreditne institucije smanjile iznos inozemnog duga i to </w:t>
      </w:r>
      <w:r w:rsidRPr="004E6412">
        <w:rPr>
          <w:sz w:val="22"/>
        </w:rPr>
        <w:t xml:space="preserve">za 4,12%. Svi ostali sektori </w:t>
      </w:r>
      <w:r w:rsidR="00171759" w:rsidRPr="004E6412">
        <w:rPr>
          <w:sz w:val="22"/>
        </w:rPr>
        <w:t xml:space="preserve">povećali </w:t>
      </w:r>
      <w:r w:rsidRPr="004E6412">
        <w:rPr>
          <w:sz w:val="22"/>
        </w:rPr>
        <w:t xml:space="preserve">su </w:t>
      </w:r>
      <w:r w:rsidR="00171759" w:rsidRPr="004E6412">
        <w:rPr>
          <w:sz w:val="22"/>
        </w:rPr>
        <w:t>inozemnu zaduženost.</w:t>
      </w:r>
    </w:p>
    <w:p w:rsidR="00D20BAA" w:rsidRPr="004E6412" w:rsidRDefault="00D20BAA" w:rsidP="00D20BAA">
      <w:pPr>
        <w:rPr>
          <w:sz w:val="22"/>
        </w:rPr>
      </w:pPr>
    </w:p>
    <w:p w:rsidR="00AA5B95" w:rsidRPr="004E6412" w:rsidRDefault="00AA5B95" w:rsidP="00D20BAA">
      <w:pPr>
        <w:rPr>
          <w:sz w:val="22"/>
        </w:rPr>
      </w:pPr>
    </w:p>
    <w:p w:rsidR="00AA5B95" w:rsidRPr="004E6412" w:rsidRDefault="00AA5B95" w:rsidP="00D20BAA">
      <w:pPr>
        <w:rPr>
          <w:sz w:val="22"/>
        </w:rPr>
      </w:pPr>
    </w:p>
    <w:p w:rsidR="00AA5B95" w:rsidRPr="004E6412" w:rsidRDefault="00AA5B95"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104" w:name="_Toc377551027"/>
      <w:bookmarkStart w:id="105" w:name="_Toc377635216"/>
      <w:r w:rsidRPr="007D0CFD">
        <w:rPr>
          <w:rStyle w:val="IntenseEmphasis"/>
          <w:b/>
          <w:bCs w:val="0"/>
          <w:iCs w:val="0"/>
          <w:color w:val="548DD4" w:themeColor="text2" w:themeTint="99"/>
          <w:sz w:val="20"/>
        </w:rPr>
        <w:lastRenderedPageBreak/>
        <w:t>Tablica</w:t>
      </w:r>
      <w:r w:rsidR="00A23CB5" w:rsidRPr="007D0CFD">
        <w:rPr>
          <w:rStyle w:val="IntenseEmphasis"/>
          <w:b/>
          <w:bCs w:val="0"/>
          <w:iCs w:val="0"/>
          <w:color w:val="548DD4" w:themeColor="text2" w:themeTint="99"/>
          <w:sz w:val="20"/>
        </w:rPr>
        <w:t xml:space="preserve"> 1</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Inozemni dug</w:t>
      </w:r>
      <w:r w:rsidR="004752DA" w:rsidRPr="007D0CFD">
        <w:rPr>
          <w:rStyle w:val="IntenseEmphasis"/>
          <w:b/>
          <w:bCs w:val="0"/>
          <w:iCs w:val="0"/>
          <w:color w:val="548DD4" w:themeColor="text2" w:themeTint="99"/>
          <w:sz w:val="20"/>
        </w:rPr>
        <w:t xml:space="preserve"> Republike Hrvatske prema sektoru dužnika</w:t>
      </w:r>
      <w:r w:rsidRPr="007D0CFD">
        <w:rPr>
          <w:rStyle w:val="IntenseEmphasis"/>
          <w:b/>
          <w:bCs w:val="0"/>
          <w:iCs w:val="0"/>
          <w:color w:val="548DD4" w:themeColor="text2" w:themeTint="99"/>
          <w:sz w:val="20"/>
        </w:rPr>
        <w:t>, 2004. – 2012. (</w:t>
      </w:r>
      <w:r w:rsidR="004752DA" w:rsidRPr="007D0CFD">
        <w:rPr>
          <w:rStyle w:val="IntenseEmphasis"/>
          <w:b/>
          <w:bCs w:val="0"/>
          <w:iCs w:val="0"/>
          <w:color w:val="548DD4" w:themeColor="text2" w:themeTint="99"/>
          <w:sz w:val="20"/>
        </w:rPr>
        <w:t>u milijardama</w:t>
      </w:r>
      <w:r w:rsidRPr="007D0CFD">
        <w:rPr>
          <w:rStyle w:val="IntenseEmphasis"/>
          <w:b/>
          <w:bCs w:val="0"/>
          <w:iCs w:val="0"/>
          <w:color w:val="548DD4" w:themeColor="text2" w:themeTint="99"/>
          <w:sz w:val="20"/>
        </w:rPr>
        <w:t xml:space="preserve"> kuna)</w:t>
      </w:r>
      <w:bookmarkEnd w:id="104"/>
      <w:bookmarkEnd w:id="105"/>
    </w:p>
    <w:tbl>
      <w:tblPr>
        <w:tblW w:w="5000" w:type="pct"/>
        <w:tblCellMar>
          <w:left w:w="57" w:type="dxa"/>
          <w:right w:w="57" w:type="dxa"/>
        </w:tblCellMar>
        <w:tblLook w:val="04A0" w:firstRow="1" w:lastRow="0" w:firstColumn="1" w:lastColumn="0" w:noHBand="0" w:noVBand="1"/>
      </w:tblPr>
      <w:tblGrid>
        <w:gridCol w:w="1572"/>
        <w:gridCol w:w="659"/>
        <w:gridCol w:w="659"/>
        <w:gridCol w:w="659"/>
        <w:gridCol w:w="660"/>
        <w:gridCol w:w="660"/>
        <w:gridCol w:w="688"/>
        <w:gridCol w:w="688"/>
        <w:gridCol w:w="688"/>
        <w:gridCol w:w="688"/>
        <w:gridCol w:w="773"/>
        <w:gridCol w:w="790"/>
      </w:tblGrid>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2004</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2005</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2006</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2007</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2008</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2009</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2010</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2011</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2012</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 xml:space="preserve">Udio u </w:t>
            </w:r>
            <w:r w:rsidR="0008774F" w:rsidRPr="004E6412">
              <w:rPr>
                <w:rFonts w:eastAsia="Times New Roman"/>
                <w:b/>
                <w:bCs/>
                <w:sz w:val="16"/>
                <w:szCs w:val="16"/>
                <w:lang w:eastAsia="hr-HR"/>
              </w:rPr>
              <w:t>ukupnom</w:t>
            </w:r>
            <w:r w:rsidRPr="004E6412">
              <w:rPr>
                <w:rFonts w:eastAsia="Times New Roman"/>
                <w:b/>
                <w:bCs/>
                <w:sz w:val="16"/>
                <w:szCs w:val="16"/>
                <w:lang w:eastAsia="hr-HR"/>
              </w:rPr>
              <w:t xml:space="preserve"> dugu u 2008.</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Promjena 2008. - 2012.</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center"/>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r>
      <w:tr w:rsidR="00171759" w:rsidRPr="004E6412" w:rsidTr="0008774F">
        <w:trPr>
          <w:trHeight w:val="225"/>
        </w:trPr>
        <w:tc>
          <w:tcPr>
            <w:tcW w:w="762"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Opća država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44,7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48,9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53,8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19,06%</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81,61%</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Središnja banka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Kreditne institucije</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59,3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66,2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73,9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79,5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87,6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70,9</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20,94%</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-4,12%</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Ostali domaći sektori</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77,2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107,8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153,0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154,4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151,9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148,5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43,88%</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2,29%</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Izravna ulaganja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28,8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57,1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52,2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16,12%</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27,55%</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Ukupno</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175,9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191,7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218,3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297,3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343,4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338,3</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13,80%</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r w:rsidR="00171759" w:rsidRPr="004E6412" w:rsidTr="0008774F">
        <w:trPr>
          <w:trHeight w:val="435"/>
        </w:trPr>
        <w:tc>
          <w:tcPr>
            <w:tcW w:w="762" w:type="pc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4823E2" w:rsidP="00171759">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w:t>
            </w:r>
            <w:r w:rsidR="00171759" w:rsidRPr="004E6412">
              <w:rPr>
                <w:rFonts w:eastAsia="Times New Roman"/>
                <w:b/>
                <w:bCs/>
                <w:color w:val="000000"/>
                <w:sz w:val="16"/>
                <w:szCs w:val="16"/>
                <w:lang w:eastAsia="hr-HR"/>
              </w:rPr>
              <w:t>ozemni dug (% BDP-a)</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74,80%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77,70%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85,40%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102,10%</w:t>
            </w: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bl>
    <w:p w:rsidR="00D20BAA" w:rsidRPr="004E6412" w:rsidRDefault="00D20BAA" w:rsidP="00D20BAA">
      <w:pPr>
        <w:rPr>
          <w:sz w:val="20"/>
          <w:szCs w:val="20"/>
        </w:rPr>
      </w:pPr>
      <w:r w:rsidRPr="004E6412">
        <w:rPr>
          <w:sz w:val="20"/>
          <w:szCs w:val="20"/>
        </w:rPr>
        <w:t>Izvor: Hrvat</w:t>
      </w:r>
      <w:r w:rsidR="001E317A" w:rsidRPr="004E6412">
        <w:rPr>
          <w:sz w:val="20"/>
          <w:szCs w:val="20"/>
        </w:rPr>
        <w:t>ska narodna banka. Dostupno na:</w:t>
      </w:r>
      <w:r w:rsidRPr="004E6412">
        <w:rPr>
          <w:sz w:val="20"/>
          <w:szCs w:val="20"/>
        </w:rPr>
        <w:t xml:space="preserve"> ww</w:t>
      </w:r>
      <w:r w:rsidR="00171759" w:rsidRPr="004E6412">
        <w:rPr>
          <w:sz w:val="20"/>
          <w:szCs w:val="20"/>
        </w:rPr>
        <w:t>w.hnb.hr [11.7.2013.]; obrada au</w:t>
      </w:r>
      <w:r w:rsidRPr="004E6412">
        <w:rPr>
          <w:sz w:val="20"/>
          <w:szCs w:val="20"/>
        </w:rPr>
        <w:t>tora</w:t>
      </w:r>
    </w:p>
    <w:p w:rsidR="00D20BAA" w:rsidRPr="004E6412" w:rsidRDefault="00D20BAA" w:rsidP="005F1C24">
      <w:pPr>
        <w:spacing w:after="120"/>
      </w:pPr>
    </w:p>
    <w:p w:rsidR="00D20BAA" w:rsidRPr="004E6412" w:rsidRDefault="00D20BAA" w:rsidP="00D20BAA"/>
    <w:p w:rsidR="00D20BAA" w:rsidRPr="004E6412" w:rsidRDefault="00D20BAA" w:rsidP="001E26AA">
      <w:pPr>
        <w:pStyle w:val="Heading4"/>
        <w:rPr>
          <w:rFonts w:eastAsia="Calibri"/>
          <w:i/>
        </w:rPr>
      </w:pPr>
      <w:bookmarkStart w:id="106" w:name="_Toc372554002"/>
      <w:r w:rsidRPr="004E6412">
        <w:rPr>
          <w:rFonts w:eastAsia="Calibri"/>
        </w:rPr>
        <w:t>Stanovništvo</w:t>
      </w:r>
      <w:bookmarkEnd w:id="103"/>
      <w:bookmarkEnd w:id="106"/>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Broj stanovnika Hrvatske smanjuje se kontinuirano iz godine u godinu. U razdoblju 2008.-2012.</w:t>
      </w:r>
      <w:r w:rsidR="001E26AA" w:rsidRPr="004E6412">
        <w:rPr>
          <w:rFonts w:ascii="Times New Roman" w:hAnsi="Times New Roman"/>
        </w:rPr>
        <w:t xml:space="preserve"> godine</w:t>
      </w:r>
      <w:r w:rsidR="001E317A" w:rsidRPr="004E6412">
        <w:rPr>
          <w:rFonts w:ascii="Times New Roman" w:hAnsi="Times New Roman"/>
        </w:rPr>
        <w:t xml:space="preserve"> broj stanovnika </w:t>
      </w:r>
      <w:r w:rsidRPr="004E6412">
        <w:rPr>
          <w:rFonts w:ascii="Times New Roman" w:hAnsi="Times New Roman"/>
        </w:rPr>
        <w:t xml:space="preserve">smanjio </w:t>
      </w:r>
      <w:r w:rsidR="001E317A" w:rsidRPr="004E6412">
        <w:rPr>
          <w:rFonts w:ascii="Times New Roman" w:hAnsi="Times New Roman"/>
        </w:rPr>
        <w:t xml:space="preserve">se </w:t>
      </w:r>
      <w:r w:rsidRPr="004E6412">
        <w:rPr>
          <w:rFonts w:ascii="Times New Roman" w:hAnsi="Times New Roman"/>
        </w:rPr>
        <w:t xml:space="preserve">za 166 tisuća (pad od 3,74%). Hrvatska se po broju stanovnika nalazi na 21. mjestu među </w:t>
      </w:r>
      <w:r w:rsidR="001E26AA" w:rsidRPr="004E6412">
        <w:rPr>
          <w:rFonts w:ascii="Times New Roman" w:hAnsi="Times New Roman"/>
        </w:rPr>
        <w:t>zemljama članicama EU28</w:t>
      </w:r>
      <w:r w:rsidRPr="004E6412">
        <w:rPr>
          <w:rFonts w:ascii="Times New Roman" w:hAnsi="Times New Roman"/>
        </w:rPr>
        <w:t>. Po broju stanovnika iza Hrvatske su Litva, Slovenija, Latvija, Estonija, Cipar, Luksemburg i Malta. Nje</w:t>
      </w:r>
      <w:r w:rsidR="001E317A" w:rsidRPr="004E6412">
        <w:rPr>
          <w:rFonts w:ascii="Times New Roman" w:hAnsi="Times New Roman"/>
        </w:rPr>
        <w:t>zi</w:t>
      </w:r>
      <w:r w:rsidRPr="004E6412">
        <w:rPr>
          <w:rFonts w:ascii="Times New Roman" w:hAnsi="Times New Roman"/>
        </w:rPr>
        <w:t>n udio u ukupno</w:t>
      </w:r>
      <w:r w:rsidR="001E26AA" w:rsidRPr="004E6412">
        <w:rPr>
          <w:rFonts w:ascii="Times New Roman" w:hAnsi="Times New Roman"/>
        </w:rPr>
        <w:t>m broju stanovnika EU28</w:t>
      </w:r>
      <w:r w:rsidRPr="004E6412">
        <w:rPr>
          <w:rFonts w:ascii="Times New Roman" w:hAnsi="Times New Roman"/>
        </w:rPr>
        <w:t xml:space="preserve"> čini 0,84%.</w:t>
      </w:r>
    </w:p>
    <w:p w:rsidR="00D20BAA" w:rsidRPr="007D0CFD" w:rsidRDefault="00D20BAA" w:rsidP="007D0CFD">
      <w:pPr>
        <w:pStyle w:val="Heading5"/>
        <w:rPr>
          <w:rStyle w:val="IntenseEmphasis"/>
          <w:rFonts w:eastAsia="Calibri"/>
          <w:b/>
          <w:bCs w:val="0"/>
          <w:iCs w:val="0"/>
          <w:color w:val="548DD4" w:themeColor="text2" w:themeTint="99"/>
          <w:sz w:val="20"/>
        </w:rPr>
      </w:pPr>
    </w:p>
    <w:p w:rsidR="00D20BAA" w:rsidRPr="004E6412" w:rsidRDefault="00D20BAA" w:rsidP="007D0CFD">
      <w:pPr>
        <w:pStyle w:val="Heading5"/>
      </w:pPr>
      <w:bookmarkStart w:id="107" w:name="_Toc372736935"/>
      <w:bookmarkStart w:id="108" w:name="_Toc372737598"/>
      <w:bookmarkStart w:id="109" w:name="_Toc377551028"/>
      <w:bookmarkStart w:id="110" w:name="_Toc377635217"/>
      <w:r w:rsidRPr="007D0CFD">
        <w:rPr>
          <w:rStyle w:val="IntenseEmphasis"/>
          <w:b/>
          <w:bCs w:val="0"/>
          <w:iCs w:val="0"/>
          <w:color w:val="548DD4" w:themeColor="text2" w:themeTint="99"/>
          <w:sz w:val="20"/>
        </w:rPr>
        <w:t xml:space="preserve">Tablica </w:t>
      </w:r>
      <w:r w:rsidR="00122D9F" w:rsidRPr="004E6412">
        <w:t>1</w:t>
      </w:r>
      <w:r w:rsidR="005C3AEC" w:rsidRPr="004E6412">
        <w:t>6</w:t>
      </w:r>
      <w:r w:rsidRPr="004E6412">
        <w:t>. Distribucija stanovništva prema dobi</w:t>
      </w:r>
      <w:bookmarkEnd w:id="107"/>
      <w:bookmarkEnd w:id="108"/>
      <w:bookmarkEnd w:id="109"/>
      <w:bookmarkEnd w:id="110"/>
    </w:p>
    <w:tbl>
      <w:tblPr>
        <w:tblW w:w="5000" w:type="pct"/>
        <w:tblLook w:val="04A0" w:firstRow="1" w:lastRow="0" w:firstColumn="1" w:lastColumn="0" w:noHBand="0" w:noVBand="1"/>
      </w:tblPr>
      <w:tblGrid>
        <w:gridCol w:w="1449"/>
        <w:gridCol w:w="1263"/>
        <w:gridCol w:w="1348"/>
        <w:gridCol w:w="1263"/>
        <w:gridCol w:w="1348"/>
        <w:gridCol w:w="1263"/>
        <w:gridCol w:w="1352"/>
      </w:tblGrid>
      <w:tr w:rsidR="0008774F" w:rsidRPr="004E6412" w:rsidTr="0097195F">
        <w:trPr>
          <w:trHeight w:val="460"/>
        </w:trPr>
        <w:tc>
          <w:tcPr>
            <w:tcW w:w="780" w:type="pct"/>
            <w:vMerge w:val="restart"/>
            <w:tcBorders>
              <w:top w:val="single" w:sz="4" w:space="0" w:color="auto"/>
              <w:left w:val="single" w:sz="4" w:space="0" w:color="auto"/>
              <w:bottom w:val="nil"/>
              <w:right w:val="nil"/>
            </w:tcBorders>
            <w:shd w:val="clear" w:color="auto" w:fill="D9D9D9"/>
            <w:noWrap/>
            <w:vAlign w:val="center"/>
          </w:tcPr>
          <w:p w:rsidR="0008774F" w:rsidRPr="004E6412" w:rsidRDefault="0008774F" w:rsidP="00D20BAA">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Dobna skupina</w:t>
            </w:r>
          </w:p>
        </w:tc>
        <w:tc>
          <w:tcPr>
            <w:tcW w:w="4220" w:type="pct"/>
            <w:gridSpan w:val="6"/>
            <w:tcBorders>
              <w:top w:val="single" w:sz="4" w:space="0" w:color="auto"/>
              <w:left w:val="single" w:sz="4" w:space="0" w:color="auto"/>
              <w:bottom w:val="single" w:sz="4" w:space="0" w:color="auto"/>
              <w:right w:val="single" w:sz="4" w:space="0" w:color="auto"/>
            </w:tcBorders>
            <w:shd w:val="clear" w:color="000000" w:fill="D8D8D8"/>
            <w:vAlign w:val="center"/>
          </w:tcPr>
          <w:p w:rsidR="0008774F" w:rsidRPr="004E6412" w:rsidRDefault="0008774F" w:rsidP="00974C5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STANOVNIŠTVO PREMA DOBI, 2010. - 2012.</w:t>
            </w:r>
          </w:p>
        </w:tc>
      </w:tr>
      <w:tr w:rsidR="0008774F" w:rsidRPr="004E6412" w:rsidTr="0097195F">
        <w:trPr>
          <w:trHeight w:val="675"/>
        </w:trPr>
        <w:tc>
          <w:tcPr>
            <w:tcW w:w="780" w:type="pct"/>
            <w:vMerge/>
            <w:tcBorders>
              <w:left w:val="single" w:sz="4" w:space="0" w:color="auto"/>
              <w:bottom w:val="single" w:sz="4" w:space="0" w:color="auto"/>
              <w:right w:val="nil"/>
            </w:tcBorders>
            <w:shd w:val="clear" w:color="auto" w:fill="D9D9D9"/>
            <w:noWrap/>
            <w:vAlign w:val="center"/>
          </w:tcPr>
          <w:p w:rsidR="0008774F" w:rsidRPr="004E6412" w:rsidRDefault="0008774F" w:rsidP="00D20BAA">
            <w:pPr>
              <w:spacing w:line="240" w:lineRule="auto"/>
              <w:jc w:val="left"/>
              <w:rPr>
                <w:rFonts w:eastAsia="Times New Roman"/>
                <w:color w:val="000000"/>
                <w:sz w:val="16"/>
                <w:szCs w:val="16"/>
                <w:lang w:eastAsia="hr-HR"/>
              </w:rPr>
            </w:pPr>
          </w:p>
        </w:tc>
        <w:tc>
          <w:tcPr>
            <w:tcW w:w="680" w:type="pct"/>
            <w:tcBorders>
              <w:top w:val="single" w:sz="4" w:space="0" w:color="auto"/>
              <w:left w:val="single" w:sz="4" w:space="0" w:color="auto"/>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2010.</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2011.</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2012.</w:t>
            </w:r>
          </w:p>
        </w:tc>
        <w:tc>
          <w:tcPr>
            <w:tcW w:w="728"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r>
      <w:tr w:rsidR="00D20BAA" w:rsidRPr="004E6412" w:rsidTr="0008774F">
        <w:trPr>
          <w:trHeight w:val="225"/>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0 - 4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213.800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212.200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213.300</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5 − 9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204.400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10 − 14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249.800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222.900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15 − 19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255.900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243.600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20 − 24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25 − 29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282.300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30 − 34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295.500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35 − 39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296.500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284.700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40 − 44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304.900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45 − 49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306.900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303.200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50 − 54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330.100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319.700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55 − 59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314.100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7,46%</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60 − 64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6,44%</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65 i više</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762.300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769.100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4.417.800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4.280.600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4.267.600</w:t>
            </w:r>
          </w:p>
        </w:tc>
        <w:tc>
          <w:tcPr>
            <w:tcW w:w="728"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bl>
    <w:p w:rsidR="00D20BAA" w:rsidRPr="004E6412" w:rsidRDefault="00D20BAA" w:rsidP="00D20BAA">
      <w:pPr>
        <w:rPr>
          <w:sz w:val="20"/>
          <w:szCs w:val="20"/>
        </w:rPr>
      </w:pPr>
      <w:r w:rsidRPr="004E6412">
        <w:rPr>
          <w:sz w:val="20"/>
          <w:szCs w:val="20"/>
        </w:rPr>
        <w:t>Izvor: Državni za</w:t>
      </w:r>
      <w:r w:rsidR="001E317A" w:rsidRPr="004E6412">
        <w:rPr>
          <w:sz w:val="20"/>
          <w:szCs w:val="20"/>
        </w:rPr>
        <w:t>vod za statistiku. Dostupno na:</w:t>
      </w:r>
      <w:r w:rsidRPr="004E6412">
        <w:rPr>
          <w:sz w:val="20"/>
          <w:szCs w:val="20"/>
        </w:rPr>
        <w:t xml:space="preserve"> www.dzs.hr [11.7.2</w:t>
      </w:r>
      <w:r w:rsidR="001E317A" w:rsidRPr="004E6412">
        <w:rPr>
          <w:sz w:val="20"/>
          <w:szCs w:val="20"/>
        </w:rPr>
        <w:t>013.], podaci za 2011. i 2012. privremeno</w:t>
      </w:r>
      <w:r w:rsidRPr="004E6412">
        <w:rPr>
          <w:sz w:val="20"/>
          <w:szCs w:val="20"/>
        </w:rPr>
        <w:t xml:space="preserve"> su </w:t>
      </w:r>
      <w:r w:rsidR="001E317A" w:rsidRPr="004E6412">
        <w:rPr>
          <w:sz w:val="20"/>
          <w:szCs w:val="20"/>
        </w:rPr>
        <w:t xml:space="preserve">prikazani </w:t>
      </w:r>
      <w:r w:rsidRPr="004E6412">
        <w:rPr>
          <w:sz w:val="20"/>
          <w:szCs w:val="20"/>
        </w:rPr>
        <w:t>kao zbroj tromjesečnih podataka.</w:t>
      </w:r>
    </w:p>
    <w:p w:rsidR="00D20BAA" w:rsidRPr="004E6412" w:rsidRDefault="00D20BAA" w:rsidP="00D20BAA"/>
    <w:p w:rsidR="00D20BAA" w:rsidRPr="004E6412" w:rsidRDefault="00D20BAA" w:rsidP="00D20BAA">
      <w:pPr>
        <w:pStyle w:val="ListParagraph"/>
        <w:spacing w:after="0"/>
        <w:jc w:val="both"/>
        <w:rPr>
          <w:rFonts w:ascii="Times New Roman" w:hAnsi="Times New Roman"/>
        </w:rPr>
      </w:pPr>
    </w:p>
    <w:p w:rsidR="00D20BAA" w:rsidRPr="004E6412" w:rsidRDefault="001E317A" w:rsidP="00B15A78">
      <w:pPr>
        <w:pStyle w:val="ListParagraph"/>
        <w:numPr>
          <w:ilvl w:val="0"/>
          <w:numId w:val="152"/>
        </w:numPr>
        <w:spacing w:after="0"/>
        <w:jc w:val="both"/>
        <w:rPr>
          <w:rFonts w:ascii="Times New Roman" w:hAnsi="Times New Roman"/>
        </w:rPr>
      </w:pPr>
      <w:r w:rsidRPr="004E6412">
        <w:rPr>
          <w:rFonts w:ascii="Times New Roman" w:hAnsi="Times New Roman"/>
        </w:rPr>
        <w:t xml:space="preserve">Struktura stanovništva </w:t>
      </w:r>
      <w:r w:rsidR="00D20BAA" w:rsidRPr="004E6412">
        <w:rPr>
          <w:rFonts w:ascii="Times New Roman" w:hAnsi="Times New Roman"/>
        </w:rPr>
        <w:t xml:space="preserve">mijenja </w:t>
      </w:r>
      <w:r w:rsidRPr="004E6412">
        <w:rPr>
          <w:rFonts w:ascii="Times New Roman" w:hAnsi="Times New Roman"/>
        </w:rPr>
        <w:t xml:space="preserve">se </w:t>
      </w:r>
      <w:r w:rsidR="00D20BAA" w:rsidRPr="004E6412">
        <w:rPr>
          <w:rFonts w:ascii="Times New Roman" w:hAnsi="Times New Roman"/>
        </w:rPr>
        <w:t xml:space="preserve">u korist starijih ljudi. </w:t>
      </w:r>
      <w:r w:rsidR="002928C9" w:rsidRPr="004E6412">
        <w:rPr>
          <w:rFonts w:ascii="Times New Roman" w:hAnsi="Times New Roman"/>
        </w:rPr>
        <w:t>N</w:t>
      </w:r>
      <w:r w:rsidR="00D20BAA" w:rsidRPr="004E6412">
        <w:rPr>
          <w:rFonts w:ascii="Times New Roman" w:hAnsi="Times New Roman"/>
        </w:rPr>
        <w:t xml:space="preserve">ajveći udio u ukupnom broju </w:t>
      </w:r>
      <w:r w:rsidR="001E26AA" w:rsidRPr="004E6412">
        <w:rPr>
          <w:rFonts w:ascii="Times New Roman" w:hAnsi="Times New Roman"/>
        </w:rPr>
        <w:t xml:space="preserve">stanovništva </w:t>
      </w:r>
      <w:r w:rsidR="00D20BAA" w:rsidRPr="004E6412">
        <w:rPr>
          <w:rFonts w:ascii="Times New Roman" w:hAnsi="Times New Roman"/>
        </w:rPr>
        <w:t xml:space="preserve">čine </w:t>
      </w:r>
      <w:r w:rsidR="001E26AA" w:rsidRPr="004E6412">
        <w:rPr>
          <w:rFonts w:ascii="Times New Roman" w:hAnsi="Times New Roman"/>
        </w:rPr>
        <w:t>oni koji pripadaju skupini 65+ godina</w:t>
      </w:r>
      <w:r w:rsidR="00D20BAA" w:rsidRPr="004E6412">
        <w:rPr>
          <w:rFonts w:ascii="Times New Roman" w:hAnsi="Times New Roman"/>
        </w:rPr>
        <w:t xml:space="preserve"> starosti</w:t>
      </w:r>
      <w:r w:rsidR="001E26AA" w:rsidRPr="004E6412">
        <w:rPr>
          <w:rFonts w:ascii="Times New Roman" w:hAnsi="Times New Roman"/>
        </w:rPr>
        <w:t>.</w:t>
      </w:r>
      <w:r w:rsidR="00D20BAA" w:rsidRPr="004E6412">
        <w:rPr>
          <w:rFonts w:ascii="Times New Roman" w:hAnsi="Times New Roman"/>
        </w:rPr>
        <w:t xml:space="preserve"> Iz godine u godinu</w:t>
      </w:r>
      <w:r w:rsidR="00322BC2" w:rsidRPr="004E6412">
        <w:rPr>
          <w:rFonts w:ascii="Times New Roman" w:hAnsi="Times New Roman"/>
        </w:rPr>
        <w:t>,</w:t>
      </w:r>
      <w:r w:rsidR="00D20BAA" w:rsidRPr="004E6412">
        <w:rPr>
          <w:rFonts w:ascii="Times New Roman" w:hAnsi="Times New Roman"/>
        </w:rPr>
        <w:t xml:space="preserve"> njihov se udio u ukupnom stanovništvu povećava, </w:t>
      </w:r>
      <w:r w:rsidR="001E26AA" w:rsidRPr="004E6412">
        <w:rPr>
          <w:rFonts w:ascii="Times New Roman" w:hAnsi="Times New Roman"/>
        </w:rPr>
        <w:t>odnosno</w:t>
      </w:r>
      <w:r w:rsidR="00D20BAA" w:rsidRPr="004E6412">
        <w:rPr>
          <w:rFonts w:ascii="Times New Roman" w:hAnsi="Times New Roman"/>
        </w:rPr>
        <w:t xml:space="preserve"> u 2010. je iznosio 17,26%, u 2011. 17,75%, a u 2012. 18,02%.</w:t>
      </w:r>
    </w:p>
    <w:p w:rsidR="00D20BAA" w:rsidRPr="004E6412" w:rsidRDefault="00D20BAA" w:rsidP="00D20BAA">
      <w:pPr>
        <w:rPr>
          <w:sz w:val="22"/>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Od radno sposobnog stanovništva, najveći broj muških i ženskih osoba nalazi se u dob</w:t>
      </w:r>
      <w:r w:rsidR="001E317A" w:rsidRPr="004E6412">
        <w:rPr>
          <w:rFonts w:ascii="Times New Roman" w:hAnsi="Times New Roman"/>
        </w:rPr>
        <w:t>noj skupini od 50 do 54 godine</w:t>
      </w:r>
      <w:r w:rsidRPr="004E6412">
        <w:rPr>
          <w:rFonts w:ascii="Times New Roman" w:hAnsi="Times New Roman"/>
        </w:rPr>
        <w:t xml:space="preserve"> starosti.</w:t>
      </w:r>
    </w:p>
    <w:p w:rsidR="00D20BAA" w:rsidRPr="004E6412" w:rsidRDefault="00D20BAA" w:rsidP="00D20BAA">
      <w:pPr>
        <w:pStyle w:val="ListParagraph"/>
        <w:spacing w:after="0"/>
        <w:jc w:val="both"/>
        <w:rPr>
          <w:rFonts w:ascii="Times New Roman" w:hAnsi="Times New Roman"/>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Pregledom demografskih kretanja može se zaključiti da Hrvatska bilježi trend negativ</w:t>
      </w:r>
      <w:r w:rsidR="001E26AA" w:rsidRPr="004E6412">
        <w:rPr>
          <w:rFonts w:ascii="Times New Roman" w:hAnsi="Times New Roman"/>
        </w:rPr>
        <w:t>nog prirodnog prirasta. U</w:t>
      </w:r>
      <w:r w:rsidR="001E317A" w:rsidRPr="004E6412">
        <w:rPr>
          <w:rFonts w:ascii="Times New Roman" w:hAnsi="Times New Roman"/>
        </w:rPr>
        <w:t xml:space="preserve"> 2012. prirodni prirast </w:t>
      </w:r>
      <w:r w:rsidRPr="004E6412">
        <w:rPr>
          <w:rFonts w:ascii="Times New Roman" w:hAnsi="Times New Roman"/>
        </w:rPr>
        <w:t>iznosio</w:t>
      </w:r>
      <w:r w:rsidR="001E317A" w:rsidRPr="004E6412">
        <w:rPr>
          <w:rFonts w:ascii="Times New Roman" w:hAnsi="Times New Roman"/>
        </w:rPr>
        <w:t xml:space="preserve"> je</w:t>
      </w:r>
      <w:r w:rsidRPr="004E6412">
        <w:rPr>
          <w:rFonts w:ascii="Times New Roman" w:hAnsi="Times New Roman"/>
        </w:rPr>
        <w:t xml:space="preserve"> -2,3 na 1000 stanovnika, što u apsolutnim vrijednostima znači da je 9939 ljudi više umrlo nego što i</w:t>
      </w:r>
      <w:r w:rsidR="001E317A" w:rsidRPr="004E6412">
        <w:rPr>
          <w:rFonts w:ascii="Times New Roman" w:hAnsi="Times New Roman"/>
        </w:rPr>
        <w:t>h se rodilo. Broj živorođenih</w:t>
      </w:r>
      <w:r w:rsidRPr="004E6412">
        <w:rPr>
          <w:rFonts w:ascii="Times New Roman" w:hAnsi="Times New Roman"/>
        </w:rPr>
        <w:t xml:space="preserve"> povećao </w:t>
      </w:r>
      <w:r w:rsidR="001E317A" w:rsidRPr="004E6412">
        <w:rPr>
          <w:rFonts w:ascii="Times New Roman" w:hAnsi="Times New Roman"/>
        </w:rPr>
        <w:t xml:space="preserve">se </w:t>
      </w:r>
      <w:r w:rsidRPr="004E6412">
        <w:rPr>
          <w:rFonts w:ascii="Times New Roman" w:hAnsi="Times New Roman"/>
        </w:rPr>
        <w:t>u odnosu na 2011. (za 500), ali se istovremeno broj umrlih povećao za got</w:t>
      </w:r>
      <w:r w:rsidR="007757D7" w:rsidRPr="004E6412">
        <w:rPr>
          <w:rFonts w:ascii="Times New Roman" w:hAnsi="Times New Roman"/>
        </w:rPr>
        <w:t xml:space="preserve">ovo 700 osoba od 2008. Broj </w:t>
      </w:r>
      <w:r w:rsidRPr="004E6412">
        <w:rPr>
          <w:rFonts w:ascii="Times New Roman" w:hAnsi="Times New Roman"/>
        </w:rPr>
        <w:t>rođenih i umrlih se tijekom godina smanjuje, s time da broj živorođenih pada brže od broja umrlih. Hrvatska i dalje prirodnim prirastom godišnje gubi nešto manje od 10.000 ljudi, s time da se smanjenje broja stanovnika prirodnim prirastom povećava od 2008. na dalje bez naznake promjene trenda.</w:t>
      </w:r>
    </w:p>
    <w:p w:rsidR="008F55F0" w:rsidRPr="004E6412" w:rsidRDefault="008F55F0" w:rsidP="008F55F0">
      <w:pPr>
        <w:pStyle w:val="ListParagraph"/>
        <w:rPr>
          <w:rFonts w:ascii="Times New Roman" w:hAnsi="Times New Roman"/>
        </w:rPr>
      </w:pPr>
    </w:p>
    <w:p w:rsidR="00D20BAA" w:rsidRPr="004E6412" w:rsidRDefault="00D20BAA" w:rsidP="00D20BAA"/>
    <w:p w:rsidR="00D20BAA" w:rsidRPr="004E6412" w:rsidRDefault="00D20BAA" w:rsidP="001E26AA">
      <w:pPr>
        <w:pStyle w:val="Heading4"/>
        <w:rPr>
          <w:i/>
        </w:rPr>
      </w:pPr>
      <w:bookmarkStart w:id="111" w:name="_Toc372308891"/>
      <w:bookmarkStart w:id="112" w:name="_Toc372554003"/>
      <w:r w:rsidRPr="004E6412">
        <w:rPr>
          <w:rFonts w:eastAsia="HelveticaNeueLTPro-BdCn"/>
        </w:rPr>
        <w:t>Pravne osobe</w:t>
      </w:r>
      <w:bookmarkEnd w:id="111"/>
      <w:bookmarkEnd w:id="112"/>
    </w:p>
    <w:p w:rsidR="00D20BAA" w:rsidRPr="004E6412" w:rsidRDefault="00D20BAA" w:rsidP="00B15A78">
      <w:pPr>
        <w:pStyle w:val="ListParagraph"/>
        <w:numPr>
          <w:ilvl w:val="0"/>
          <w:numId w:val="15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Broj registriranih pravnih osoba se u razdoblju 2008.</w:t>
      </w:r>
      <w:r w:rsidR="001E317A" w:rsidRPr="004E6412">
        <w:rPr>
          <w:rFonts w:ascii="Times New Roman" w:eastAsia="HelveticaNeueLTPro-BdCn" w:hAnsi="Times New Roman"/>
        </w:rPr>
        <w:t xml:space="preserve"> – 2012.</w:t>
      </w:r>
      <w:r w:rsidRPr="004E6412">
        <w:rPr>
          <w:rFonts w:ascii="Times New Roman" w:eastAsia="HelveticaNeueLTPro-BdCn" w:hAnsi="Times New Roman"/>
        </w:rPr>
        <w:t xml:space="preserve"> povećao za 9,56%, odnosno s 263.760 registriranih pravnih osoba na 288.972. Povećanje se dogodilo u svim dje</w:t>
      </w:r>
      <w:r w:rsidR="001E317A" w:rsidRPr="004E6412">
        <w:rPr>
          <w:rFonts w:ascii="Times New Roman" w:eastAsia="HelveticaNeueLTPro-BdCn" w:hAnsi="Times New Roman"/>
        </w:rPr>
        <w:t>latnostima osim u javnoj obrani,</w:t>
      </w:r>
      <w:r w:rsidRPr="004E6412">
        <w:rPr>
          <w:rFonts w:ascii="Times New Roman" w:eastAsia="HelveticaNeueLTPro-BdCn" w:hAnsi="Times New Roman"/>
        </w:rPr>
        <w:t xml:space="preserve"> obveznom socijalnom osiguranju i trgovini na veliko i malo. Najveći broj registriranih poduzeća u razdoblju 2008.</w:t>
      </w:r>
      <w:r w:rsidR="001E317A" w:rsidRPr="004E6412">
        <w:rPr>
          <w:rFonts w:ascii="Times New Roman" w:eastAsia="HelveticaNeueLTPro-BdCn" w:hAnsi="Times New Roman"/>
        </w:rPr>
        <w:t xml:space="preserve"> – </w:t>
      </w:r>
      <w:r w:rsidRPr="004E6412">
        <w:rPr>
          <w:rFonts w:ascii="Times New Roman" w:eastAsia="HelveticaNeueLTPro-BdCn" w:hAnsi="Times New Roman"/>
        </w:rPr>
        <w:t>2012</w:t>
      </w:r>
      <w:r w:rsidR="001E317A" w:rsidRPr="004E6412">
        <w:rPr>
          <w:rFonts w:ascii="Times New Roman" w:eastAsia="HelveticaNeueLTPro-BdCn" w:hAnsi="Times New Roman"/>
        </w:rPr>
        <w:t xml:space="preserve">. </w:t>
      </w:r>
      <w:r w:rsidRPr="004E6412">
        <w:rPr>
          <w:rFonts w:ascii="Times New Roman" w:eastAsia="HelveticaNeueLTPro-BdCn" w:hAnsi="Times New Roman"/>
        </w:rPr>
        <w:t xml:space="preserve">registrirano </w:t>
      </w:r>
      <w:r w:rsidR="001E317A" w:rsidRPr="004E6412">
        <w:rPr>
          <w:rFonts w:ascii="Times New Roman" w:eastAsia="HelveticaNeueLTPro-BdCn" w:hAnsi="Times New Roman"/>
        </w:rPr>
        <w:t xml:space="preserve">je </w:t>
      </w:r>
      <w:r w:rsidRPr="004E6412">
        <w:rPr>
          <w:rFonts w:ascii="Times New Roman" w:eastAsia="HelveticaNeueLTPro-BdCn" w:hAnsi="Times New Roman"/>
        </w:rPr>
        <w:t>kao trgovin</w:t>
      </w:r>
      <w:r w:rsidR="001E317A" w:rsidRPr="004E6412">
        <w:rPr>
          <w:rFonts w:ascii="Times New Roman" w:eastAsia="HelveticaNeueLTPro-BdCn" w:hAnsi="Times New Roman"/>
        </w:rPr>
        <w:t>a na veliko i malo, a slijede je</w:t>
      </w:r>
      <w:r w:rsidRPr="004E6412">
        <w:rPr>
          <w:rFonts w:ascii="Times New Roman" w:eastAsia="HelveticaNeueLTPro-BdCn" w:hAnsi="Times New Roman"/>
        </w:rPr>
        <w:t xml:space="preserve"> građevina</w:t>
      </w:r>
      <w:r w:rsidR="001E317A" w:rsidRPr="004E6412">
        <w:rPr>
          <w:rFonts w:ascii="Times New Roman" w:eastAsia="HelveticaNeueLTPro-BdCn" w:hAnsi="Times New Roman"/>
        </w:rPr>
        <w:t>rstvo, prerađivačka industrija te</w:t>
      </w:r>
      <w:r w:rsidRPr="004E6412">
        <w:rPr>
          <w:rFonts w:ascii="Times New Roman" w:eastAsia="HelveticaNeueLTPro-BdCn" w:hAnsi="Times New Roman"/>
        </w:rPr>
        <w:t xml:space="preserve"> stručne, znanstvene i tehničke djelatnosti.</w:t>
      </w:r>
    </w:p>
    <w:p w:rsidR="00D20BAA" w:rsidRPr="004E6412" w:rsidRDefault="00D20BAA" w:rsidP="00D20BAA">
      <w:pPr>
        <w:autoSpaceDE w:val="0"/>
        <w:autoSpaceDN w:val="0"/>
        <w:adjustRightInd w:val="0"/>
        <w:rPr>
          <w:rFonts w:eastAsia="HelveticaNeueLTPro-BdCn"/>
          <w:sz w:val="22"/>
        </w:rPr>
      </w:pPr>
    </w:p>
    <w:p w:rsidR="00D20BAA" w:rsidRPr="004E6412" w:rsidRDefault="00606C40" w:rsidP="00B15A78">
      <w:pPr>
        <w:pStyle w:val="ListParagraph"/>
        <w:numPr>
          <w:ilvl w:val="0"/>
          <w:numId w:val="154"/>
        </w:numPr>
        <w:autoSpaceDE w:val="0"/>
        <w:autoSpaceDN w:val="0"/>
        <w:adjustRightInd w:val="0"/>
        <w:spacing w:after="0"/>
        <w:jc w:val="both"/>
        <w:rPr>
          <w:rFonts w:ascii="Times New Roman" w:eastAsia="Times New Roman" w:hAnsi="Times New Roman"/>
        </w:rPr>
      </w:pPr>
      <w:r w:rsidRPr="004E6412">
        <w:rPr>
          <w:rFonts w:ascii="Times New Roman" w:eastAsia="HelveticaNeueLTPro-BdCn" w:hAnsi="Times New Roman"/>
        </w:rPr>
        <w:t>Za razliku od postotnog povećanja broja</w:t>
      </w:r>
      <w:r w:rsidR="00D20BAA" w:rsidRPr="004E6412">
        <w:rPr>
          <w:rFonts w:ascii="Times New Roman" w:eastAsia="HelveticaNeueLTPro-BdCn" w:hAnsi="Times New Roman"/>
        </w:rPr>
        <w:t xml:space="preserve"> registriranih pravnih osoba</w:t>
      </w:r>
      <w:r w:rsidRPr="004E6412">
        <w:rPr>
          <w:rFonts w:ascii="Times New Roman" w:eastAsia="HelveticaNeueLTPro-BdCn" w:hAnsi="Times New Roman"/>
        </w:rPr>
        <w:t xml:space="preserve"> od 9,56%</w:t>
      </w:r>
      <w:r w:rsidR="00D20BAA" w:rsidRPr="004E6412">
        <w:rPr>
          <w:rFonts w:ascii="Times New Roman" w:eastAsia="HelveticaNeueLTPro-BdCn" w:hAnsi="Times New Roman"/>
        </w:rPr>
        <w:t xml:space="preserve">, broj aktivnih pravnih osoba se u promatranom razdoblju povećao za svega 1,69%, odnosno za 2.224 aktivnih pravnih subjekata. </w:t>
      </w:r>
    </w:p>
    <w:p w:rsidR="004E19C7" w:rsidRPr="004E6412" w:rsidRDefault="004E19C7" w:rsidP="00AE6164">
      <w:pPr>
        <w:rPr>
          <w:rFonts w:eastAsia="Times New Roman"/>
          <w:sz w:val="22"/>
        </w:rPr>
      </w:pPr>
    </w:p>
    <w:p w:rsidR="00797F30" w:rsidRPr="004E6412" w:rsidRDefault="00797F30" w:rsidP="00AE6164">
      <w:pPr>
        <w:rPr>
          <w:rFonts w:eastAsia="Times New Roman"/>
          <w:sz w:val="22"/>
        </w:rPr>
      </w:pPr>
    </w:p>
    <w:p w:rsidR="002928C9" w:rsidRPr="004E6412" w:rsidRDefault="002928C9">
      <w:pPr>
        <w:spacing w:after="200"/>
        <w:jc w:val="left"/>
        <w:rPr>
          <w:rFonts w:eastAsia="Times New Roman"/>
          <w:b/>
          <w:bCs/>
          <w:color w:val="365F91"/>
        </w:rPr>
      </w:pPr>
      <w:r w:rsidRPr="004E6412">
        <w:rPr>
          <w:rFonts w:eastAsia="Times New Roman"/>
        </w:rPr>
        <w:br w:type="page"/>
      </w:r>
    </w:p>
    <w:p w:rsidR="008C6C49" w:rsidRPr="004E6412" w:rsidRDefault="008C6C49" w:rsidP="00A55C27">
      <w:pPr>
        <w:pStyle w:val="Heading3"/>
      </w:pPr>
      <w:bookmarkStart w:id="113" w:name="_Toc378069018"/>
      <w:r w:rsidRPr="004E6412">
        <w:lastRenderedPageBreak/>
        <w:t>Ljudi kao k</w:t>
      </w:r>
      <w:r w:rsidR="001E317A" w:rsidRPr="004E6412">
        <w:t>ljučan</w:t>
      </w:r>
      <w:r w:rsidR="00E05FBD" w:rsidRPr="004E6412">
        <w:t xml:space="preserve"> čimbenik industrijske po</w:t>
      </w:r>
      <w:r w:rsidRPr="004E6412">
        <w:t>litike i tržište rada</w:t>
      </w:r>
      <w:bookmarkEnd w:id="113"/>
    </w:p>
    <w:p w:rsidR="008C6C49" w:rsidRPr="004E6412" w:rsidRDefault="008C6C49" w:rsidP="00AE6164">
      <w:pPr>
        <w:rPr>
          <w:rFonts w:eastAsia="Times New Roman"/>
          <w:szCs w:val="24"/>
        </w:rPr>
      </w:pPr>
    </w:p>
    <w:p w:rsidR="00D0360D" w:rsidRPr="004E6412" w:rsidRDefault="00837C12" w:rsidP="00B15A78">
      <w:pPr>
        <w:numPr>
          <w:ilvl w:val="0"/>
          <w:numId w:val="137"/>
        </w:numPr>
        <w:rPr>
          <w:sz w:val="22"/>
        </w:rPr>
      </w:pPr>
      <w:r w:rsidRPr="004E6412">
        <w:rPr>
          <w:sz w:val="22"/>
        </w:rPr>
        <w:t>Ljudski potencijali</w:t>
      </w:r>
      <w:r w:rsidR="00314F4B" w:rsidRPr="004E6412">
        <w:rPr>
          <w:sz w:val="22"/>
        </w:rPr>
        <w:t>,</w:t>
      </w:r>
      <w:r w:rsidR="00A55C27" w:rsidRPr="004E6412">
        <w:rPr>
          <w:sz w:val="22"/>
        </w:rPr>
        <w:t xml:space="preserve"> u kontekstu industrijske strategije Republike Hrvatske</w:t>
      </w:r>
      <w:r w:rsidR="00314F4B" w:rsidRPr="004E6412">
        <w:rPr>
          <w:sz w:val="22"/>
        </w:rPr>
        <w:t>,</w:t>
      </w:r>
      <w:r w:rsidR="00A55C27" w:rsidRPr="004E6412">
        <w:rPr>
          <w:sz w:val="22"/>
        </w:rPr>
        <w:t xml:space="preserve"> </w:t>
      </w:r>
      <w:r w:rsidR="00DA2484" w:rsidRPr="004E6412">
        <w:rPr>
          <w:sz w:val="22"/>
        </w:rPr>
        <w:t>promatran</w:t>
      </w:r>
      <w:r w:rsidR="004C7285" w:rsidRPr="004E6412">
        <w:rPr>
          <w:sz w:val="22"/>
        </w:rPr>
        <w:t>i su</w:t>
      </w:r>
      <w:r w:rsidR="00DA2484" w:rsidRPr="004E6412">
        <w:rPr>
          <w:sz w:val="22"/>
        </w:rPr>
        <w:t xml:space="preserve"> s</w:t>
      </w:r>
      <w:r w:rsidR="00A55C27" w:rsidRPr="004E6412">
        <w:rPr>
          <w:sz w:val="22"/>
        </w:rPr>
        <w:t xml:space="preserve"> aspekta </w:t>
      </w:r>
      <w:r w:rsidR="00DA2484" w:rsidRPr="004E6412">
        <w:rPr>
          <w:sz w:val="22"/>
        </w:rPr>
        <w:t xml:space="preserve">tržišta rada u RH, tehnološke razine djelatnosti i njihove utemeljenosti na znanju, zamjene radne snage, ponude rada i strukturne neusklađenosti, strukture zaposlenih i nezaposlenih, </w:t>
      </w:r>
      <w:r w:rsidR="00CC7EE9" w:rsidRPr="004E6412">
        <w:rPr>
          <w:sz w:val="22"/>
        </w:rPr>
        <w:t>potražnje</w:t>
      </w:r>
      <w:r w:rsidR="00DA2484" w:rsidRPr="004E6412">
        <w:rPr>
          <w:sz w:val="22"/>
        </w:rPr>
        <w:t xml:space="preserve"> za radnom snagom i zapo</w:t>
      </w:r>
      <w:r w:rsidR="00CC7EE9" w:rsidRPr="004E6412">
        <w:rPr>
          <w:sz w:val="22"/>
        </w:rPr>
        <w:t>šljavanja te stopa</w:t>
      </w:r>
      <w:r w:rsidR="00DA2484" w:rsidRPr="004E6412">
        <w:rPr>
          <w:sz w:val="22"/>
        </w:rPr>
        <w:t xml:space="preserve"> zapošljavanja prema obrazovanju</w:t>
      </w:r>
      <w:r w:rsidR="00CC7EE9" w:rsidRPr="004E6412">
        <w:rPr>
          <w:sz w:val="22"/>
        </w:rPr>
        <w:t>.</w:t>
      </w:r>
      <w:r w:rsidR="00DA2484" w:rsidRPr="004E6412">
        <w:rPr>
          <w:sz w:val="22"/>
        </w:rPr>
        <w:t xml:space="preserve"> </w:t>
      </w:r>
    </w:p>
    <w:p w:rsidR="00DA2484" w:rsidRPr="004E6412" w:rsidRDefault="00DA2484" w:rsidP="00DA2484">
      <w:pPr>
        <w:rPr>
          <w:sz w:val="22"/>
        </w:rPr>
      </w:pPr>
    </w:p>
    <w:p w:rsidR="00DA2484" w:rsidRPr="004E6412" w:rsidRDefault="00AD4412" w:rsidP="00F10068">
      <w:pPr>
        <w:pStyle w:val="Heading4"/>
      </w:pPr>
      <w:r w:rsidRPr="004E6412">
        <w:t>Ljudski potencijali</w:t>
      </w:r>
      <w:r w:rsidR="00DA2484" w:rsidRPr="004E6412">
        <w:t xml:space="preserve"> i tržište rada u RH</w:t>
      </w:r>
    </w:p>
    <w:p w:rsidR="00DA2484" w:rsidRPr="004E6412" w:rsidRDefault="00F10068" w:rsidP="00B15A78">
      <w:pPr>
        <w:numPr>
          <w:ilvl w:val="0"/>
          <w:numId w:val="186"/>
        </w:numPr>
        <w:rPr>
          <w:sz w:val="22"/>
        </w:rPr>
      </w:pPr>
      <w:r w:rsidRPr="004E6412">
        <w:rPr>
          <w:sz w:val="22"/>
        </w:rPr>
        <w:t>Tržište rada u Hrvatskoj karakterizira proces postupnog smanjenja</w:t>
      </w:r>
      <w:r w:rsidR="00DA2484" w:rsidRPr="004E6412">
        <w:rPr>
          <w:sz w:val="22"/>
        </w:rPr>
        <w:t xml:space="preserve"> radno</w:t>
      </w:r>
      <w:r w:rsidR="00AD4412" w:rsidRPr="004E6412">
        <w:rPr>
          <w:sz w:val="22"/>
        </w:rPr>
        <w:t xml:space="preserve"> </w:t>
      </w:r>
      <w:r w:rsidR="00DA2484" w:rsidRPr="004E6412">
        <w:rPr>
          <w:sz w:val="22"/>
        </w:rPr>
        <w:t xml:space="preserve">sposobnog stanovništva </w:t>
      </w:r>
      <w:r w:rsidR="00E73726" w:rsidRPr="004E6412">
        <w:rPr>
          <w:sz w:val="22"/>
        </w:rPr>
        <w:t>koje se javlja kao pos</w:t>
      </w:r>
      <w:r w:rsidRPr="004E6412">
        <w:rPr>
          <w:sz w:val="22"/>
        </w:rPr>
        <w:t>lj</w:t>
      </w:r>
      <w:r w:rsidR="00E73726" w:rsidRPr="004E6412">
        <w:rPr>
          <w:sz w:val="22"/>
        </w:rPr>
        <w:t>e</w:t>
      </w:r>
      <w:r w:rsidRPr="004E6412">
        <w:rPr>
          <w:sz w:val="22"/>
        </w:rPr>
        <w:t>dica negativnih demografskih</w:t>
      </w:r>
      <w:r w:rsidR="00DA2484" w:rsidRPr="004E6412">
        <w:rPr>
          <w:sz w:val="22"/>
        </w:rPr>
        <w:t xml:space="preserve"> kretanja i emigracije</w:t>
      </w:r>
      <w:r w:rsidR="00051A53" w:rsidRPr="004E6412">
        <w:rPr>
          <w:sz w:val="22"/>
        </w:rPr>
        <w:t>, a što s vremenom</w:t>
      </w:r>
      <w:r w:rsidR="00DA2484" w:rsidRPr="004E6412">
        <w:rPr>
          <w:sz w:val="22"/>
        </w:rPr>
        <w:t xml:space="preserve"> smanjuje ponudu i povećava prosječnu starost radne snage. S drug</w:t>
      </w:r>
      <w:r w:rsidR="00AD4412" w:rsidRPr="004E6412">
        <w:rPr>
          <w:sz w:val="22"/>
        </w:rPr>
        <w:t xml:space="preserve">e strane, potražnja za radom </w:t>
      </w:r>
      <w:r w:rsidR="00DA2484" w:rsidRPr="004E6412">
        <w:rPr>
          <w:sz w:val="22"/>
        </w:rPr>
        <w:t>pod</w:t>
      </w:r>
      <w:r w:rsidRPr="004E6412">
        <w:rPr>
          <w:sz w:val="22"/>
        </w:rPr>
        <w:t xml:space="preserve"> snažnim</w:t>
      </w:r>
      <w:r w:rsidR="00DA2484" w:rsidRPr="004E6412">
        <w:rPr>
          <w:sz w:val="22"/>
        </w:rPr>
        <w:t xml:space="preserve"> </w:t>
      </w:r>
      <w:r w:rsidR="00AD4412" w:rsidRPr="004E6412">
        <w:rPr>
          <w:sz w:val="22"/>
        </w:rPr>
        <w:t xml:space="preserve">je </w:t>
      </w:r>
      <w:r w:rsidR="00DA2484" w:rsidRPr="004E6412">
        <w:rPr>
          <w:sz w:val="22"/>
        </w:rPr>
        <w:t xml:space="preserve">utjecajem procesa tranzicije i restrukturiranja gospodarstva te </w:t>
      </w:r>
      <w:r w:rsidR="00AD4412" w:rsidRPr="004E6412">
        <w:rPr>
          <w:sz w:val="22"/>
        </w:rPr>
        <w:t>smanjenja ulaznih prepreka,</w:t>
      </w:r>
      <w:r w:rsidR="00543D06" w:rsidRPr="004E6412">
        <w:rPr>
          <w:sz w:val="22"/>
        </w:rPr>
        <w:t xml:space="preserve"> </w:t>
      </w:r>
      <w:r w:rsidR="00DA2484" w:rsidRPr="004E6412">
        <w:rPr>
          <w:sz w:val="22"/>
        </w:rPr>
        <w:t>što stvara visoku nezaposlenost</w:t>
      </w:r>
      <w:r w:rsidR="00AD4412" w:rsidRPr="004E6412">
        <w:rPr>
          <w:sz w:val="22"/>
        </w:rPr>
        <w:t>,</w:t>
      </w:r>
      <w:r w:rsidR="00DA2484" w:rsidRPr="004E6412">
        <w:rPr>
          <w:sz w:val="22"/>
        </w:rPr>
        <w:t xml:space="preserve"> ali i manjak pot</w:t>
      </w:r>
      <w:r w:rsidRPr="004E6412">
        <w:rPr>
          <w:sz w:val="22"/>
        </w:rPr>
        <w:t>rebnih znanja i vještina</w:t>
      </w:r>
      <w:r w:rsidR="00DA2484" w:rsidRPr="004E6412">
        <w:rPr>
          <w:sz w:val="22"/>
        </w:rPr>
        <w:t>. Rezultat djelovanja ovih procesa je vis</w:t>
      </w:r>
      <w:r w:rsidR="00543D06" w:rsidRPr="004E6412">
        <w:rPr>
          <w:sz w:val="22"/>
        </w:rPr>
        <w:t xml:space="preserve">oka i dugotrajna nezaposlenost, </w:t>
      </w:r>
      <w:r w:rsidR="00DA2484" w:rsidRPr="004E6412">
        <w:rPr>
          <w:sz w:val="22"/>
        </w:rPr>
        <w:t>strukturna neusklađenost ponude i potražnje</w:t>
      </w:r>
      <w:r w:rsidR="00AD4412" w:rsidRPr="004E6412">
        <w:rPr>
          <w:sz w:val="22"/>
        </w:rPr>
        <w:t>,</w:t>
      </w:r>
      <w:r w:rsidR="00DA2484" w:rsidRPr="004E6412">
        <w:rPr>
          <w:sz w:val="22"/>
        </w:rPr>
        <w:t xml:space="preserve"> kako prema brojnosti odgovarajućih kvalifikacija i zanimanja tako i prema konkretnim znanjima i vještinama koje su potrebne za prilagodljive i fleksibilne gospodarske subjekte. </w:t>
      </w:r>
    </w:p>
    <w:p w:rsidR="00543D06" w:rsidRPr="004E6412" w:rsidRDefault="00543D06" w:rsidP="00543D06">
      <w:pPr>
        <w:rPr>
          <w:sz w:val="22"/>
        </w:rPr>
      </w:pPr>
    </w:p>
    <w:p w:rsidR="006D0391" w:rsidRPr="004E6412" w:rsidRDefault="00051A53" w:rsidP="00B15A78">
      <w:pPr>
        <w:numPr>
          <w:ilvl w:val="0"/>
          <w:numId w:val="187"/>
        </w:numPr>
        <w:rPr>
          <w:sz w:val="22"/>
        </w:rPr>
      </w:pPr>
      <w:r w:rsidRPr="004E6412">
        <w:rPr>
          <w:sz w:val="22"/>
        </w:rPr>
        <w:t>Smanjenje</w:t>
      </w:r>
      <w:r w:rsidR="00543D06" w:rsidRPr="004E6412">
        <w:rPr>
          <w:sz w:val="22"/>
        </w:rPr>
        <w:t xml:space="preserve"> radne snage</w:t>
      </w:r>
      <w:r w:rsidRPr="004E6412">
        <w:rPr>
          <w:sz w:val="22"/>
        </w:rPr>
        <w:t xml:space="preserve"> u Hrvatskoj te stope aktivnosti</w:t>
      </w:r>
      <w:r w:rsidR="008031EC" w:rsidRPr="004E6412">
        <w:rPr>
          <w:sz w:val="22"/>
        </w:rPr>
        <w:t xml:space="preserve"> koje su</w:t>
      </w:r>
      <w:r w:rsidR="006D0391" w:rsidRPr="004E6412">
        <w:rPr>
          <w:sz w:val="22"/>
        </w:rPr>
        <w:t xml:space="preserve"> jedne</w:t>
      </w:r>
      <w:r w:rsidR="00543D06" w:rsidRPr="004E6412">
        <w:rPr>
          <w:sz w:val="22"/>
        </w:rPr>
        <w:t xml:space="preserve"> od najnižih u Europi upućuj</w:t>
      </w:r>
      <w:r w:rsidRPr="004E6412">
        <w:rPr>
          <w:sz w:val="22"/>
        </w:rPr>
        <w:t>u</w:t>
      </w:r>
      <w:r w:rsidR="00543D06" w:rsidRPr="004E6412">
        <w:rPr>
          <w:sz w:val="22"/>
        </w:rPr>
        <w:t xml:space="preserve"> na neiskorištenost</w:t>
      </w:r>
      <w:r w:rsidR="00DA2484" w:rsidRPr="004E6412">
        <w:rPr>
          <w:sz w:val="22"/>
        </w:rPr>
        <w:t xml:space="preserve"> ljudskih potencijala za razvoj. U današnjim ekonomijama gdje je upravo ljudski kapital</w:t>
      </w:r>
      <w:r w:rsidR="00294984" w:rsidRPr="004E6412">
        <w:rPr>
          <w:sz w:val="22"/>
        </w:rPr>
        <w:t>, kroz inovacije i poduzetništvo,</w:t>
      </w:r>
      <w:r w:rsidR="00DA2484" w:rsidRPr="004E6412">
        <w:rPr>
          <w:sz w:val="22"/>
        </w:rPr>
        <w:t xml:space="preserve"> ključn</w:t>
      </w:r>
      <w:r w:rsidR="006D0391" w:rsidRPr="004E6412">
        <w:rPr>
          <w:sz w:val="22"/>
        </w:rPr>
        <w:t xml:space="preserve">a poluga </w:t>
      </w:r>
      <w:r w:rsidR="00294984" w:rsidRPr="004E6412">
        <w:rPr>
          <w:sz w:val="22"/>
        </w:rPr>
        <w:t xml:space="preserve">gospodarskog </w:t>
      </w:r>
      <w:r w:rsidR="006D0391" w:rsidRPr="004E6412">
        <w:rPr>
          <w:sz w:val="22"/>
        </w:rPr>
        <w:t>razvoja te</w:t>
      </w:r>
      <w:r w:rsidR="00DA2484" w:rsidRPr="004E6412">
        <w:rPr>
          <w:sz w:val="22"/>
        </w:rPr>
        <w:t xml:space="preserve"> razvoj</w:t>
      </w:r>
      <w:r w:rsidR="006D0391" w:rsidRPr="004E6412">
        <w:rPr>
          <w:sz w:val="22"/>
        </w:rPr>
        <w:t>a</w:t>
      </w:r>
      <w:r w:rsidR="00DA2484" w:rsidRPr="004E6412">
        <w:rPr>
          <w:sz w:val="22"/>
        </w:rPr>
        <w:t xml:space="preserve"> novih proizvoda i usluga, </w:t>
      </w:r>
      <w:r w:rsidR="00AD4412" w:rsidRPr="004E6412">
        <w:rPr>
          <w:sz w:val="22"/>
        </w:rPr>
        <w:t xml:space="preserve">nužno je </w:t>
      </w:r>
      <w:r w:rsidR="00DA2484" w:rsidRPr="004E6412">
        <w:rPr>
          <w:sz w:val="22"/>
        </w:rPr>
        <w:t>uključivanje sv</w:t>
      </w:r>
      <w:r w:rsidR="00AD4412" w:rsidRPr="004E6412">
        <w:rPr>
          <w:sz w:val="22"/>
        </w:rPr>
        <w:t>ih raspoloživih ljudskih potencijala</w:t>
      </w:r>
      <w:r w:rsidR="00DA2484" w:rsidRPr="004E6412">
        <w:rPr>
          <w:sz w:val="22"/>
        </w:rPr>
        <w:t xml:space="preserve"> u pr</w:t>
      </w:r>
      <w:r w:rsidR="00AD4412" w:rsidRPr="004E6412">
        <w:rPr>
          <w:sz w:val="22"/>
        </w:rPr>
        <w:t>ocese učenja ili rada</w:t>
      </w:r>
      <w:r w:rsidR="00DA2484" w:rsidRPr="004E6412">
        <w:rPr>
          <w:sz w:val="22"/>
        </w:rPr>
        <w:t xml:space="preserve">. </w:t>
      </w:r>
    </w:p>
    <w:p w:rsidR="006D0391" w:rsidRPr="004E6412" w:rsidRDefault="006D0391" w:rsidP="006D0391">
      <w:pPr>
        <w:ind w:left="720"/>
        <w:rPr>
          <w:sz w:val="22"/>
        </w:rPr>
      </w:pPr>
    </w:p>
    <w:p w:rsidR="00DA2484" w:rsidRPr="004E6412" w:rsidRDefault="00294984" w:rsidP="00B15A78">
      <w:pPr>
        <w:numPr>
          <w:ilvl w:val="0"/>
          <w:numId w:val="187"/>
        </w:numPr>
        <w:rPr>
          <w:sz w:val="22"/>
        </w:rPr>
      </w:pPr>
      <w:r w:rsidRPr="004E6412">
        <w:rPr>
          <w:sz w:val="22"/>
        </w:rPr>
        <w:t>P</w:t>
      </w:r>
      <w:r w:rsidR="00DA2484" w:rsidRPr="004E6412">
        <w:rPr>
          <w:sz w:val="22"/>
        </w:rPr>
        <w:t>olitika kojoj je cilj povećati iskorištenost ljudskog potencijala trebala bi djelovati s aspekta:</w:t>
      </w:r>
    </w:p>
    <w:p w:rsidR="00DA2484" w:rsidRPr="004E6412" w:rsidRDefault="00DA2484" w:rsidP="00B15A78">
      <w:pPr>
        <w:numPr>
          <w:ilvl w:val="0"/>
          <w:numId w:val="185"/>
        </w:numPr>
        <w:rPr>
          <w:sz w:val="22"/>
        </w:rPr>
      </w:pPr>
      <w:r w:rsidRPr="004E6412">
        <w:rPr>
          <w:b/>
          <w:sz w:val="22"/>
        </w:rPr>
        <w:t>Povećanja stope aktivnosti stanovništva</w:t>
      </w:r>
      <w:r w:rsidRPr="004E6412">
        <w:rPr>
          <w:sz w:val="22"/>
        </w:rPr>
        <w:t xml:space="preserve"> – povećati motivaciju radno</w:t>
      </w:r>
      <w:r w:rsidR="00AD4412" w:rsidRPr="004E6412">
        <w:rPr>
          <w:sz w:val="22"/>
        </w:rPr>
        <w:t xml:space="preserve"> </w:t>
      </w:r>
      <w:r w:rsidRPr="004E6412">
        <w:rPr>
          <w:sz w:val="22"/>
        </w:rPr>
        <w:t>sposobnog stanovništva da se uključuje u radnu snagu kroz politiku isplativosti rada (making work pay) uz odgovarajuću fiskalnu politiku</w:t>
      </w:r>
      <w:r w:rsidR="00AD4412" w:rsidRPr="004E6412">
        <w:rPr>
          <w:sz w:val="22"/>
        </w:rPr>
        <w:t>;</w:t>
      </w:r>
      <w:r w:rsidRPr="004E6412">
        <w:rPr>
          <w:sz w:val="22"/>
        </w:rPr>
        <w:t xml:space="preserve"> </w:t>
      </w:r>
    </w:p>
    <w:p w:rsidR="00DA2484" w:rsidRPr="004E6412" w:rsidRDefault="00DA2484" w:rsidP="00B15A78">
      <w:pPr>
        <w:numPr>
          <w:ilvl w:val="0"/>
          <w:numId w:val="185"/>
        </w:numPr>
        <w:rPr>
          <w:sz w:val="22"/>
        </w:rPr>
      </w:pPr>
      <w:r w:rsidRPr="004E6412">
        <w:rPr>
          <w:b/>
          <w:sz w:val="22"/>
        </w:rPr>
        <w:t>Povećanja stope zaposlenosti</w:t>
      </w:r>
      <w:r w:rsidRPr="004E6412">
        <w:rPr>
          <w:sz w:val="22"/>
        </w:rPr>
        <w:t xml:space="preserve"> – </w:t>
      </w:r>
      <w:r w:rsidR="00294984" w:rsidRPr="004E6412">
        <w:rPr>
          <w:sz w:val="22"/>
        </w:rPr>
        <w:t>olakšati</w:t>
      </w:r>
      <w:r w:rsidRPr="004E6412">
        <w:rPr>
          <w:sz w:val="22"/>
        </w:rPr>
        <w:t xml:space="preserve"> otvaranje novih ra</w:t>
      </w:r>
      <w:r w:rsidR="00AD4412" w:rsidRPr="004E6412">
        <w:rPr>
          <w:sz w:val="22"/>
        </w:rPr>
        <w:t>dnih mjesta i uklanjati prepreke</w:t>
      </w:r>
      <w:r w:rsidRPr="004E6412">
        <w:rPr>
          <w:sz w:val="22"/>
        </w:rPr>
        <w:t xml:space="preserve"> razvoju poduzetništva</w:t>
      </w:r>
      <w:r w:rsidR="00AD4412" w:rsidRPr="004E6412">
        <w:rPr>
          <w:sz w:val="22"/>
        </w:rPr>
        <w:t>;</w:t>
      </w:r>
    </w:p>
    <w:p w:rsidR="00DA2484" w:rsidRPr="004E6412" w:rsidRDefault="00AD4412" w:rsidP="00B15A78">
      <w:pPr>
        <w:numPr>
          <w:ilvl w:val="0"/>
          <w:numId w:val="185"/>
        </w:numPr>
        <w:rPr>
          <w:sz w:val="22"/>
        </w:rPr>
      </w:pPr>
      <w:r w:rsidRPr="004E6412">
        <w:rPr>
          <w:b/>
          <w:sz w:val="22"/>
        </w:rPr>
        <w:t>Osiguravanja</w:t>
      </w:r>
      <w:r w:rsidR="00DA2484" w:rsidRPr="004E6412">
        <w:rPr>
          <w:b/>
          <w:sz w:val="22"/>
        </w:rPr>
        <w:t xml:space="preserve"> </w:t>
      </w:r>
      <w:r w:rsidR="00294984" w:rsidRPr="004E6412">
        <w:rPr>
          <w:b/>
          <w:sz w:val="22"/>
        </w:rPr>
        <w:t>usklađenosti</w:t>
      </w:r>
      <w:r w:rsidR="00DA2484" w:rsidRPr="004E6412">
        <w:rPr>
          <w:b/>
          <w:sz w:val="22"/>
        </w:rPr>
        <w:t xml:space="preserve"> ponude i potražnje</w:t>
      </w:r>
      <w:r w:rsidRPr="004E6412">
        <w:rPr>
          <w:sz w:val="22"/>
        </w:rPr>
        <w:t xml:space="preserve"> – </w:t>
      </w:r>
      <w:r w:rsidR="00DA2484" w:rsidRPr="004E6412">
        <w:rPr>
          <w:sz w:val="22"/>
        </w:rPr>
        <w:t>planiranje</w:t>
      </w:r>
      <w:r w:rsidRPr="004E6412">
        <w:rPr>
          <w:sz w:val="22"/>
        </w:rPr>
        <w:t>m</w:t>
      </w:r>
      <w:r w:rsidR="00DA2484" w:rsidRPr="004E6412">
        <w:rPr>
          <w:sz w:val="22"/>
        </w:rPr>
        <w:t xml:space="preserve"> obrazovanja prema budućim potrebama gospodarstva koje se brzo i kvalitetno realizira kroz releventne obrazovne p</w:t>
      </w:r>
      <w:r w:rsidRPr="004E6412">
        <w:rPr>
          <w:sz w:val="22"/>
        </w:rPr>
        <w:t>rograme, smislene upisne kvote te</w:t>
      </w:r>
      <w:r w:rsidR="00DA2484" w:rsidRPr="004E6412">
        <w:rPr>
          <w:sz w:val="22"/>
        </w:rPr>
        <w:t xml:space="preserve"> fleksibilan i prilagodlji</w:t>
      </w:r>
      <w:r w:rsidRPr="004E6412">
        <w:rPr>
          <w:sz w:val="22"/>
        </w:rPr>
        <w:t xml:space="preserve">v sustav obrazovanja odraslih kao i </w:t>
      </w:r>
      <w:r w:rsidR="00DA2484" w:rsidRPr="004E6412">
        <w:rPr>
          <w:sz w:val="22"/>
        </w:rPr>
        <w:t>adekvantne oblike financiranja</w:t>
      </w:r>
      <w:r w:rsidRPr="004E6412">
        <w:rPr>
          <w:sz w:val="22"/>
        </w:rPr>
        <w:t>;</w:t>
      </w:r>
    </w:p>
    <w:p w:rsidR="00DA2484" w:rsidRPr="004E6412" w:rsidRDefault="00AD4412" w:rsidP="00B15A78">
      <w:pPr>
        <w:numPr>
          <w:ilvl w:val="0"/>
          <w:numId w:val="185"/>
        </w:numPr>
        <w:rPr>
          <w:sz w:val="22"/>
        </w:rPr>
      </w:pPr>
      <w:r w:rsidRPr="004E6412">
        <w:rPr>
          <w:b/>
          <w:sz w:val="22"/>
        </w:rPr>
        <w:t>Povećanja</w:t>
      </w:r>
      <w:r w:rsidR="00DA2484" w:rsidRPr="004E6412">
        <w:rPr>
          <w:b/>
          <w:sz w:val="22"/>
        </w:rPr>
        <w:t xml:space="preserve"> mobilnosti radne snage</w:t>
      </w:r>
      <w:r w:rsidR="00DA2484" w:rsidRPr="004E6412">
        <w:rPr>
          <w:sz w:val="22"/>
        </w:rPr>
        <w:t xml:space="preserve"> – kroz olakšavanje profesionalne i prostorne pokretljivosti mehanizmima informiranja i savjetovanja u razvoju k</w:t>
      </w:r>
      <w:r w:rsidRPr="004E6412">
        <w:rPr>
          <w:sz w:val="22"/>
        </w:rPr>
        <w:t>arijere i uklanjanjem prepreka</w:t>
      </w:r>
      <w:r w:rsidR="00DA2484" w:rsidRPr="004E6412">
        <w:rPr>
          <w:sz w:val="22"/>
        </w:rPr>
        <w:t xml:space="preserve"> za promjenu mjesta boravka.</w:t>
      </w:r>
    </w:p>
    <w:p w:rsidR="00294984" w:rsidRPr="004E6412" w:rsidRDefault="00294984" w:rsidP="00294984">
      <w:pPr>
        <w:ind w:left="1068"/>
        <w:rPr>
          <w:sz w:val="22"/>
        </w:rPr>
      </w:pPr>
    </w:p>
    <w:p w:rsidR="00DA2484" w:rsidRPr="004E6412" w:rsidRDefault="00294984" w:rsidP="00B15A78">
      <w:pPr>
        <w:numPr>
          <w:ilvl w:val="0"/>
          <w:numId w:val="188"/>
        </w:numPr>
        <w:rPr>
          <w:sz w:val="22"/>
        </w:rPr>
      </w:pPr>
      <w:r w:rsidRPr="004E6412">
        <w:rPr>
          <w:sz w:val="22"/>
        </w:rPr>
        <w:t>Sama i</w:t>
      </w:r>
      <w:r w:rsidR="004247C4" w:rsidRPr="004E6412">
        <w:rPr>
          <w:sz w:val="22"/>
        </w:rPr>
        <w:t>ndustrijska politika</w:t>
      </w:r>
      <w:r w:rsidR="00DA2484" w:rsidRPr="004E6412">
        <w:rPr>
          <w:sz w:val="22"/>
        </w:rPr>
        <w:t xml:space="preserve"> ne može većim dijelom utjecati na postizanje ovih ciljeva</w:t>
      </w:r>
      <w:r w:rsidR="00AD4412" w:rsidRPr="004E6412">
        <w:rPr>
          <w:sz w:val="22"/>
        </w:rPr>
        <w:t>,</w:t>
      </w:r>
      <w:r w:rsidR="00DA2484" w:rsidRPr="004E6412">
        <w:rPr>
          <w:sz w:val="22"/>
        </w:rPr>
        <w:t xml:space="preserve"> </w:t>
      </w:r>
      <w:r w:rsidR="00AD4412" w:rsidRPr="004E6412">
        <w:rPr>
          <w:sz w:val="22"/>
        </w:rPr>
        <w:t>već je nužna</w:t>
      </w:r>
      <w:r w:rsidRPr="004E6412">
        <w:rPr>
          <w:sz w:val="22"/>
        </w:rPr>
        <w:t xml:space="preserve"> integriracija</w:t>
      </w:r>
      <w:r w:rsidR="00DA2484" w:rsidRPr="004E6412">
        <w:rPr>
          <w:sz w:val="22"/>
        </w:rPr>
        <w:t xml:space="preserve"> </w:t>
      </w:r>
      <w:r w:rsidRPr="004E6412">
        <w:rPr>
          <w:sz w:val="22"/>
        </w:rPr>
        <w:t xml:space="preserve">i koordinacija s </w:t>
      </w:r>
      <w:r w:rsidR="00DA2484" w:rsidRPr="004E6412">
        <w:rPr>
          <w:sz w:val="22"/>
        </w:rPr>
        <w:t>politikama obrazovanja, zapošlja</w:t>
      </w:r>
      <w:r w:rsidRPr="004E6412">
        <w:rPr>
          <w:sz w:val="22"/>
        </w:rPr>
        <w:t xml:space="preserve">vanja, poreza i plaća, prometa i </w:t>
      </w:r>
      <w:r w:rsidR="00DA2484" w:rsidRPr="004E6412">
        <w:rPr>
          <w:sz w:val="22"/>
        </w:rPr>
        <w:t xml:space="preserve">profesionalne orijentacije. </w:t>
      </w:r>
    </w:p>
    <w:p w:rsidR="008031EC" w:rsidRPr="004E6412" w:rsidRDefault="008031EC" w:rsidP="00DA2484">
      <w:pPr>
        <w:rPr>
          <w:b/>
          <w:bCs/>
          <w:sz w:val="22"/>
        </w:rPr>
      </w:pPr>
    </w:p>
    <w:p w:rsidR="007F4194" w:rsidRPr="004E6412" w:rsidRDefault="007F4194" w:rsidP="00DA2484">
      <w:pPr>
        <w:rPr>
          <w:b/>
          <w:bCs/>
          <w:sz w:val="22"/>
        </w:rPr>
      </w:pPr>
    </w:p>
    <w:p w:rsidR="00DA2484" w:rsidRPr="004E6412" w:rsidRDefault="00DA2484" w:rsidP="00294984">
      <w:pPr>
        <w:pStyle w:val="Heading4"/>
      </w:pPr>
      <w:r w:rsidRPr="004E6412">
        <w:t xml:space="preserve">Tehnološke razine djelatnosti </w:t>
      </w:r>
      <w:r w:rsidR="00AD4412" w:rsidRPr="004E6412">
        <w:t xml:space="preserve">i </w:t>
      </w:r>
      <w:r w:rsidRPr="004E6412">
        <w:t>njihova utemeljenost na znanju</w:t>
      </w:r>
    </w:p>
    <w:p w:rsidR="00DA2484" w:rsidRPr="004E6412" w:rsidRDefault="00DA2484" w:rsidP="00B15A78">
      <w:pPr>
        <w:numPr>
          <w:ilvl w:val="0"/>
          <w:numId w:val="189"/>
        </w:numPr>
        <w:rPr>
          <w:sz w:val="22"/>
        </w:rPr>
      </w:pPr>
      <w:r w:rsidRPr="004E6412">
        <w:rPr>
          <w:sz w:val="22"/>
        </w:rPr>
        <w:t>Kad</w:t>
      </w:r>
      <w:r w:rsidR="00294984" w:rsidRPr="004E6412">
        <w:rPr>
          <w:sz w:val="22"/>
        </w:rPr>
        <w:t xml:space="preserve">a je riječ </w:t>
      </w:r>
      <w:r w:rsidRPr="004E6412">
        <w:rPr>
          <w:sz w:val="22"/>
        </w:rPr>
        <w:t>o ljudskom potencijalu</w:t>
      </w:r>
      <w:r w:rsidR="00AD4412" w:rsidRPr="004E6412">
        <w:rPr>
          <w:sz w:val="22"/>
        </w:rPr>
        <w:t>,</w:t>
      </w:r>
      <w:r w:rsidRPr="004E6412">
        <w:rPr>
          <w:sz w:val="22"/>
        </w:rPr>
        <w:t xml:space="preserve"> korisno je </w:t>
      </w:r>
      <w:r w:rsidR="00294984" w:rsidRPr="004E6412">
        <w:rPr>
          <w:sz w:val="22"/>
        </w:rPr>
        <w:t xml:space="preserve">analizirati </w:t>
      </w:r>
      <w:r w:rsidR="00A96710" w:rsidRPr="004E6412">
        <w:rPr>
          <w:sz w:val="22"/>
        </w:rPr>
        <w:t>djelatnosti u kojima je prisutna najveća koncentracija</w:t>
      </w:r>
      <w:r w:rsidRPr="004E6412">
        <w:rPr>
          <w:sz w:val="22"/>
        </w:rPr>
        <w:t xml:space="preserve"> kadrova koji im</w:t>
      </w:r>
      <w:r w:rsidR="00294984" w:rsidRPr="004E6412">
        <w:rPr>
          <w:sz w:val="22"/>
        </w:rPr>
        <w:t xml:space="preserve">aju </w:t>
      </w:r>
      <w:r w:rsidR="00AD4412" w:rsidRPr="004E6412">
        <w:rPr>
          <w:sz w:val="22"/>
        </w:rPr>
        <w:t xml:space="preserve">sposobnost </w:t>
      </w:r>
      <w:r w:rsidR="00A96710" w:rsidRPr="004E6412">
        <w:rPr>
          <w:sz w:val="22"/>
        </w:rPr>
        <w:t>razvoj</w:t>
      </w:r>
      <w:r w:rsidR="00AD4412" w:rsidRPr="004E6412">
        <w:rPr>
          <w:sz w:val="22"/>
        </w:rPr>
        <w:t>a</w:t>
      </w:r>
      <w:r w:rsidR="00A96710" w:rsidRPr="004E6412">
        <w:rPr>
          <w:sz w:val="22"/>
        </w:rPr>
        <w:t xml:space="preserve"> znanja </w:t>
      </w:r>
      <w:r w:rsidRPr="004E6412">
        <w:rPr>
          <w:sz w:val="22"/>
        </w:rPr>
        <w:t>te</w:t>
      </w:r>
      <w:r w:rsidR="00162783" w:rsidRPr="004E6412">
        <w:rPr>
          <w:sz w:val="22"/>
        </w:rPr>
        <w:t xml:space="preserve"> analizirati</w:t>
      </w:r>
      <w:r w:rsidRPr="004E6412">
        <w:rPr>
          <w:sz w:val="22"/>
        </w:rPr>
        <w:t xml:space="preserve"> </w:t>
      </w:r>
      <w:r w:rsidR="00294984" w:rsidRPr="004E6412">
        <w:rPr>
          <w:sz w:val="22"/>
        </w:rPr>
        <w:t xml:space="preserve">tehnološku </w:t>
      </w:r>
      <w:r w:rsidR="00294984" w:rsidRPr="004E6412">
        <w:rPr>
          <w:sz w:val="22"/>
        </w:rPr>
        <w:lastRenderedPageBreak/>
        <w:t>razinu</w:t>
      </w:r>
      <w:r w:rsidRPr="004E6412">
        <w:rPr>
          <w:sz w:val="22"/>
        </w:rPr>
        <w:t xml:space="preserve"> tih djelatnosti. Hrvatska ima relativno mali udio djelatnosti koje se smatraju visoko</w:t>
      </w:r>
      <w:r w:rsidR="00AD4412" w:rsidRPr="004E6412">
        <w:rPr>
          <w:sz w:val="22"/>
        </w:rPr>
        <w:t>-</w:t>
      </w:r>
      <w:r w:rsidRPr="004E6412">
        <w:rPr>
          <w:sz w:val="22"/>
        </w:rPr>
        <w:t>tehnološkima. Prema Eurostatu to su:</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osnovnih farmaceutskih proizvoda i farmaceutskih pripravaka</w:t>
      </w:r>
      <w:r w:rsidRPr="004E6412">
        <w:rPr>
          <w:bCs/>
          <w:sz w:val="22"/>
        </w:rPr>
        <w:t>,</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računala te elektroničkih i optičkih proizvoda</w:t>
      </w:r>
      <w:r w:rsidRPr="004E6412">
        <w:rPr>
          <w:bCs/>
          <w:sz w:val="22"/>
        </w:rPr>
        <w:t>,</w:t>
      </w:r>
    </w:p>
    <w:p w:rsidR="00FB4C9C" w:rsidRPr="004E6412" w:rsidRDefault="00AD4412" w:rsidP="00B15A78">
      <w:pPr>
        <w:numPr>
          <w:ilvl w:val="1"/>
          <w:numId w:val="189"/>
        </w:numPr>
        <w:rPr>
          <w:bCs/>
          <w:sz w:val="22"/>
        </w:rPr>
      </w:pPr>
      <w:r w:rsidRPr="004E6412">
        <w:rPr>
          <w:bCs/>
          <w:sz w:val="22"/>
        </w:rPr>
        <w:t>p</w:t>
      </w:r>
      <w:r w:rsidR="00FB4C9C" w:rsidRPr="004E6412">
        <w:rPr>
          <w:bCs/>
          <w:sz w:val="22"/>
        </w:rPr>
        <w:t>roizvodnja ostalih prijevoznih sredstava (proizvodnja žel</w:t>
      </w:r>
      <w:r w:rsidRPr="004E6412">
        <w:rPr>
          <w:bCs/>
          <w:sz w:val="22"/>
        </w:rPr>
        <w:t>jezničkih lokomotiva i tračni</w:t>
      </w:r>
      <w:r w:rsidR="00FB4C9C" w:rsidRPr="004E6412">
        <w:rPr>
          <w:bCs/>
          <w:sz w:val="22"/>
        </w:rPr>
        <w:t>h vozila, proizvodnja vo</w:t>
      </w:r>
      <w:r w:rsidRPr="004E6412">
        <w:rPr>
          <w:bCs/>
          <w:sz w:val="22"/>
        </w:rPr>
        <w:t>jnih borbenih vozila te prijevoznih</w:t>
      </w:r>
      <w:r w:rsidR="00FB4C9C" w:rsidRPr="004E6412">
        <w:rPr>
          <w:bCs/>
          <w:sz w:val="22"/>
        </w:rPr>
        <w:t xml:space="preserve"> sredst</w:t>
      </w:r>
      <w:r w:rsidRPr="004E6412">
        <w:rPr>
          <w:bCs/>
          <w:sz w:val="22"/>
        </w:rPr>
        <w:t>a</w:t>
      </w:r>
      <w:r w:rsidR="00FB4C9C" w:rsidRPr="004E6412">
        <w:rPr>
          <w:bCs/>
          <w:sz w:val="22"/>
        </w:rPr>
        <w:t>va druge namjene).</w:t>
      </w:r>
    </w:p>
    <w:p w:rsidR="00162783" w:rsidRPr="004E6412" w:rsidRDefault="00162783" w:rsidP="00DA2484">
      <w:pPr>
        <w:rPr>
          <w:sz w:val="22"/>
        </w:rPr>
      </w:pPr>
    </w:p>
    <w:p w:rsidR="00DA2484" w:rsidRPr="004E6412" w:rsidRDefault="00AD4412" w:rsidP="00B15A78">
      <w:pPr>
        <w:numPr>
          <w:ilvl w:val="0"/>
          <w:numId w:val="190"/>
        </w:numPr>
        <w:rPr>
          <w:sz w:val="22"/>
        </w:rPr>
      </w:pPr>
      <w:r w:rsidRPr="004E6412">
        <w:rPr>
          <w:sz w:val="22"/>
        </w:rPr>
        <w:t>U Hrvatskoj su</w:t>
      </w:r>
      <w:r w:rsidR="00DA2484" w:rsidRPr="004E6412">
        <w:rPr>
          <w:sz w:val="22"/>
        </w:rPr>
        <w:t xml:space="preserve"> u ovim djelatnostima početkom 2013. godine </w:t>
      </w:r>
      <w:r w:rsidRPr="004E6412">
        <w:rPr>
          <w:sz w:val="22"/>
        </w:rPr>
        <w:t>bile zaposlene</w:t>
      </w:r>
      <w:r w:rsidR="00162783" w:rsidRPr="004E6412">
        <w:rPr>
          <w:sz w:val="22"/>
        </w:rPr>
        <w:t xml:space="preserve"> 20,2 tisuće osoba što predstavlja</w:t>
      </w:r>
      <w:r w:rsidR="00DA2484" w:rsidRPr="004E6412">
        <w:rPr>
          <w:sz w:val="22"/>
        </w:rPr>
        <w:t xml:space="preserve"> 1,7% ukupno zaposlenih. Najveći broj zaposlenih u industriji </w:t>
      </w:r>
      <w:r w:rsidR="00162783" w:rsidRPr="004E6412">
        <w:rPr>
          <w:sz w:val="22"/>
        </w:rPr>
        <w:t>zaposleno je u</w:t>
      </w:r>
      <w:r w:rsidR="00DA2484" w:rsidRPr="004E6412">
        <w:rPr>
          <w:sz w:val="22"/>
        </w:rPr>
        <w:t xml:space="preserve"> </w:t>
      </w:r>
      <w:r w:rsidRPr="004E6412">
        <w:rPr>
          <w:sz w:val="22"/>
        </w:rPr>
        <w:t>nisko-</w:t>
      </w:r>
      <w:r w:rsidR="00A402F8" w:rsidRPr="004E6412">
        <w:rPr>
          <w:sz w:val="22"/>
        </w:rPr>
        <w:t>tehnološki</w:t>
      </w:r>
      <w:r w:rsidRPr="004E6412">
        <w:rPr>
          <w:sz w:val="22"/>
        </w:rPr>
        <w:t xml:space="preserve"> intenzivnim djelatnostima, a t</w:t>
      </w:r>
      <w:r w:rsidR="00A402F8" w:rsidRPr="004E6412">
        <w:rPr>
          <w:sz w:val="22"/>
        </w:rPr>
        <w:t>a je skupina djelatnosti i najmanje produktivna</w:t>
      </w:r>
      <w:r w:rsidR="00DA2484" w:rsidRPr="004E6412">
        <w:rPr>
          <w:sz w:val="22"/>
        </w:rPr>
        <w:t>.</w:t>
      </w:r>
    </w:p>
    <w:p w:rsidR="00A402F8" w:rsidRPr="004E6412" w:rsidRDefault="00A402F8" w:rsidP="00DA2484">
      <w:pPr>
        <w:rPr>
          <w:sz w:val="22"/>
        </w:rPr>
      </w:pPr>
    </w:p>
    <w:p w:rsidR="00DA2484" w:rsidRPr="004E6412" w:rsidRDefault="00A402F8" w:rsidP="00B15A78">
      <w:pPr>
        <w:numPr>
          <w:ilvl w:val="0"/>
          <w:numId w:val="190"/>
        </w:numPr>
        <w:rPr>
          <w:sz w:val="22"/>
        </w:rPr>
      </w:pPr>
      <w:r w:rsidRPr="004E6412">
        <w:rPr>
          <w:sz w:val="22"/>
        </w:rPr>
        <w:t>Kada je riječ o uslugama, one se dijele</w:t>
      </w:r>
      <w:r w:rsidR="00DA2484" w:rsidRPr="004E6412">
        <w:rPr>
          <w:sz w:val="22"/>
        </w:rPr>
        <w:t xml:space="preserve"> na one koje koriste visoke razine znanja i vještina (KIS) i one koje koriste niže razine znanja (LKIS)</w:t>
      </w:r>
      <w:r w:rsidR="00DA2484" w:rsidRPr="004E6412">
        <w:rPr>
          <w:sz w:val="22"/>
          <w:vertAlign w:val="superscript"/>
        </w:rPr>
        <w:footnoteReference w:id="4"/>
      </w:r>
      <w:r w:rsidR="00DA2484" w:rsidRPr="004E6412">
        <w:rPr>
          <w:sz w:val="22"/>
        </w:rPr>
        <w:t xml:space="preserve">. </w:t>
      </w:r>
      <w:r w:rsidR="00AD4412" w:rsidRPr="004E6412">
        <w:rPr>
          <w:sz w:val="22"/>
        </w:rPr>
        <w:t>U H</w:t>
      </w:r>
      <w:r w:rsidRPr="004E6412">
        <w:rPr>
          <w:sz w:val="22"/>
        </w:rPr>
        <w:t>rvatskoj su n</w:t>
      </w:r>
      <w:r w:rsidR="00DA2484" w:rsidRPr="004E6412">
        <w:rPr>
          <w:sz w:val="22"/>
        </w:rPr>
        <w:t xml:space="preserve">ajviše zastupljene djelatnosti koje imaju nisku </w:t>
      </w:r>
      <w:r w:rsidRPr="004E6412">
        <w:rPr>
          <w:sz w:val="22"/>
        </w:rPr>
        <w:t>razinu korištenog znanja i u kojima je zaposleno</w:t>
      </w:r>
      <w:r w:rsidR="00AD4412" w:rsidRPr="004E6412">
        <w:rPr>
          <w:sz w:val="22"/>
        </w:rPr>
        <w:t xml:space="preserve"> 350,</w:t>
      </w:r>
      <w:r w:rsidR="00DA2484" w:rsidRPr="004E6412">
        <w:rPr>
          <w:sz w:val="22"/>
        </w:rPr>
        <w:t xml:space="preserve">078 </w:t>
      </w:r>
      <w:r w:rsidRPr="004E6412">
        <w:rPr>
          <w:sz w:val="22"/>
        </w:rPr>
        <w:t>osoba</w:t>
      </w:r>
      <w:r w:rsidR="00DA2484" w:rsidRPr="004E6412">
        <w:rPr>
          <w:sz w:val="22"/>
        </w:rPr>
        <w:t>. Usluge s potrebom za visokom razinom znanja</w:t>
      </w:r>
      <w:r w:rsidR="00AD4412" w:rsidRPr="004E6412">
        <w:rPr>
          <w:sz w:val="22"/>
        </w:rPr>
        <w:t xml:space="preserve"> dijele se na financijske (KIS-FIN), prodajne </w:t>
      </w:r>
      <w:r w:rsidR="00DA2484" w:rsidRPr="004E6412">
        <w:rPr>
          <w:sz w:val="22"/>
        </w:rPr>
        <w:t xml:space="preserve">(KIS-MKT) i ostale usluge (KIS-OTHER) dok </w:t>
      </w:r>
      <w:r w:rsidR="00AD4412" w:rsidRPr="004E6412">
        <w:rPr>
          <w:sz w:val="22"/>
        </w:rPr>
        <w:t>su najviše razine znanja potrebne kod</w:t>
      </w:r>
      <w:r w:rsidR="00DA2484" w:rsidRPr="004E6412">
        <w:rPr>
          <w:sz w:val="22"/>
        </w:rPr>
        <w:t xml:space="preserve"> djelatn</w:t>
      </w:r>
      <w:r w:rsidR="004247C4" w:rsidRPr="004E6412">
        <w:rPr>
          <w:sz w:val="22"/>
        </w:rPr>
        <w:t>osti</w:t>
      </w:r>
      <w:r w:rsidRPr="004E6412">
        <w:rPr>
          <w:sz w:val="22"/>
        </w:rPr>
        <w:t xml:space="preserve"> KIS-HIGH-TECH u kojima je zaposleno</w:t>
      </w:r>
      <w:r w:rsidR="00DA2484" w:rsidRPr="004E6412">
        <w:rPr>
          <w:sz w:val="22"/>
        </w:rPr>
        <w:t xml:space="preserve"> 29,6 tisuća </w:t>
      </w:r>
      <w:r w:rsidRPr="004E6412">
        <w:rPr>
          <w:sz w:val="22"/>
        </w:rPr>
        <w:t>osoba</w:t>
      </w:r>
      <w:r w:rsidR="00DA2484" w:rsidRPr="004E6412">
        <w:rPr>
          <w:sz w:val="22"/>
        </w:rPr>
        <w:t>.</w:t>
      </w:r>
    </w:p>
    <w:p w:rsidR="00A402F8" w:rsidRPr="004E6412" w:rsidRDefault="00A402F8" w:rsidP="00DA2484">
      <w:pPr>
        <w:rPr>
          <w:sz w:val="22"/>
        </w:rPr>
      </w:pPr>
    </w:p>
    <w:p w:rsidR="00DA2484" w:rsidRPr="004E6412" w:rsidRDefault="00DA562A" w:rsidP="00B15A78">
      <w:pPr>
        <w:numPr>
          <w:ilvl w:val="0"/>
          <w:numId w:val="190"/>
        </w:numPr>
        <w:rPr>
          <w:sz w:val="22"/>
        </w:rPr>
      </w:pPr>
      <w:r w:rsidRPr="004E6412">
        <w:rPr>
          <w:sz w:val="22"/>
        </w:rPr>
        <w:t>Za postizanje više razine konkurentnosti na globalnom tržištu potr</w:t>
      </w:r>
      <w:r w:rsidR="005E1E65" w:rsidRPr="004E6412">
        <w:rPr>
          <w:sz w:val="22"/>
        </w:rPr>
        <w:t>ebno je, s obzirom na</w:t>
      </w:r>
      <w:r w:rsidRPr="004E6412">
        <w:rPr>
          <w:sz w:val="22"/>
        </w:rPr>
        <w:t xml:space="preserve"> znanje,</w:t>
      </w:r>
      <w:r w:rsidR="005E1E65" w:rsidRPr="004E6412">
        <w:rPr>
          <w:sz w:val="22"/>
        </w:rPr>
        <w:t xml:space="preserve"> razvijati</w:t>
      </w:r>
      <w:r w:rsidRPr="004E6412">
        <w:rPr>
          <w:sz w:val="22"/>
        </w:rPr>
        <w:t xml:space="preserve"> najzahtjevnije industrijske djelatnosti. Međutim, također je potrebno procijeniti i kval</w:t>
      </w:r>
      <w:r w:rsidR="005E1E65" w:rsidRPr="004E6412">
        <w:rPr>
          <w:sz w:val="22"/>
        </w:rPr>
        <w:t>itetu dostupnih ljudskih potencijala</w:t>
      </w:r>
      <w:r w:rsidRPr="004E6412">
        <w:rPr>
          <w:sz w:val="22"/>
        </w:rPr>
        <w:t xml:space="preserve"> unutar ciljanih djelatnosti</w:t>
      </w:r>
      <w:r w:rsidR="005E1E65" w:rsidRPr="004E6412">
        <w:rPr>
          <w:sz w:val="22"/>
        </w:rPr>
        <w:t>,</w:t>
      </w:r>
      <w:r w:rsidRPr="004E6412">
        <w:rPr>
          <w:sz w:val="22"/>
        </w:rPr>
        <w:t xml:space="preserve"> što </w:t>
      </w:r>
      <w:r w:rsidR="007F4194" w:rsidRPr="004E6412">
        <w:rPr>
          <w:sz w:val="22"/>
        </w:rPr>
        <w:t>je moguće ostvariti mjerenjem udjela</w:t>
      </w:r>
      <w:r w:rsidR="005E1E65" w:rsidRPr="004E6412">
        <w:rPr>
          <w:sz w:val="22"/>
        </w:rPr>
        <w:t xml:space="preserve"> zaposlenih osoba koje</w:t>
      </w:r>
      <w:r w:rsidR="00DA2484" w:rsidRPr="004E6412">
        <w:rPr>
          <w:sz w:val="22"/>
        </w:rPr>
        <w:t xml:space="preserve"> djeluju kao stručnjaci i znanstvenici u poje</w:t>
      </w:r>
      <w:r w:rsidR="007F4194" w:rsidRPr="004E6412">
        <w:rPr>
          <w:sz w:val="22"/>
        </w:rPr>
        <w:t xml:space="preserve">dinim djelatnostima. Tablica </w:t>
      </w:r>
      <w:r w:rsidR="00035C7B" w:rsidRPr="004E6412">
        <w:rPr>
          <w:sz w:val="22"/>
        </w:rPr>
        <w:t>17</w:t>
      </w:r>
      <w:r w:rsidR="005E1E65" w:rsidRPr="004E6412">
        <w:rPr>
          <w:sz w:val="22"/>
        </w:rPr>
        <w:t>.</w:t>
      </w:r>
      <w:r w:rsidR="00DA2484" w:rsidRPr="004E6412">
        <w:rPr>
          <w:sz w:val="22"/>
        </w:rPr>
        <w:t xml:space="preserve"> prikazuje </w:t>
      </w:r>
      <w:r w:rsidR="007F4194" w:rsidRPr="004E6412">
        <w:rPr>
          <w:sz w:val="22"/>
        </w:rPr>
        <w:t xml:space="preserve">pristunost ljudskih potencijala, </w:t>
      </w:r>
      <w:r w:rsidR="005E1E65" w:rsidRPr="004E6412">
        <w:rPr>
          <w:sz w:val="22"/>
        </w:rPr>
        <w:t>koji  mogu biti  pokretači</w:t>
      </w:r>
      <w:r w:rsidR="007F4194" w:rsidRPr="004E6412">
        <w:rPr>
          <w:sz w:val="22"/>
        </w:rPr>
        <w:t xml:space="preserve"> novih proizvoda i usluga, po skupinama djelatnosti grupiranih prema</w:t>
      </w:r>
      <w:r w:rsidR="00DA2484" w:rsidRPr="004E6412">
        <w:rPr>
          <w:sz w:val="22"/>
        </w:rPr>
        <w:t xml:space="preserve"> r</w:t>
      </w:r>
      <w:r w:rsidR="007F4194" w:rsidRPr="004E6412">
        <w:rPr>
          <w:sz w:val="22"/>
        </w:rPr>
        <w:t>azinama korištenja tehnologija,</w:t>
      </w:r>
      <w:r w:rsidR="00DA2484" w:rsidRPr="004E6412">
        <w:rPr>
          <w:sz w:val="22"/>
        </w:rPr>
        <w:t xml:space="preserve"> znanja i vještina. To su visokoobrazovani kadrovi koji spadaju u red stručnjaka i znanstvenika.</w:t>
      </w:r>
    </w:p>
    <w:p w:rsidR="008031EC" w:rsidRPr="004E6412" w:rsidRDefault="008031EC" w:rsidP="00DA2484">
      <w:pPr>
        <w:rPr>
          <w:b/>
          <w:sz w:val="22"/>
        </w:rPr>
      </w:pPr>
    </w:p>
    <w:p w:rsidR="00DA2484" w:rsidRPr="007D0CFD" w:rsidRDefault="00035C7B" w:rsidP="007D0CFD">
      <w:pPr>
        <w:pStyle w:val="Heading5"/>
        <w:rPr>
          <w:rStyle w:val="IntenseEmphasis"/>
          <w:b/>
          <w:bCs w:val="0"/>
          <w:iCs w:val="0"/>
          <w:color w:val="548DD4" w:themeColor="text2" w:themeTint="99"/>
          <w:sz w:val="20"/>
        </w:rPr>
      </w:pPr>
      <w:bookmarkStart w:id="114" w:name="_Toc377551029"/>
      <w:bookmarkStart w:id="115" w:name="_Toc377635218"/>
      <w:r w:rsidRPr="007D0CFD">
        <w:rPr>
          <w:rStyle w:val="IntenseEmphasis"/>
          <w:b/>
          <w:bCs w:val="0"/>
          <w:iCs w:val="0"/>
          <w:color w:val="548DD4" w:themeColor="text2" w:themeTint="99"/>
          <w:sz w:val="20"/>
        </w:rPr>
        <w:t>Tablica 17</w:t>
      </w:r>
      <w:r w:rsidR="00DA2484" w:rsidRPr="007D0CFD">
        <w:rPr>
          <w:rStyle w:val="IntenseEmphasis"/>
          <w:b/>
          <w:bCs w:val="0"/>
          <w:iCs w:val="0"/>
          <w:color w:val="548DD4" w:themeColor="text2" w:themeTint="99"/>
          <w:sz w:val="20"/>
        </w:rPr>
        <w:t>. Skupine djelatnosti prema razini korištenih tehnologija i znanja prema udjelu u ukupnoj zaposlenosti i br</w:t>
      </w:r>
      <w:r w:rsidR="005E1E65" w:rsidRPr="007D0CFD">
        <w:rPr>
          <w:rStyle w:val="IntenseEmphasis"/>
          <w:b/>
          <w:bCs w:val="0"/>
          <w:iCs w:val="0"/>
          <w:color w:val="548DD4" w:themeColor="text2" w:themeTint="99"/>
          <w:sz w:val="20"/>
        </w:rPr>
        <w:t>ojnosti stručnjaka i znanstvenik</w:t>
      </w:r>
      <w:r w:rsidR="00DA2484" w:rsidRPr="007D0CFD">
        <w:rPr>
          <w:rStyle w:val="IntenseEmphasis"/>
          <w:b/>
          <w:bCs w:val="0"/>
          <w:iCs w:val="0"/>
          <w:color w:val="548DD4" w:themeColor="text2" w:themeTint="99"/>
          <w:sz w:val="20"/>
        </w:rPr>
        <w:t>a među zaposlenima</w:t>
      </w:r>
      <w:bookmarkEnd w:id="114"/>
      <w:bookmarkEnd w:id="115"/>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771"/>
        <w:gridCol w:w="1599"/>
        <w:gridCol w:w="1599"/>
        <w:gridCol w:w="1606"/>
      </w:tblGrid>
      <w:tr w:rsidR="00DA2484" w:rsidRPr="004E6412" w:rsidTr="0097195F">
        <w:trPr>
          <w:trHeight w:val="170"/>
        </w:trPr>
        <w:tc>
          <w:tcPr>
            <w:tcW w:w="1459" w:type="pct"/>
            <w:shd w:val="clear" w:color="auto" w:fill="D9D9D9"/>
            <w:noWrap/>
            <w:vAlign w:val="center"/>
          </w:tcPr>
          <w:p w:rsidR="00DA2484" w:rsidRPr="004E6412" w:rsidRDefault="00DA2484" w:rsidP="0097195F">
            <w:pPr>
              <w:spacing w:line="240" w:lineRule="auto"/>
              <w:jc w:val="left"/>
              <w:rPr>
                <w:b/>
                <w:sz w:val="22"/>
              </w:rPr>
            </w:pPr>
            <w:r w:rsidRPr="004E6412">
              <w:rPr>
                <w:b/>
                <w:sz w:val="22"/>
              </w:rPr>
              <w:t> </w:t>
            </w:r>
          </w:p>
        </w:tc>
        <w:tc>
          <w:tcPr>
            <w:tcW w:w="953" w:type="pct"/>
            <w:shd w:val="clear" w:color="auto" w:fill="D9D9D9"/>
            <w:noWrap/>
            <w:vAlign w:val="center"/>
          </w:tcPr>
          <w:p w:rsidR="00DA2484" w:rsidRPr="004E6412" w:rsidRDefault="00DA2484" w:rsidP="0097195F">
            <w:pPr>
              <w:spacing w:line="240" w:lineRule="auto"/>
              <w:jc w:val="left"/>
              <w:rPr>
                <w:b/>
                <w:sz w:val="22"/>
              </w:rPr>
            </w:pPr>
            <w:r w:rsidRPr="004E6412">
              <w:rPr>
                <w:b/>
                <w:sz w:val="22"/>
              </w:rPr>
              <w:t>Ukupno</w:t>
            </w:r>
          </w:p>
        </w:tc>
        <w:tc>
          <w:tcPr>
            <w:tcW w:w="861" w:type="pct"/>
            <w:shd w:val="clear" w:color="auto" w:fill="D9D9D9"/>
            <w:vAlign w:val="center"/>
          </w:tcPr>
          <w:p w:rsidR="00DA2484" w:rsidRPr="004E6412" w:rsidRDefault="0001570A" w:rsidP="0097195F">
            <w:pPr>
              <w:spacing w:line="240" w:lineRule="auto"/>
              <w:jc w:val="left"/>
              <w:rPr>
                <w:b/>
                <w:sz w:val="22"/>
              </w:rPr>
            </w:pPr>
            <w:r w:rsidRPr="004E6412">
              <w:rPr>
                <w:b/>
                <w:sz w:val="22"/>
              </w:rPr>
              <w:t>Udio u ukupnom broju</w:t>
            </w:r>
            <w:r w:rsidR="003D6C9E" w:rsidRPr="004E6412">
              <w:rPr>
                <w:b/>
                <w:sz w:val="22"/>
              </w:rPr>
              <w:t xml:space="preserve"> zaposlenih</w:t>
            </w:r>
            <w:r w:rsidR="00DA2484" w:rsidRPr="004E6412">
              <w:rPr>
                <w:b/>
                <w:sz w:val="22"/>
              </w:rPr>
              <w:t>, %</w:t>
            </w:r>
          </w:p>
        </w:tc>
        <w:tc>
          <w:tcPr>
            <w:tcW w:w="861" w:type="pct"/>
            <w:shd w:val="clear" w:color="auto" w:fill="D9D9D9"/>
            <w:vAlign w:val="center"/>
          </w:tcPr>
          <w:p w:rsidR="00DA2484" w:rsidRPr="004E6412" w:rsidRDefault="00DA2484" w:rsidP="0097195F">
            <w:pPr>
              <w:spacing w:line="240" w:lineRule="auto"/>
              <w:jc w:val="left"/>
              <w:rPr>
                <w:b/>
                <w:sz w:val="22"/>
              </w:rPr>
            </w:pPr>
            <w:r w:rsidRPr="004E6412">
              <w:rPr>
                <w:b/>
                <w:sz w:val="22"/>
              </w:rPr>
              <w:t>Broj zaposlenih znanstvenika i stručnjaka</w:t>
            </w:r>
          </w:p>
        </w:tc>
        <w:tc>
          <w:tcPr>
            <w:tcW w:w="865" w:type="pct"/>
            <w:shd w:val="clear" w:color="auto" w:fill="D9D9D9"/>
            <w:vAlign w:val="center"/>
          </w:tcPr>
          <w:p w:rsidR="00DA2484" w:rsidRPr="004E6412" w:rsidRDefault="00DA2484" w:rsidP="0097195F">
            <w:pPr>
              <w:spacing w:line="240" w:lineRule="auto"/>
              <w:jc w:val="left"/>
              <w:rPr>
                <w:b/>
                <w:sz w:val="22"/>
              </w:rPr>
            </w:pPr>
            <w:r w:rsidRPr="004E6412">
              <w:rPr>
                <w:b/>
                <w:sz w:val="22"/>
              </w:rPr>
              <w:t>Udio stručnjaka i znanstvenika, %</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HI-TECH IND</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20.209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1,73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2.815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13,93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MED-HI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37.198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3,18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2.301</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6,19</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59.774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5,11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2.308</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3,86</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103.030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8,81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2.616</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KIS-HI-TECH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29.586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2,53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7.484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25,30</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KIS-MKT</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67.774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9.273</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13,68</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KIS-FIN</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42.763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3,65</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6.465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15,12</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KIS-OTHER</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324.096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27,70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67.560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20,85</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LKIS</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350.079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29,92</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15.170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4,33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OSTALO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135.531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11,58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5.742</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4,24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UKUPNO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1.170.040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100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121.734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10,40</w:t>
            </w:r>
          </w:p>
        </w:tc>
      </w:tr>
    </w:tbl>
    <w:p w:rsidR="00DA2484" w:rsidRPr="004E6412" w:rsidRDefault="00DA2484" w:rsidP="00DA2484">
      <w:pPr>
        <w:rPr>
          <w:sz w:val="20"/>
          <w:szCs w:val="20"/>
        </w:rPr>
      </w:pPr>
      <w:r w:rsidRPr="004E6412">
        <w:rPr>
          <w:sz w:val="20"/>
          <w:szCs w:val="20"/>
        </w:rPr>
        <w:lastRenderedPageBreak/>
        <w:t>Izvor: Zaposlenost prema Hrvatskom zavodu za mirovinsko o</w:t>
      </w:r>
      <w:r w:rsidR="009418AD" w:rsidRPr="004E6412">
        <w:rPr>
          <w:sz w:val="20"/>
          <w:szCs w:val="20"/>
        </w:rPr>
        <w:t>siguranje, siječanj 2013. Autoro</w:t>
      </w:r>
      <w:r w:rsidRPr="004E6412">
        <w:rPr>
          <w:sz w:val="20"/>
          <w:szCs w:val="20"/>
        </w:rPr>
        <w:t xml:space="preserve">vi izračuni prema definiciji tehnoloških sektora </w:t>
      </w:r>
      <w:r w:rsidR="009418AD" w:rsidRPr="004E6412">
        <w:rPr>
          <w:sz w:val="20"/>
          <w:szCs w:val="20"/>
        </w:rPr>
        <w:t>(</w:t>
      </w:r>
      <w:r w:rsidRPr="004E6412">
        <w:rPr>
          <w:sz w:val="20"/>
          <w:szCs w:val="20"/>
        </w:rPr>
        <w:t>Eurostat</w:t>
      </w:r>
      <w:r w:rsidR="009418AD" w:rsidRPr="004E6412">
        <w:rPr>
          <w:sz w:val="20"/>
          <w:szCs w:val="20"/>
        </w:rPr>
        <w:t>).</w:t>
      </w:r>
    </w:p>
    <w:p w:rsidR="007F4194" w:rsidRPr="004E6412" w:rsidRDefault="007F4194" w:rsidP="00DA2484">
      <w:pPr>
        <w:rPr>
          <w:sz w:val="22"/>
        </w:rPr>
      </w:pPr>
    </w:p>
    <w:p w:rsidR="00DA2484" w:rsidRPr="004E6412" w:rsidRDefault="00DA2484" w:rsidP="00B15A78">
      <w:pPr>
        <w:numPr>
          <w:ilvl w:val="0"/>
          <w:numId w:val="191"/>
        </w:numPr>
        <w:rPr>
          <w:sz w:val="22"/>
        </w:rPr>
      </w:pPr>
      <w:r w:rsidRPr="004E6412">
        <w:rPr>
          <w:sz w:val="22"/>
        </w:rPr>
        <w:t xml:space="preserve">Najveći </w:t>
      </w:r>
      <w:r w:rsidR="009418AD" w:rsidRPr="004E6412">
        <w:rPr>
          <w:sz w:val="22"/>
        </w:rPr>
        <w:t>je broj zaposlenih u uslužnim djelatnostima</w:t>
      </w:r>
      <w:r w:rsidR="007F4194" w:rsidRPr="004E6412">
        <w:rPr>
          <w:sz w:val="22"/>
        </w:rPr>
        <w:t>,</w:t>
      </w:r>
      <w:r w:rsidR="009418AD" w:rsidRPr="004E6412">
        <w:rPr>
          <w:sz w:val="22"/>
        </w:rPr>
        <w:t xml:space="preserve"> i to onima</w:t>
      </w:r>
      <w:r w:rsidRPr="004E6412">
        <w:rPr>
          <w:sz w:val="22"/>
        </w:rPr>
        <w:t xml:space="preserve"> s niskom ili visokom komponentom znanja (LKIS-350.096, KIS-OTHER – 324.096). Istovremeno </w:t>
      </w:r>
      <w:r w:rsidR="007F4194" w:rsidRPr="004E6412">
        <w:rPr>
          <w:sz w:val="22"/>
        </w:rPr>
        <w:t>te</w:t>
      </w:r>
      <w:r w:rsidRPr="004E6412">
        <w:rPr>
          <w:sz w:val="22"/>
        </w:rPr>
        <w:t xml:space="preserve"> skupine djelatnosti imaju i najveće udjele zaposlenih stručnjaka i znan</w:t>
      </w:r>
      <w:r w:rsidR="009418AD" w:rsidRPr="004E6412">
        <w:rPr>
          <w:sz w:val="22"/>
        </w:rPr>
        <w:t xml:space="preserve">stvenika (KIS-OTHER ima </w:t>
      </w:r>
      <w:smartTag w:uri="urn:schemas-microsoft-com:office:smarttags" w:element="metricconverter">
        <w:smartTagPr>
          <w:attr w:name="ProductID" w:val="67.560, a"/>
        </w:smartTagPr>
        <w:r w:rsidR="009418AD" w:rsidRPr="004E6412">
          <w:rPr>
            <w:sz w:val="22"/>
          </w:rPr>
          <w:t>67.560, a</w:t>
        </w:r>
      </w:smartTag>
      <w:r w:rsidRPr="004E6412">
        <w:rPr>
          <w:sz w:val="22"/>
        </w:rPr>
        <w:t xml:space="preserve"> LKIS 15.170). Sve industrije zajedno</w:t>
      </w:r>
      <w:r w:rsidR="007F4194" w:rsidRPr="004E6412">
        <w:rPr>
          <w:sz w:val="22"/>
        </w:rPr>
        <w:t>,</w:t>
      </w:r>
      <w:r w:rsidRPr="004E6412">
        <w:rPr>
          <w:sz w:val="22"/>
        </w:rPr>
        <w:t xml:space="preserve"> bez obzira na tehnološku razinu</w:t>
      </w:r>
      <w:r w:rsidR="007F4194" w:rsidRPr="004E6412">
        <w:rPr>
          <w:sz w:val="22"/>
        </w:rPr>
        <w:t>,</w:t>
      </w:r>
      <w:r w:rsidRPr="004E6412">
        <w:rPr>
          <w:sz w:val="22"/>
        </w:rPr>
        <w:t xml:space="preserve"> zapošljavaju svega </w:t>
      </w:r>
      <w:r w:rsidR="007F4194" w:rsidRPr="004E6412">
        <w:rPr>
          <w:sz w:val="22"/>
        </w:rPr>
        <w:t>10.040 znanstvenika i stučnjaka.</w:t>
      </w:r>
      <w:r w:rsidR="003D26CC" w:rsidRPr="004E6412">
        <w:rPr>
          <w:sz w:val="22"/>
        </w:rPr>
        <w:t xml:space="preserve"> S udjelom od 1,73% u ukupnom broju zaposlenih,</w:t>
      </w:r>
      <w:r w:rsidRPr="004E6412">
        <w:rPr>
          <w:sz w:val="22"/>
        </w:rPr>
        <w:t xml:space="preserve"> Hrvatska ima veći udio zaposlenih u HI-TECH industrijama </w:t>
      </w:r>
      <w:r w:rsidR="003D26CC" w:rsidRPr="004E6412">
        <w:rPr>
          <w:sz w:val="22"/>
        </w:rPr>
        <w:t>od prosjeka EU</w:t>
      </w:r>
      <w:r w:rsidR="009418AD" w:rsidRPr="004E6412">
        <w:rPr>
          <w:sz w:val="22"/>
        </w:rPr>
        <w:t>-a</w:t>
      </w:r>
      <w:r w:rsidR="003D26CC" w:rsidRPr="004E6412">
        <w:rPr>
          <w:sz w:val="22"/>
        </w:rPr>
        <w:t xml:space="preserve"> koji iznosi</w:t>
      </w:r>
      <w:r w:rsidRPr="004E6412">
        <w:rPr>
          <w:sz w:val="22"/>
        </w:rPr>
        <w:t xml:space="preserve"> 1,1</w:t>
      </w:r>
      <w:r w:rsidR="009418AD" w:rsidRPr="004E6412">
        <w:rPr>
          <w:sz w:val="22"/>
        </w:rPr>
        <w:t>%. Udio zaposlenih u KIS-HI-TECH</w:t>
      </w:r>
      <w:r w:rsidRPr="004E6412">
        <w:rPr>
          <w:sz w:val="22"/>
        </w:rPr>
        <w:t xml:space="preserve"> sektoru u EU nešto je malo veći od onog</w:t>
      </w:r>
      <w:r w:rsidR="009418AD" w:rsidRPr="004E6412">
        <w:rPr>
          <w:sz w:val="22"/>
        </w:rPr>
        <w:t>a</w:t>
      </w:r>
      <w:r w:rsidRPr="004E6412">
        <w:rPr>
          <w:sz w:val="22"/>
        </w:rPr>
        <w:t xml:space="preserve"> u Hrvatskoj</w:t>
      </w:r>
      <w:r w:rsidR="003D26CC" w:rsidRPr="004E6412">
        <w:rPr>
          <w:sz w:val="22"/>
        </w:rPr>
        <w:t xml:space="preserve"> (2,53%)</w:t>
      </w:r>
      <w:r w:rsidRPr="004E6412">
        <w:rPr>
          <w:sz w:val="22"/>
        </w:rPr>
        <w:t xml:space="preserve"> i iznosi 2,73%. </w:t>
      </w:r>
    </w:p>
    <w:p w:rsidR="007F4194" w:rsidRPr="004E6412" w:rsidRDefault="007F4194" w:rsidP="00DA2484">
      <w:pPr>
        <w:rPr>
          <w:sz w:val="22"/>
        </w:rPr>
      </w:pPr>
    </w:p>
    <w:p w:rsidR="007F4194" w:rsidRPr="004E6412" w:rsidRDefault="003D26CC" w:rsidP="00B15A78">
      <w:pPr>
        <w:numPr>
          <w:ilvl w:val="0"/>
          <w:numId w:val="192"/>
        </w:numPr>
        <w:rPr>
          <w:sz w:val="22"/>
        </w:rPr>
      </w:pPr>
      <w:r w:rsidRPr="004E6412">
        <w:rPr>
          <w:sz w:val="22"/>
        </w:rPr>
        <w:t>Kada se promatraju udjeli stručnjaka u</w:t>
      </w:r>
      <w:r w:rsidR="00DA2484" w:rsidRPr="004E6412">
        <w:rPr>
          <w:sz w:val="22"/>
        </w:rPr>
        <w:t xml:space="preserve"> uk</w:t>
      </w:r>
      <w:r w:rsidRPr="004E6412">
        <w:rPr>
          <w:sz w:val="22"/>
        </w:rPr>
        <w:t>upnom broju zaposlenih na svim</w:t>
      </w:r>
      <w:r w:rsidR="00DA2484" w:rsidRPr="004E6412">
        <w:rPr>
          <w:sz w:val="22"/>
        </w:rPr>
        <w:t xml:space="preserve"> tehnološkim raz</w:t>
      </w:r>
      <w:r w:rsidRPr="004E6412">
        <w:rPr>
          <w:sz w:val="22"/>
        </w:rPr>
        <w:t>inama</w:t>
      </w:r>
      <w:r w:rsidR="009418AD" w:rsidRPr="004E6412">
        <w:rPr>
          <w:sz w:val="22"/>
        </w:rPr>
        <w:t>,</w:t>
      </w:r>
      <w:r w:rsidRPr="004E6412">
        <w:rPr>
          <w:sz w:val="22"/>
        </w:rPr>
        <w:t xml:space="preserve"> vidljivo je</w:t>
      </w:r>
      <w:r w:rsidR="00DA2484" w:rsidRPr="004E6412">
        <w:rPr>
          <w:sz w:val="22"/>
        </w:rPr>
        <w:t xml:space="preserve"> da najveće udjele imaju djelatnosti ko</w:t>
      </w:r>
      <w:r w:rsidRPr="004E6412">
        <w:rPr>
          <w:sz w:val="22"/>
        </w:rPr>
        <w:t>je koriste visoku razinu znanja:</w:t>
      </w:r>
      <w:r w:rsidR="00DA2484" w:rsidRPr="004E6412">
        <w:rPr>
          <w:sz w:val="22"/>
        </w:rPr>
        <w:t xml:space="preserve"> KIS-HI-TEC</w:t>
      </w:r>
      <w:r w:rsidRPr="004E6412">
        <w:rPr>
          <w:sz w:val="22"/>
        </w:rPr>
        <w:t>H s udjelom od 25,3% stručnjaka i</w:t>
      </w:r>
      <w:r w:rsidR="009418AD" w:rsidRPr="004E6412">
        <w:rPr>
          <w:sz w:val="22"/>
        </w:rPr>
        <w:t xml:space="preserve"> KIS-OTHER</w:t>
      </w:r>
      <w:r w:rsidR="00DA2484" w:rsidRPr="004E6412">
        <w:rPr>
          <w:sz w:val="22"/>
        </w:rPr>
        <w:t xml:space="preserve"> s 20,85% stručnjaka. </w:t>
      </w:r>
    </w:p>
    <w:p w:rsidR="003D26CC" w:rsidRPr="004E6412" w:rsidRDefault="003D26CC" w:rsidP="00DA2484">
      <w:pPr>
        <w:rPr>
          <w:sz w:val="22"/>
        </w:rPr>
      </w:pPr>
    </w:p>
    <w:p w:rsidR="007F4194" w:rsidRPr="004E6412" w:rsidRDefault="003D26CC" w:rsidP="00B15A78">
      <w:pPr>
        <w:numPr>
          <w:ilvl w:val="0"/>
          <w:numId w:val="193"/>
        </w:numPr>
        <w:rPr>
          <w:sz w:val="22"/>
        </w:rPr>
      </w:pPr>
      <w:r w:rsidRPr="004E6412">
        <w:rPr>
          <w:sz w:val="22"/>
        </w:rPr>
        <w:t>Iz an</w:t>
      </w:r>
      <w:r w:rsidR="009418AD" w:rsidRPr="004E6412">
        <w:rPr>
          <w:sz w:val="22"/>
        </w:rPr>
        <w:t>alize proizlazi kako se najbrojniji</w:t>
      </w:r>
      <w:r w:rsidRPr="004E6412">
        <w:rPr>
          <w:sz w:val="22"/>
        </w:rPr>
        <w:t xml:space="preserve"> ljudski potencijali nalaze u uslužnim, a ne proizvodnim djelatnostima</w:t>
      </w:r>
      <w:r w:rsidR="0001570A" w:rsidRPr="004E6412">
        <w:rPr>
          <w:sz w:val="22"/>
        </w:rPr>
        <w:t>,</w:t>
      </w:r>
      <w:r w:rsidRPr="004E6412">
        <w:rPr>
          <w:sz w:val="22"/>
        </w:rPr>
        <w:t xml:space="preserve"> što je </w:t>
      </w:r>
      <w:r w:rsidR="00DA2484" w:rsidRPr="004E6412">
        <w:rPr>
          <w:sz w:val="22"/>
        </w:rPr>
        <w:t>posljedi</w:t>
      </w:r>
      <w:r w:rsidRPr="004E6412">
        <w:rPr>
          <w:sz w:val="22"/>
        </w:rPr>
        <w:t>ca izostanka ulaganja u razvoj industrije</w:t>
      </w:r>
      <w:r w:rsidR="00DA2484" w:rsidRPr="004E6412">
        <w:rPr>
          <w:sz w:val="22"/>
        </w:rPr>
        <w:t xml:space="preserve"> u proteklom razdoblju</w:t>
      </w:r>
      <w:r w:rsidR="0001570A" w:rsidRPr="004E6412">
        <w:rPr>
          <w:sz w:val="22"/>
        </w:rPr>
        <w:t>, a</w:t>
      </w:r>
      <w:r w:rsidR="00DA2484" w:rsidRPr="004E6412">
        <w:rPr>
          <w:sz w:val="22"/>
        </w:rPr>
        <w:t xml:space="preserve"> za što j</w:t>
      </w:r>
      <w:r w:rsidR="007F4194" w:rsidRPr="004E6412">
        <w:rPr>
          <w:sz w:val="22"/>
        </w:rPr>
        <w:t>e</w:t>
      </w:r>
      <w:r w:rsidR="0001570A" w:rsidRPr="004E6412">
        <w:rPr>
          <w:sz w:val="22"/>
        </w:rPr>
        <w:t xml:space="preserve"> bilo</w:t>
      </w:r>
      <w:r w:rsidR="007F4194" w:rsidRPr="004E6412">
        <w:rPr>
          <w:sz w:val="22"/>
        </w:rPr>
        <w:t xml:space="preserve"> potrebno zapošljava</w:t>
      </w:r>
      <w:r w:rsidR="009418AD" w:rsidRPr="004E6412">
        <w:rPr>
          <w:sz w:val="22"/>
        </w:rPr>
        <w:t>ti visoko</w:t>
      </w:r>
      <w:r w:rsidR="00DA2484" w:rsidRPr="004E6412">
        <w:rPr>
          <w:sz w:val="22"/>
        </w:rPr>
        <w:t>obrazovane kadrove, posebno inženjere. Usluge KIS-OTHER uključuju veterinar</w:t>
      </w:r>
      <w:r w:rsidR="001842A9" w:rsidRPr="004E6412">
        <w:rPr>
          <w:sz w:val="22"/>
        </w:rPr>
        <w:t>ske usluge, javnu upravu</w:t>
      </w:r>
      <w:r w:rsidR="00DA2484" w:rsidRPr="004E6412">
        <w:rPr>
          <w:sz w:val="22"/>
        </w:rPr>
        <w:t xml:space="preserve">, obranu, obvezno osiguranje, obrazovanje kao i zdravstvo, umjetnost i rekreaciju – većina radnih mjesta koja se smatraju </w:t>
      </w:r>
      <w:r w:rsidR="0001570A" w:rsidRPr="004E6412">
        <w:rPr>
          <w:sz w:val="22"/>
        </w:rPr>
        <w:t>relativno sigurnima</w:t>
      </w:r>
      <w:r w:rsidR="00DA2484" w:rsidRPr="004E6412">
        <w:rPr>
          <w:sz w:val="22"/>
        </w:rPr>
        <w:t xml:space="preserve"> i koja su privukla velik</w:t>
      </w:r>
      <w:r w:rsidR="009418AD" w:rsidRPr="004E6412">
        <w:rPr>
          <w:sz w:val="22"/>
        </w:rPr>
        <w:t xml:space="preserve"> broj visoko</w:t>
      </w:r>
      <w:r w:rsidR="00DA2484" w:rsidRPr="004E6412">
        <w:rPr>
          <w:sz w:val="22"/>
        </w:rPr>
        <w:t>obr</w:t>
      </w:r>
      <w:r w:rsidR="009418AD" w:rsidRPr="004E6412">
        <w:rPr>
          <w:sz w:val="22"/>
        </w:rPr>
        <w:t>azovanih osoba u razdobljima u kojim</w:t>
      </w:r>
      <w:r w:rsidR="00DA2484" w:rsidRPr="004E6412">
        <w:rPr>
          <w:sz w:val="22"/>
        </w:rPr>
        <w:t xml:space="preserve">a je </w:t>
      </w:r>
      <w:r w:rsidR="009418AD" w:rsidRPr="004E6412">
        <w:rPr>
          <w:sz w:val="22"/>
        </w:rPr>
        <w:t>za</w:t>
      </w:r>
      <w:r w:rsidR="00DA2484" w:rsidRPr="004E6412">
        <w:rPr>
          <w:sz w:val="22"/>
        </w:rPr>
        <w:t xml:space="preserve">bilježen pad potražnje u industriji. </w:t>
      </w:r>
    </w:p>
    <w:p w:rsidR="007F4194" w:rsidRPr="004E6412" w:rsidRDefault="007F4194" w:rsidP="00DA2484">
      <w:pPr>
        <w:rPr>
          <w:sz w:val="22"/>
        </w:rPr>
      </w:pPr>
    </w:p>
    <w:p w:rsidR="008031EC" w:rsidRPr="004E6412" w:rsidRDefault="008031EC" w:rsidP="00DA2484">
      <w:pPr>
        <w:rPr>
          <w:b/>
          <w:bCs/>
          <w:sz w:val="22"/>
        </w:rPr>
      </w:pPr>
    </w:p>
    <w:p w:rsidR="00DA2484" w:rsidRPr="004E6412" w:rsidRDefault="00DA2484" w:rsidP="0001570A">
      <w:pPr>
        <w:pStyle w:val="Heading4"/>
      </w:pPr>
      <w:r w:rsidRPr="004E6412">
        <w:t xml:space="preserve">Zamjena radne snage </w:t>
      </w:r>
    </w:p>
    <w:p w:rsidR="0001570A" w:rsidRPr="004E6412" w:rsidRDefault="00D71B5D" w:rsidP="00B15A78">
      <w:pPr>
        <w:numPr>
          <w:ilvl w:val="0"/>
          <w:numId w:val="194"/>
        </w:numPr>
        <w:rPr>
          <w:bCs/>
          <w:sz w:val="22"/>
        </w:rPr>
      </w:pPr>
      <w:r w:rsidRPr="004E6412">
        <w:rPr>
          <w:bCs/>
          <w:sz w:val="22"/>
        </w:rPr>
        <w:t>U oviru ovog dijela analize pokušat će se dati odgovor na pitanje: „Postoji li dovoljna ponuda</w:t>
      </w:r>
      <w:r w:rsidR="0001570A" w:rsidRPr="004E6412">
        <w:rPr>
          <w:bCs/>
          <w:sz w:val="22"/>
        </w:rPr>
        <w:t xml:space="preserve"> nezaposlene radne snage da zamijeni postojeću radnu snagu i omogući razvoj u ključnim djelatnostima?</w:t>
      </w:r>
      <w:r w:rsidR="009418AD" w:rsidRPr="004E6412">
        <w:rPr>
          <w:bCs/>
          <w:sz w:val="22"/>
        </w:rPr>
        <w:t>“</w:t>
      </w:r>
    </w:p>
    <w:p w:rsidR="00D71B5D" w:rsidRPr="004E6412" w:rsidRDefault="00D71B5D" w:rsidP="00DA2484">
      <w:pPr>
        <w:rPr>
          <w:bCs/>
          <w:sz w:val="22"/>
        </w:rPr>
      </w:pPr>
    </w:p>
    <w:p w:rsidR="00DA2484" w:rsidRPr="004E6412" w:rsidRDefault="00DA2484" w:rsidP="00DA2484">
      <w:pPr>
        <w:numPr>
          <w:ilvl w:val="0"/>
          <w:numId w:val="195"/>
        </w:numPr>
        <w:rPr>
          <w:sz w:val="22"/>
        </w:rPr>
      </w:pPr>
      <w:r w:rsidRPr="004E6412">
        <w:rPr>
          <w:sz w:val="22"/>
        </w:rPr>
        <w:t>Ukupna potražnja za radnom snagom dijeli se na potražnju zbog zamjene umi</w:t>
      </w:r>
      <w:r w:rsidR="00D71B5D" w:rsidRPr="004E6412">
        <w:rPr>
          <w:sz w:val="22"/>
        </w:rPr>
        <w:t>rovljenih zaposlenika i razvojnu potražnju</w:t>
      </w:r>
      <w:r w:rsidRPr="004E6412">
        <w:rPr>
          <w:sz w:val="22"/>
        </w:rPr>
        <w:t xml:space="preserve"> koja pr</w:t>
      </w:r>
      <w:r w:rsidR="00D71B5D" w:rsidRPr="004E6412">
        <w:rPr>
          <w:sz w:val="22"/>
        </w:rPr>
        <w:t xml:space="preserve">oizlazi iz ekonomskog rasta. </w:t>
      </w:r>
      <w:r w:rsidR="00765193" w:rsidRPr="004E6412">
        <w:rPr>
          <w:sz w:val="22"/>
        </w:rPr>
        <w:t>U Tablici</w:t>
      </w:r>
      <w:r w:rsidR="00035C7B" w:rsidRPr="004E6412">
        <w:rPr>
          <w:sz w:val="22"/>
        </w:rPr>
        <w:t xml:space="preserve"> 18</w:t>
      </w:r>
      <w:r w:rsidR="009418AD" w:rsidRPr="004E6412">
        <w:rPr>
          <w:sz w:val="22"/>
        </w:rPr>
        <w:t>.</w:t>
      </w:r>
      <w:r w:rsidR="00765193" w:rsidRPr="004E6412">
        <w:rPr>
          <w:sz w:val="22"/>
        </w:rPr>
        <w:t xml:space="preserve"> prikazane su procjene koliko će ml</w:t>
      </w:r>
      <w:r w:rsidR="009418AD" w:rsidRPr="004E6412">
        <w:rPr>
          <w:sz w:val="22"/>
        </w:rPr>
        <w:t>adih te</w:t>
      </w:r>
      <w:r w:rsidR="00765193" w:rsidRPr="004E6412">
        <w:rPr>
          <w:sz w:val="22"/>
        </w:rPr>
        <w:t xml:space="preserve"> mladih i nezaposlenih biti raspoloživo za radna mjesta onih koji odlaze u mirovinu.</w:t>
      </w:r>
    </w:p>
    <w:p w:rsidR="00765193" w:rsidRPr="004E6412" w:rsidRDefault="00765193" w:rsidP="00765193">
      <w:pPr>
        <w:ind w:left="720"/>
        <w:rPr>
          <w:sz w:val="22"/>
        </w:rPr>
      </w:pPr>
    </w:p>
    <w:p w:rsidR="00D71B5D" w:rsidRPr="007D0CFD" w:rsidRDefault="00D71B5D" w:rsidP="007D0CFD">
      <w:pPr>
        <w:pStyle w:val="Heading5"/>
        <w:rPr>
          <w:rStyle w:val="IntenseEmphasis"/>
          <w:b/>
          <w:bCs w:val="0"/>
          <w:iCs w:val="0"/>
          <w:color w:val="548DD4" w:themeColor="text2" w:themeTint="99"/>
          <w:sz w:val="20"/>
        </w:rPr>
      </w:pPr>
      <w:bookmarkStart w:id="116" w:name="_Toc377551030"/>
      <w:bookmarkStart w:id="117" w:name="_Toc37763521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18</w:t>
      </w:r>
      <w:r w:rsidRPr="007D0CFD">
        <w:rPr>
          <w:rStyle w:val="IntenseEmphasis"/>
          <w:b/>
          <w:bCs w:val="0"/>
          <w:iCs w:val="0"/>
          <w:color w:val="548DD4" w:themeColor="text2" w:themeTint="99"/>
          <w:sz w:val="20"/>
        </w:rPr>
        <w:t xml:space="preserve">. Procjena potražnje zbog zamjene umirovljenih </w:t>
      </w:r>
      <w:r w:rsidR="009D203A" w:rsidRPr="007D0CFD">
        <w:rPr>
          <w:rStyle w:val="IntenseEmphasis"/>
          <w:b/>
          <w:bCs w:val="0"/>
          <w:iCs w:val="0"/>
          <w:color w:val="548DD4" w:themeColor="text2" w:themeTint="99"/>
          <w:sz w:val="20"/>
        </w:rPr>
        <w:t>zaposlenika</w:t>
      </w:r>
      <w:bookmarkEnd w:id="116"/>
      <w:bookmarkEnd w:id="117"/>
      <w:r w:rsidR="009D203A"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234"/>
        <w:gridCol w:w="2771"/>
        <w:gridCol w:w="2281"/>
      </w:tblGrid>
      <w:tr w:rsidR="00DA2484" w:rsidRPr="004E6412" w:rsidTr="0097195F">
        <w:trPr>
          <w:trHeight w:val="227"/>
        </w:trPr>
        <w:tc>
          <w:tcPr>
            <w:tcW w:w="2280" w:type="pct"/>
            <w:shd w:val="clear" w:color="auto" w:fill="D9D9D9"/>
            <w:vAlign w:val="center"/>
          </w:tcPr>
          <w:p w:rsidR="00DA2484" w:rsidRPr="004E6412" w:rsidRDefault="0001570A" w:rsidP="0097195F">
            <w:pPr>
              <w:jc w:val="left"/>
              <w:rPr>
                <w:b/>
                <w:sz w:val="22"/>
              </w:rPr>
            </w:pPr>
            <w:r w:rsidRPr="004E6412">
              <w:rPr>
                <w:b/>
                <w:sz w:val="22"/>
              </w:rPr>
              <w:t>Sektori</w:t>
            </w:r>
          </w:p>
        </w:tc>
        <w:tc>
          <w:tcPr>
            <w:tcW w:w="1492" w:type="pct"/>
            <w:shd w:val="clear" w:color="auto" w:fill="D9D9D9"/>
            <w:vAlign w:val="center"/>
          </w:tcPr>
          <w:p w:rsidR="00DA2484" w:rsidRPr="004E6412" w:rsidRDefault="009418AD" w:rsidP="0097195F">
            <w:pPr>
              <w:jc w:val="left"/>
              <w:rPr>
                <w:b/>
                <w:sz w:val="22"/>
              </w:rPr>
            </w:pPr>
            <w:r w:rsidRPr="004E6412">
              <w:rPr>
                <w:b/>
                <w:sz w:val="22"/>
              </w:rPr>
              <w:t>Mladi</w:t>
            </w:r>
            <w:r w:rsidR="00DA2484" w:rsidRPr="004E6412">
              <w:rPr>
                <w:b/>
                <w:sz w:val="22"/>
              </w:rPr>
              <w:t xml:space="preserve"> po radnom mjestu</w:t>
            </w:r>
          </w:p>
        </w:tc>
        <w:tc>
          <w:tcPr>
            <w:tcW w:w="1229" w:type="pct"/>
            <w:shd w:val="clear" w:color="auto" w:fill="D9D9D9"/>
            <w:vAlign w:val="center"/>
          </w:tcPr>
          <w:p w:rsidR="00DA2484" w:rsidRPr="004E6412" w:rsidRDefault="00DA2484" w:rsidP="0097195F">
            <w:pPr>
              <w:jc w:val="left"/>
              <w:rPr>
                <w:b/>
                <w:sz w:val="22"/>
              </w:rPr>
            </w:pPr>
            <w:r w:rsidRPr="004E6412">
              <w:rPr>
                <w:b/>
                <w:sz w:val="22"/>
              </w:rPr>
              <w:t>Mladi i nezaposleni po radnom mjestu</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Zdravstvo</w:t>
            </w:r>
          </w:p>
        </w:tc>
        <w:tc>
          <w:tcPr>
            <w:tcW w:w="1492" w:type="pct"/>
            <w:shd w:val="clear" w:color="auto" w:fill="auto"/>
            <w:vAlign w:val="center"/>
          </w:tcPr>
          <w:p w:rsidR="00DA2484" w:rsidRPr="004E6412" w:rsidRDefault="00DA2484" w:rsidP="0097195F">
            <w:pPr>
              <w:jc w:val="left"/>
              <w:rPr>
                <w:sz w:val="22"/>
              </w:rPr>
            </w:pPr>
            <w:r w:rsidRPr="004E6412">
              <w:rPr>
                <w:sz w:val="22"/>
              </w:rPr>
              <w:t>4.79</w:t>
            </w:r>
          </w:p>
        </w:tc>
        <w:tc>
          <w:tcPr>
            <w:tcW w:w="1229" w:type="pct"/>
            <w:shd w:val="clear" w:color="auto" w:fill="auto"/>
            <w:vAlign w:val="center"/>
          </w:tcPr>
          <w:p w:rsidR="00DA2484" w:rsidRPr="004E6412" w:rsidRDefault="00DA2484" w:rsidP="0097195F">
            <w:pPr>
              <w:jc w:val="left"/>
              <w:rPr>
                <w:sz w:val="22"/>
              </w:rPr>
            </w:pPr>
            <w:r w:rsidRPr="004E6412">
              <w:rPr>
                <w:sz w:val="22"/>
              </w:rPr>
              <w:t>12.1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Ele</w:t>
            </w:r>
            <w:r w:rsidR="009418AD" w:rsidRPr="004E6412">
              <w:rPr>
                <w:sz w:val="22"/>
              </w:rPr>
              <w:t>ktrotehnika i računar</w:t>
            </w:r>
            <w:r w:rsidRPr="004E6412">
              <w:rPr>
                <w:sz w:val="22"/>
              </w:rPr>
              <w:t>stvo</w:t>
            </w:r>
          </w:p>
        </w:tc>
        <w:tc>
          <w:tcPr>
            <w:tcW w:w="1492" w:type="pct"/>
            <w:shd w:val="clear" w:color="auto" w:fill="auto"/>
            <w:vAlign w:val="center"/>
          </w:tcPr>
          <w:p w:rsidR="00DA2484" w:rsidRPr="004E6412" w:rsidRDefault="00DA2484" w:rsidP="0097195F">
            <w:pPr>
              <w:jc w:val="left"/>
              <w:rPr>
                <w:sz w:val="22"/>
              </w:rPr>
            </w:pPr>
            <w:r w:rsidRPr="004E6412">
              <w:rPr>
                <w:sz w:val="22"/>
              </w:rPr>
              <w:t>2.86</w:t>
            </w:r>
          </w:p>
        </w:tc>
        <w:tc>
          <w:tcPr>
            <w:tcW w:w="1229" w:type="pct"/>
            <w:shd w:val="clear" w:color="auto" w:fill="auto"/>
            <w:vAlign w:val="center"/>
          </w:tcPr>
          <w:p w:rsidR="00DA2484" w:rsidRPr="004E6412" w:rsidRDefault="00DA2484" w:rsidP="0097195F">
            <w:pPr>
              <w:jc w:val="left"/>
              <w:rPr>
                <w:sz w:val="22"/>
              </w:rPr>
            </w:pPr>
            <w:r w:rsidRPr="004E6412">
              <w:rPr>
                <w:sz w:val="22"/>
              </w:rPr>
              <w:t>7.1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Geologija, nafta, kemija</w:t>
            </w:r>
          </w:p>
        </w:tc>
        <w:tc>
          <w:tcPr>
            <w:tcW w:w="1492" w:type="pct"/>
            <w:shd w:val="clear" w:color="auto" w:fill="auto"/>
            <w:vAlign w:val="center"/>
          </w:tcPr>
          <w:p w:rsidR="00DA2484" w:rsidRPr="004E6412" w:rsidRDefault="00DA2484" w:rsidP="0097195F">
            <w:pPr>
              <w:jc w:val="left"/>
              <w:rPr>
                <w:sz w:val="22"/>
              </w:rPr>
            </w:pPr>
            <w:r w:rsidRPr="004E6412">
              <w:rPr>
                <w:sz w:val="22"/>
              </w:rPr>
              <w:t>0.16</w:t>
            </w:r>
          </w:p>
        </w:tc>
        <w:tc>
          <w:tcPr>
            <w:tcW w:w="1229" w:type="pct"/>
            <w:shd w:val="clear" w:color="auto" w:fill="auto"/>
            <w:vAlign w:val="center"/>
          </w:tcPr>
          <w:p w:rsidR="00DA2484" w:rsidRPr="004E6412" w:rsidRDefault="00DA2484" w:rsidP="0097195F">
            <w:pPr>
              <w:jc w:val="left"/>
              <w:rPr>
                <w:sz w:val="22"/>
              </w:rPr>
            </w:pPr>
            <w:r w:rsidRPr="004E6412">
              <w:rPr>
                <w:sz w:val="22"/>
              </w:rPr>
              <w:t>9.3</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Grafička industrija</w:t>
            </w:r>
          </w:p>
        </w:tc>
        <w:tc>
          <w:tcPr>
            <w:tcW w:w="1492" w:type="pct"/>
            <w:shd w:val="clear" w:color="auto" w:fill="auto"/>
            <w:vAlign w:val="center"/>
          </w:tcPr>
          <w:p w:rsidR="00DA2484" w:rsidRPr="004E6412" w:rsidRDefault="00DA2484" w:rsidP="0097195F">
            <w:pPr>
              <w:jc w:val="left"/>
              <w:rPr>
                <w:sz w:val="22"/>
              </w:rPr>
            </w:pPr>
            <w:r w:rsidRPr="004E6412">
              <w:rPr>
                <w:sz w:val="22"/>
              </w:rPr>
              <w:t>5.04</w:t>
            </w:r>
          </w:p>
        </w:tc>
        <w:tc>
          <w:tcPr>
            <w:tcW w:w="1229" w:type="pct"/>
            <w:shd w:val="clear" w:color="auto" w:fill="auto"/>
            <w:vAlign w:val="center"/>
          </w:tcPr>
          <w:p w:rsidR="00DA2484" w:rsidRPr="004E6412" w:rsidRDefault="00DA2484" w:rsidP="0097195F">
            <w:pPr>
              <w:jc w:val="left"/>
              <w:rPr>
                <w:sz w:val="22"/>
              </w:rPr>
            </w:pPr>
            <w:r w:rsidRPr="004E6412">
              <w:rPr>
                <w:sz w:val="22"/>
              </w:rPr>
              <w:t>17.0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Ekonomija, trgovina</w:t>
            </w:r>
            <w:r w:rsidR="009418AD" w:rsidRPr="004E6412">
              <w:rPr>
                <w:sz w:val="22"/>
              </w:rPr>
              <w:t>,</w:t>
            </w:r>
            <w:r w:rsidRPr="004E6412">
              <w:rPr>
                <w:sz w:val="22"/>
              </w:rPr>
              <w:t xml:space="preserve"> administracija</w:t>
            </w:r>
          </w:p>
        </w:tc>
        <w:tc>
          <w:tcPr>
            <w:tcW w:w="1492" w:type="pct"/>
            <w:shd w:val="clear" w:color="auto" w:fill="auto"/>
            <w:vAlign w:val="center"/>
          </w:tcPr>
          <w:p w:rsidR="00DA2484" w:rsidRPr="004E6412" w:rsidRDefault="00DA2484" w:rsidP="0097195F">
            <w:pPr>
              <w:jc w:val="left"/>
              <w:rPr>
                <w:sz w:val="22"/>
              </w:rPr>
            </w:pPr>
            <w:r w:rsidRPr="004E6412">
              <w:rPr>
                <w:sz w:val="22"/>
              </w:rPr>
              <w:t>0.81</w:t>
            </w:r>
          </w:p>
        </w:tc>
        <w:tc>
          <w:tcPr>
            <w:tcW w:w="1229" w:type="pct"/>
            <w:shd w:val="clear" w:color="auto" w:fill="auto"/>
            <w:vAlign w:val="center"/>
          </w:tcPr>
          <w:p w:rsidR="00DA2484" w:rsidRPr="004E6412" w:rsidRDefault="00DA2484" w:rsidP="0097195F">
            <w:pPr>
              <w:jc w:val="left"/>
              <w:rPr>
                <w:sz w:val="22"/>
              </w:rPr>
            </w:pPr>
            <w:r w:rsidRPr="004E6412">
              <w:rPr>
                <w:sz w:val="22"/>
              </w:rPr>
              <w:t>10.2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UKUPNO SEKTORI</w:t>
            </w:r>
          </w:p>
        </w:tc>
        <w:tc>
          <w:tcPr>
            <w:tcW w:w="1492" w:type="pct"/>
            <w:shd w:val="clear" w:color="auto" w:fill="auto"/>
            <w:vAlign w:val="center"/>
          </w:tcPr>
          <w:p w:rsidR="00DA2484" w:rsidRPr="004E6412" w:rsidRDefault="00DA2484" w:rsidP="0097195F">
            <w:pPr>
              <w:jc w:val="left"/>
              <w:rPr>
                <w:sz w:val="22"/>
              </w:rPr>
            </w:pPr>
            <w:r w:rsidRPr="004E6412">
              <w:rPr>
                <w:sz w:val="22"/>
              </w:rPr>
              <w:t>1.87</w:t>
            </w:r>
          </w:p>
        </w:tc>
        <w:tc>
          <w:tcPr>
            <w:tcW w:w="1229" w:type="pct"/>
            <w:shd w:val="clear" w:color="auto" w:fill="auto"/>
            <w:vAlign w:val="center"/>
          </w:tcPr>
          <w:p w:rsidR="00DA2484" w:rsidRPr="004E6412" w:rsidRDefault="00DA2484" w:rsidP="0097195F">
            <w:pPr>
              <w:jc w:val="left"/>
              <w:rPr>
                <w:sz w:val="22"/>
              </w:rPr>
            </w:pPr>
            <w:r w:rsidRPr="004E6412">
              <w:rPr>
                <w:sz w:val="22"/>
              </w:rPr>
              <w:t>12.4</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Graditeljstvo</w:t>
            </w:r>
          </w:p>
        </w:tc>
        <w:tc>
          <w:tcPr>
            <w:tcW w:w="1492" w:type="pct"/>
            <w:shd w:val="clear" w:color="auto" w:fill="auto"/>
            <w:vAlign w:val="center"/>
          </w:tcPr>
          <w:p w:rsidR="00DA2484" w:rsidRPr="004E6412" w:rsidRDefault="00DA2484" w:rsidP="0097195F">
            <w:pPr>
              <w:jc w:val="left"/>
              <w:rPr>
                <w:sz w:val="22"/>
              </w:rPr>
            </w:pPr>
            <w:r w:rsidRPr="004E6412">
              <w:rPr>
                <w:sz w:val="22"/>
              </w:rPr>
              <w:t>0.60</w:t>
            </w:r>
          </w:p>
        </w:tc>
        <w:tc>
          <w:tcPr>
            <w:tcW w:w="1229" w:type="pct"/>
            <w:shd w:val="clear" w:color="auto" w:fill="auto"/>
            <w:vAlign w:val="center"/>
          </w:tcPr>
          <w:p w:rsidR="00DA2484" w:rsidRPr="004E6412" w:rsidRDefault="00DA2484" w:rsidP="0097195F">
            <w:pPr>
              <w:jc w:val="left"/>
              <w:rPr>
                <w:sz w:val="22"/>
              </w:rPr>
            </w:pPr>
            <w:r w:rsidRPr="004E6412">
              <w:rPr>
                <w:sz w:val="22"/>
              </w:rPr>
              <w:t>11.5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Strojarstvo</w:t>
            </w:r>
          </w:p>
        </w:tc>
        <w:tc>
          <w:tcPr>
            <w:tcW w:w="1492" w:type="pct"/>
            <w:shd w:val="clear" w:color="auto" w:fill="auto"/>
            <w:vAlign w:val="center"/>
          </w:tcPr>
          <w:p w:rsidR="00DA2484" w:rsidRPr="004E6412" w:rsidRDefault="00DA2484" w:rsidP="0097195F">
            <w:pPr>
              <w:jc w:val="left"/>
              <w:rPr>
                <w:sz w:val="22"/>
              </w:rPr>
            </w:pPr>
            <w:r w:rsidRPr="004E6412">
              <w:rPr>
                <w:sz w:val="22"/>
              </w:rPr>
              <w:t>1.49</w:t>
            </w:r>
          </w:p>
        </w:tc>
        <w:tc>
          <w:tcPr>
            <w:tcW w:w="1229" w:type="pct"/>
            <w:shd w:val="clear" w:color="auto" w:fill="auto"/>
            <w:vAlign w:val="center"/>
          </w:tcPr>
          <w:p w:rsidR="00DA2484" w:rsidRPr="004E6412" w:rsidRDefault="00DA2484" w:rsidP="0097195F">
            <w:pPr>
              <w:jc w:val="left"/>
              <w:rPr>
                <w:sz w:val="22"/>
              </w:rPr>
            </w:pPr>
            <w:r w:rsidRPr="004E6412">
              <w:rPr>
                <w:sz w:val="22"/>
              </w:rPr>
              <w:t>6.5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Promet i logistika</w:t>
            </w:r>
          </w:p>
        </w:tc>
        <w:tc>
          <w:tcPr>
            <w:tcW w:w="1492" w:type="pct"/>
            <w:shd w:val="clear" w:color="auto" w:fill="auto"/>
            <w:vAlign w:val="center"/>
          </w:tcPr>
          <w:p w:rsidR="00DA2484" w:rsidRPr="004E6412" w:rsidRDefault="00DA2484" w:rsidP="0097195F">
            <w:pPr>
              <w:jc w:val="left"/>
              <w:rPr>
                <w:sz w:val="22"/>
              </w:rPr>
            </w:pPr>
            <w:r w:rsidRPr="004E6412">
              <w:rPr>
                <w:sz w:val="22"/>
              </w:rPr>
              <w:t>0.46</w:t>
            </w:r>
          </w:p>
        </w:tc>
        <w:tc>
          <w:tcPr>
            <w:tcW w:w="1229" w:type="pct"/>
            <w:shd w:val="clear" w:color="auto" w:fill="auto"/>
            <w:vAlign w:val="center"/>
          </w:tcPr>
          <w:p w:rsidR="00DA2484" w:rsidRPr="004E6412" w:rsidRDefault="00DA2484" w:rsidP="0097195F">
            <w:pPr>
              <w:jc w:val="left"/>
              <w:rPr>
                <w:sz w:val="22"/>
              </w:rPr>
            </w:pPr>
            <w:r w:rsidRPr="004E6412">
              <w:rPr>
                <w:sz w:val="22"/>
              </w:rPr>
              <w:t>6.8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lastRenderedPageBreak/>
              <w:t>Poljoprivreda</w:t>
            </w:r>
          </w:p>
        </w:tc>
        <w:tc>
          <w:tcPr>
            <w:tcW w:w="1492" w:type="pct"/>
            <w:shd w:val="clear" w:color="auto" w:fill="auto"/>
            <w:vAlign w:val="center"/>
          </w:tcPr>
          <w:p w:rsidR="00DA2484" w:rsidRPr="004E6412" w:rsidRDefault="00DA2484" w:rsidP="0097195F">
            <w:pPr>
              <w:jc w:val="left"/>
              <w:rPr>
                <w:sz w:val="22"/>
              </w:rPr>
            </w:pPr>
            <w:r w:rsidRPr="004E6412">
              <w:rPr>
                <w:sz w:val="22"/>
              </w:rPr>
              <w:t>0.69</w:t>
            </w:r>
          </w:p>
        </w:tc>
        <w:tc>
          <w:tcPr>
            <w:tcW w:w="1229" w:type="pct"/>
            <w:shd w:val="clear" w:color="auto" w:fill="auto"/>
            <w:vAlign w:val="center"/>
          </w:tcPr>
          <w:p w:rsidR="00DA2484" w:rsidRPr="004E6412" w:rsidRDefault="00DA2484" w:rsidP="0097195F">
            <w:pPr>
              <w:jc w:val="left"/>
              <w:rPr>
                <w:sz w:val="22"/>
              </w:rPr>
            </w:pPr>
            <w:r w:rsidRPr="004E6412">
              <w:rPr>
                <w:sz w:val="22"/>
              </w:rPr>
              <w:t>11.8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Tekstil i koža</w:t>
            </w:r>
          </w:p>
        </w:tc>
        <w:tc>
          <w:tcPr>
            <w:tcW w:w="1492" w:type="pct"/>
            <w:shd w:val="clear" w:color="auto" w:fill="auto"/>
            <w:vAlign w:val="center"/>
          </w:tcPr>
          <w:p w:rsidR="00DA2484" w:rsidRPr="004E6412" w:rsidRDefault="00DA2484" w:rsidP="0097195F">
            <w:pPr>
              <w:jc w:val="left"/>
              <w:rPr>
                <w:sz w:val="22"/>
              </w:rPr>
            </w:pPr>
            <w:r w:rsidRPr="004E6412">
              <w:rPr>
                <w:sz w:val="22"/>
              </w:rPr>
              <w:t>0.54</w:t>
            </w:r>
          </w:p>
        </w:tc>
        <w:tc>
          <w:tcPr>
            <w:tcW w:w="1229" w:type="pct"/>
            <w:shd w:val="clear" w:color="auto" w:fill="auto"/>
            <w:vAlign w:val="center"/>
          </w:tcPr>
          <w:p w:rsidR="00DA2484" w:rsidRPr="004E6412" w:rsidRDefault="00DA2484" w:rsidP="0097195F">
            <w:pPr>
              <w:jc w:val="left"/>
              <w:rPr>
                <w:sz w:val="22"/>
              </w:rPr>
            </w:pPr>
            <w:r w:rsidRPr="004E6412">
              <w:rPr>
                <w:sz w:val="22"/>
              </w:rPr>
              <w:t>20.6</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Šumarstvo</w:t>
            </w:r>
          </w:p>
        </w:tc>
        <w:tc>
          <w:tcPr>
            <w:tcW w:w="1492" w:type="pct"/>
            <w:shd w:val="clear" w:color="auto" w:fill="auto"/>
            <w:vAlign w:val="center"/>
          </w:tcPr>
          <w:p w:rsidR="00DA2484" w:rsidRPr="004E6412" w:rsidRDefault="00DA2484" w:rsidP="0097195F">
            <w:pPr>
              <w:jc w:val="left"/>
              <w:rPr>
                <w:sz w:val="22"/>
              </w:rPr>
            </w:pPr>
            <w:r w:rsidRPr="004E6412">
              <w:rPr>
                <w:sz w:val="22"/>
              </w:rPr>
              <w:t>1.56</w:t>
            </w:r>
          </w:p>
        </w:tc>
        <w:tc>
          <w:tcPr>
            <w:tcW w:w="1229" w:type="pct"/>
            <w:shd w:val="clear" w:color="auto" w:fill="auto"/>
            <w:vAlign w:val="center"/>
          </w:tcPr>
          <w:p w:rsidR="00DA2484" w:rsidRPr="004E6412" w:rsidRDefault="00DA2484" w:rsidP="0097195F">
            <w:pPr>
              <w:jc w:val="left"/>
              <w:rPr>
                <w:sz w:val="22"/>
              </w:rPr>
            </w:pPr>
            <w:r w:rsidRPr="004E6412">
              <w:rPr>
                <w:sz w:val="22"/>
              </w:rPr>
              <w:t>13.2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Usluge</w:t>
            </w:r>
          </w:p>
        </w:tc>
        <w:tc>
          <w:tcPr>
            <w:tcW w:w="1492" w:type="pct"/>
            <w:shd w:val="clear" w:color="auto" w:fill="auto"/>
            <w:vAlign w:val="center"/>
          </w:tcPr>
          <w:p w:rsidR="00DA2484" w:rsidRPr="004E6412" w:rsidRDefault="00DA2484" w:rsidP="0097195F">
            <w:pPr>
              <w:jc w:val="left"/>
              <w:rPr>
                <w:sz w:val="22"/>
              </w:rPr>
            </w:pPr>
            <w:r w:rsidRPr="004E6412">
              <w:rPr>
                <w:sz w:val="22"/>
              </w:rPr>
              <w:t>2.17</w:t>
            </w:r>
          </w:p>
        </w:tc>
        <w:tc>
          <w:tcPr>
            <w:tcW w:w="1229" w:type="pct"/>
            <w:shd w:val="clear" w:color="auto" w:fill="auto"/>
            <w:vAlign w:val="center"/>
          </w:tcPr>
          <w:p w:rsidR="00DA2484" w:rsidRPr="004E6412" w:rsidRDefault="00DA2484" w:rsidP="0097195F">
            <w:pPr>
              <w:jc w:val="left"/>
              <w:rPr>
                <w:sz w:val="22"/>
              </w:rPr>
            </w:pPr>
            <w:r w:rsidRPr="004E6412">
              <w:rPr>
                <w:sz w:val="22"/>
              </w:rPr>
              <w:t>10.0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Turizam i ugostiteljstvo</w:t>
            </w:r>
          </w:p>
        </w:tc>
        <w:tc>
          <w:tcPr>
            <w:tcW w:w="1492" w:type="pct"/>
            <w:shd w:val="clear" w:color="auto" w:fill="auto"/>
            <w:vAlign w:val="center"/>
          </w:tcPr>
          <w:p w:rsidR="00DA2484" w:rsidRPr="004E6412" w:rsidRDefault="00DA2484" w:rsidP="0097195F">
            <w:pPr>
              <w:jc w:val="left"/>
              <w:rPr>
                <w:sz w:val="22"/>
              </w:rPr>
            </w:pPr>
            <w:r w:rsidRPr="004E6412">
              <w:rPr>
                <w:sz w:val="22"/>
              </w:rPr>
              <w:t>3.10</w:t>
            </w:r>
          </w:p>
        </w:tc>
        <w:tc>
          <w:tcPr>
            <w:tcW w:w="1229" w:type="pct"/>
            <w:shd w:val="clear" w:color="auto" w:fill="auto"/>
            <w:vAlign w:val="center"/>
          </w:tcPr>
          <w:p w:rsidR="00DA2484" w:rsidRPr="004E6412" w:rsidRDefault="00DA2484" w:rsidP="0097195F">
            <w:pPr>
              <w:jc w:val="left"/>
              <w:rPr>
                <w:sz w:val="22"/>
              </w:rPr>
            </w:pPr>
            <w:r w:rsidRPr="004E6412">
              <w:rPr>
                <w:sz w:val="22"/>
              </w:rPr>
              <w:t>24.7</w:t>
            </w:r>
          </w:p>
        </w:tc>
      </w:tr>
    </w:tbl>
    <w:p w:rsidR="00DA2484" w:rsidRPr="004E6412" w:rsidRDefault="00FB4C9C" w:rsidP="00DA2484">
      <w:pPr>
        <w:rPr>
          <w:sz w:val="22"/>
        </w:rPr>
      </w:pPr>
      <w:r w:rsidRPr="004E6412">
        <w:rPr>
          <w:sz w:val="22"/>
        </w:rPr>
        <w:t>Izvor: Pro</w:t>
      </w:r>
      <w:r w:rsidR="009418AD" w:rsidRPr="004E6412">
        <w:rPr>
          <w:sz w:val="22"/>
        </w:rPr>
        <w:t>cjene autorice Sanje Crnković-</w:t>
      </w:r>
      <w:r w:rsidRPr="004E6412">
        <w:rPr>
          <w:sz w:val="22"/>
        </w:rPr>
        <w:t>Pozaić</w:t>
      </w:r>
      <w:r w:rsidR="00DA2484" w:rsidRPr="004E6412">
        <w:rPr>
          <w:sz w:val="22"/>
        </w:rPr>
        <w:t xml:space="preserve"> na temelju analize zanimanja u 13 sektora u 2010. godini.</w:t>
      </w:r>
    </w:p>
    <w:p w:rsidR="0001570A" w:rsidRPr="004E6412" w:rsidRDefault="0001570A" w:rsidP="00DA2484">
      <w:pPr>
        <w:rPr>
          <w:sz w:val="22"/>
        </w:rPr>
      </w:pPr>
    </w:p>
    <w:p w:rsidR="009D203A" w:rsidRPr="004E6412" w:rsidRDefault="00DA2484" w:rsidP="00B15A78">
      <w:pPr>
        <w:numPr>
          <w:ilvl w:val="0"/>
          <w:numId w:val="196"/>
        </w:numPr>
        <w:rPr>
          <w:sz w:val="22"/>
        </w:rPr>
      </w:pPr>
      <w:r w:rsidRPr="004E6412">
        <w:rPr>
          <w:sz w:val="22"/>
        </w:rPr>
        <w:t>Neke skupine djelatnosti poput Tekstila i kože, Poljoprivrede, Graditeljstva, Geologije, nafte i kemije, te Ekonomije, trgovine i administracije neće moći zamijeniti starije</w:t>
      </w:r>
      <w:r w:rsidR="009D203A" w:rsidRPr="004E6412">
        <w:rPr>
          <w:sz w:val="22"/>
        </w:rPr>
        <w:t xml:space="preserve"> radnike mladima. Kada se uključi</w:t>
      </w:r>
      <w:r w:rsidRPr="004E6412">
        <w:rPr>
          <w:sz w:val="22"/>
        </w:rPr>
        <w:t xml:space="preserve"> nezaposlene, situacija se poboljšava tako da</w:t>
      </w:r>
      <w:r w:rsidR="009418AD" w:rsidRPr="004E6412">
        <w:rPr>
          <w:sz w:val="22"/>
        </w:rPr>
        <w:t xml:space="preserve"> naizgled</w:t>
      </w:r>
      <w:r w:rsidR="009D203A" w:rsidRPr="004E6412">
        <w:rPr>
          <w:sz w:val="22"/>
        </w:rPr>
        <w:t xml:space="preserve"> imamo</w:t>
      </w:r>
      <w:r w:rsidRPr="004E6412">
        <w:rPr>
          <w:sz w:val="22"/>
        </w:rPr>
        <w:t xml:space="preserve"> dovoljan broj n</w:t>
      </w:r>
      <w:r w:rsidR="009418AD" w:rsidRPr="004E6412">
        <w:rPr>
          <w:sz w:val="22"/>
        </w:rPr>
        <w:t>ezaposlenih kako bi se odvila neophodna zamjena i zadovoljile</w:t>
      </w:r>
      <w:r w:rsidRPr="004E6412">
        <w:rPr>
          <w:sz w:val="22"/>
        </w:rPr>
        <w:t xml:space="preserve"> razvojne potrebe. Međutim, dobna i kvalifikacijska struktura nezaposleni</w:t>
      </w:r>
      <w:r w:rsidR="009418AD" w:rsidRPr="004E6412">
        <w:rPr>
          <w:sz w:val="22"/>
        </w:rPr>
        <w:t>h osoba znatno je lošija od strukture među zaposlenima i bit</w:t>
      </w:r>
      <w:r w:rsidRPr="004E6412">
        <w:rPr>
          <w:sz w:val="22"/>
        </w:rPr>
        <w:t xml:space="preserve"> će relativno teško uskladiti strukturu potrebnih znanja i vje</w:t>
      </w:r>
      <w:r w:rsidR="009D203A" w:rsidRPr="004E6412">
        <w:rPr>
          <w:sz w:val="22"/>
        </w:rPr>
        <w:t>ština sa strukturom</w:t>
      </w:r>
      <w:r w:rsidRPr="004E6412">
        <w:rPr>
          <w:sz w:val="22"/>
        </w:rPr>
        <w:t xml:space="preserve"> zn</w:t>
      </w:r>
      <w:r w:rsidR="009418AD" w:rsidRPr="004E6412">
        <w:rPr>
          <w:sz w:val="22"/>
        </w:rPr>
        <w:t>anja nezaposlenih osoba među kojima</w:t>
      </w:r>
      <w:r w:rsidRPr="004E6412">
        <w:rPr>
          <w:sz w:val="22"/>
        </w:rPr>
        <w:t xml:space="preserve"> više od 50% traži posao dulje od godinu dana.</w:t>
      </w:r>
      <w:r w:rsidR="009D203A" w:rsidRPr="004E6412">
        <w:rPr>
          <w:sz w:val="22"/>
        </w:rPr>
        <w:t xml:space="preserve"> </w:t>
      </w:r>
    </w:p>
    <w:p w:rsidR="009D203A" w:rsidRPr="004E6412" w:rsidRDefault="009D203A" w:rsidP="00DA2484">
      <w:pPr>
        <w:rPr>
          <w:sz w:val="22"/>
        </w:rPr>
      </w:pPr>
    </w:p>
    <w:p w:rsidR="00DA2484" w:rsidRPr="004E6412" w:rsidRDefault="002311DC" w:rsidP="00B15A78">
      <w:pPr>
        <w:numPr>
          <w:ilvl w:val="0"/>
          <w:numId w:val="197"/>
        </w:numPr>
        <w:rPr>
          <w:sz w:val="22"/>
        </w:rPr>
      </w:pPr>
      <w:r w:rsidRPr="004E6412">
        <w:rPr>
          <w:sz w:val="22"/>
        </w:rPr>
        <w:t xml:space="preserve">Promatrani problem zamjene </w:t>
      </w:r>
      <w:r w:rsidR="009D203A" w:rsidRPr="004E6412">
        <w:rPr>
          <w:sz w:val="22"/>
        </w:rPr>
        <w:t>posebno dolazi do izražaja</w:t>
      </w:r>
      <w:r w:rsidRPr="004E6412">
        <w:rPr>
          <w:sz w:val="22"/>
        </w:rPr>
        <w:t xml:space="preserve"> kod inženjera,</w:t>
      </w:r>
      <w:r w:rsidR="00DA2484" w:rsidRPr="004E6412">
        <w:rPr>
          <w:sz w:val="22"/>
        </w:rPr>
        <w:t xml:space="preserve"> gotovo svih vrsta</w:t>
      </w:r>
      <w:r w:rsidRPr="004E6412">
        <w:rPr>
          <w:sz w:val="22"/>
        </w:rPr>
        <w:t>,</w:t>
      </w:r>
      <w:r w:rsidR="00DA2484" w:rsidRPr="004E6412">
        <w:rPr>
          <w:sz w:val="22"/>
        </w:rPr>
        <w:t xml:space="preserve"> kojih među nezaposlenima nema u većem broju</w:t>
      </w:r>
      <w:r w:rsidR="009418AD" w:rsidRPr="004E6412">
        <w:rPr>
          <w:sz w:val="22"/>
        </w:rPr>
        <w:t>. Stoga je</w:t>
      </w:r>
      <w:r w:rsidRPr="004E6412">
        <w:rPr>
          <w:sz w:val="22"/>
        </w:rPr>
        <w:t xml:space="preserve"> </w:t>
      </w:r>
      <w:r w:rsidR="00DA2484" w:rsidRPr="004E6412">
        <w:rPr>
          <w:sz w:val="22"/>
        </w:rPr>
        <w:t xml:space="preserve">potrebno pojačati dostupnost pojedinih kvalifikacija kako bi se ispravile nejednakosti ponude i potražnje. </w:t>
      </w:r>
    </w:p>
    <w:p w:rsidR="008031EC" w:rsidRPr="004E6412" w:rsidRDefault="008031EC" w:rsidP="00DA2484">
      <w:pPr>
        <w:rPr>
          <w:b/>
          <w:bCs/>
          <w:sz w:val="22"/>
        </w:rPr>
      </w:pPr>
    </w:p>
    <w:p w:rsidR="002311DC" w:rsidRPr="004E6412" w:rsidRDefault="002311DC" w:rsidP="00DA2484">
      <w:pPr>
        <w:rPr>
          <w:b/>
          <w:bCs/>
          <w:sz w:val="22"/>
        </w:rPr>
      </w:pPr>
    </w:p>
    <w:p w:rsidR="002311DC" w:rsidRPr="004E6412" w:rsidRDefault="00DA2484" w:rsidP="002311DC">
      <w:pPr>
        <w:pStyle w:val="Heading4"/>
      </w:pPr>
      <w:r w:rsidRPr="004E6412">
        <w:t>Ponuda rada i strukturne neusklađenosti</w:t>
      </w:r>
    </w:p>
    <w:p w:rsidR="00DA2484" w:rsidRPr="004E6412" w:rsidRDefault="00DA2484" w:rsidP="00B15A78">
      <w:pPr>
        <w:numPr>
          <w:ilvl w:val="0"/>
          <w:numId w:val="198"/>
        </w:numPr>
        <w:rPr>
          <w:sz w:val="22"/>
        </w:rPr>
      </w:pPr>
      <w:r w:rsidRPr="004E6412">
        <w:rPr>
          <w:sz w:val="22"/>
        </w:rPr>
        <w:t>Ukupna ponuda rada uključuje nezaposlene osobe i tražitelje zaposlenja koji mogu biti trenutno zaposleni</w:t>
      </w:r>
      <w:r w:rsidR="009418AD" w:rsidRPr="004E6412">
        <w:rPr>
          <w:sz w:val="22"/>
        </w:rPr>
        <w:t>,</w:t>
      </w:r>
      <w:r w:rsidRPr="004E6412">
        <w:rPr>
          <w:sz w:val="22"/>
        </w:rPr>
        <w:t xml:space="preserve"> ali bi bili voljni promijeniti posao kada</w:t>
      </w:r>
      <w:r w:rsidR="009418AD" w:rsidRPr="004E6412">
        <w:rPr>
          <w:sz w:val="22"/>
        </w:rPr>
        <w:t xml:space="preserve"> bi im se pružila prilika. P</w:t>
      </w:r>
      <w:r w:rsidRPr="004E6412">
        <w:rPr>
          <w:sz w:val="22"/>
        </w:rPr>
        <w:t>otonje je vrlo teško ocijeniti</w:t>
      </w:r>
      <w:r w:rsidR="009418AD" w:rsidRPr="004E6412">
        <w:rPr>
          <w:sz w:val="22"/>
        </w:rPr>
        <w:t>. Međutim, 2008. godine</w:t>
      </w:r>
      <w:r w:rsidRPr="004E6412">
        <w:rPr>
          <w:sz w:val="22"/>
        </w:rPr>
        <w:t xml:space="preserve"> u Anketi </w:t>
      </w:r>
      <w:r w:rsidR="009418AD" w:rsidRPr="004E6412">
        <w:rPr>
          <w:sz w:val="22"/>
        </w:rPr>
        <w:t xml:space="preserve">o radnoj snazi na pitanje </w:t>
      </w:r>
      <w:r w:rsidRPr="004E6412">
        <w:rPr>
          <w:sz w:val="22"/>
        </w:rPr>
        <w:t xml:space="preserve">žele </w:t>
      </w:r>
      <w:r w:rsidR="009418AD" w:rsidRPr="004E6412">
        <w:rPr>
          <w:sz w:val="22"/>
        </w:rPr>
        <w:t xml:space="preserve">li </w:t>
      </w:r>
      <w:r w:rsidRPr="004E6412">
        <w:rPr>
          <w:sz w:val="22"/>
        </w:rPr>
        <w:t xml:space="preserve">promijeniti posao potvrdno </w:t>
      </w:r>
      <w:r w:rsidR="00DD5FA5" w:rsidRPr="004E6412">
        <w:rPr>
          <w:sz w:val="22"/>
        </w:rPr>
        <w:t xml:space="preserve">je </w:t>
      </w:r>
      <w:r w:rsidRPr="004E6412">
        <w:rPr>
          <w:sz w:val="22"/>
        </w:rPr>
        <w:t xml:space="preserve">odgovorilo 240 tisuća zaposlenih. </w:t>
      </w:r>
      <w:r w:rsidR="00DD5FA5" w:rsidRPr="004E6412">
        <w:rPr>
          <w:sz w:val="22"/>
        </w:rPr>
        <w:t>Kao g</w:t>
      </w:r>
      <w:r w:rsidRPr="004E6412">
        <w:rPr>
          <w:sz w:val="22"/>
        </w:rPr>
        <w:t xml:space="preserve">lavne razloge zašto žele promijeniti </w:t>
      </w:r>
      <w:r w:rsidR="00DD5FA5" w:rsidRPr="004E6412">
        <w:rPr>
          <w:sz w:val="22"/>
        </w:rPr>
        <w:t>posao istaknuli su želju za boljom plaćom i uvjetima rada kao i želju</w:t>
      </w:r>
      <w:r w:rsidRPr="004E6412">
        <w:rPr>
          <w:sz w:val="22"/>
        </w:rPr>
        <w:t xml:space="preserve"> da se njihove kvalifikacije bolje iskoriste.</w:t>
      </w:r>
    </w:p>
    <w:p w:rsidR="002311DC" w:rsidRPr="004E6412" w:rsidRDefault="002311DC" w:rsidP="00DA2484">
      <w:pPr>
        <w:rPr>
          <w:sz w:val="22"/>
        </w:rPr>
      </w:pPr>
    </w:p>
    <w:p w:rsidR="00DA2484" w:rsidRPr="004E6412" w:rsidRDefault="00DA2484" w:rsidP="00B15A78">
      <w:pPr>
        <w:numPr>
          <w:ilvl w:val="0"/>
          <w:numId w:val="199"/>
        </w:numPr>
        <w:rPr>
          <w:sz w:val="22"/>
        </w:rPr>
      </w:pPr>
      <w:r w:rsidRPr="004E6412">
        <w:rPr>
          <w:sz w:val="22"/>
        </w:rPr>
        <w:t>Broj nezaposlenih goto</w:t>
      </w:r>
      <w:r w:rsidR="0091722F" w:rsidRPr="004E6412">
        <w:rPr>
          <w:sz w:val="22"/>
        </w:rPr>
        <w:t>vo je trajno veći od potražnje. Stoga se poslodavci ponašaju kao da su</w:t>
      </w:r>
      <w:r w:rsidRPr="004E6412">
        <w:rPr>
          <w:sz w:val="22"/>
        </w:rPr>
        <w:t xml:space="preserve"> </w:t>
      </w:r>
      <w:r w:rsidR="0091722F" w:rsidRPr="004E6412">
        <w:rPr>
          <w:sz w:val="22"/>
        </w:rPr>
        <w:t>kadrovi uvijek dostupni,</w:t>
      </w:r>
      <w:r w:rsidRPr="004E6412">
        <w:rPr>
          <w:sz w:val="22"/>
        </w:rPr>
        <w:t xml:space="preserve"> što se odražava i u vrlo niskoj razini ulaganja u obrazovanje zaposlenika. Ipak, </w:t>
      </w:r>
      <w:r w:rsidR="0091722F" w:rsidRPr="004E6412">
        <w:rPr>
          <w:sz w:val="22"/>
        </w:rPr>
        <w:t xml:space="preserve">postojanje </w:t>
      </w:r>
      <w:r w:rsidRPr="004E6412">
        <w:rPr>
          <w:sz w:val="22"/>
        </w:rPr>
        <w:t xml:space="preserve">strukturne neusklađenosti </w:t>
      </w:r>
      <w:r w:rsidR="00DD5FA5" w:rsidRPr="004E6412">
        <w:rPr>
          <w:sz w:val="22"/>
        </w:rPr>
        <w:t>potvrđeno je</w:t>
      </w:r>
      <w:r w:rsidRPr="004E6412">
        <w:rPr>
          <w:sz w:val="22"/>
        </w:rPr>
        <w:t xml:space="preserve"> kroz Anketu poslodavaca koju provodi Hrvatski zavod za zapošljavanje</w:t>
      </w:r>
      <w:r w:rsidR="0091722F" w:rsidRPr="004E6412">
        <w:rPr>
          <w:sz w:val="22"/>
        </w:rPr>
        <w:t>, a čiji rezultati ukazuju</w:t>
      </w:r>
      <w:r w:rsidRPr="004E6412">
        <w:rPr>
          <w:sz w:val="22"/>
        </w:rPr>
        <w:t xml:space="preserve"> na nedostatak određenih kadrova, </w:t>
      </w:r>
      <w:r w:rsidR="0091722F" w:rsidRPr="004E6412">
        <w:rPr>
          <w:sz w:val="22"/>
        </w:rPr>
        <w:t>postojanje deficitar</w:t>
      </w:r>
      <w:r w:rsidR="00DD5FA5" w:rsidRPr="004E6412">
        <w:rPr>
          <w:sz w:val="22"/>
        </w:rPr>
        <w:t>nih zanimanja te ne</w:t>
      </w:r>
      <w:r w:rsidR="0091722F" w:rsidRPr="004E6412">
        <w:rPr>
          <w:sz w:val="22"/>
        </w:rPr>
        <w:t>postojanje određene</w:t>
      </w:r>
      <w:r w:rsidR="00DD5FA5" w:rsidRPr="004E6412">
        <w:rPr>
          <w:sz w:val="22"/>
        </w:rPr>
        <w:t xml:space="preserve"> skupine sposobnosti kod onih koji se javljaju za obavljanje poslova</w:t>
      </w:r>
      <w:r w:rsidRPr="004E6412">
        <w:rPr>
          <w:sz w:val="22"/>
        </w:rPr>
        <w:t xml:space="preserve">. </w:t>
      </w:r>
    </w:p>
    <w:p w:rsidR="002311DC" w:rsidRPr="004E6412" w:rsidRDefault="002311DC" w:rsidP="00DA2484">
      <w:pPr>
        <w:rPr>
          <w:sz w:val="22"/>
        </w:rPr>
      </w:pPr>
    </w:p>
    <w:p w:rsidR="002311DC" w:rsidRPr="004E6412" w:rsidRDefault="002311DC" w:rsidP="00DA2484">
      <w:pPr>
        <w:rPr>
          <w:sz w:val="22"/>
        </w:rPr>
      </w:pPr>
    </w:p>
    <w:p w:rsidR="00DA2484" w:rsidRPr="004E6412" w:rsidRDefault="00DA2484" w:rsidP="00B15A78">
      <w:pPr>
        <w:numPr>
          <w:ilvl w:val="0"/>
          <w:numId w:val="200"/>
        </w:numPr>
        <w:rPr>
          <w:sz w:val="22"/>
        </w:rPr>
      </w:pPr>
      <w:r w:rsidRPr="004E6412">
        <w:rPr>
          <w:sz w:val="22"/>
        </w:rPr>
        <w:t>Može se očekivati da će rast potražnje u gotovo svim sektorima zahtijevati značajan napor da se nezaposleni aktiviraju, dodatno osposobe i aktivno traže posao.</w:t>
      </w:r>
      <w:r w:rsidR="004F6000" w:rsidRPr="004E6412">
        <w:rPr>
          <w:sz w:val="22"/>
        </w:rPr>
        <w:t xml:space="preserve"> </w:t>
      </w:r>
      <w:r w:rsidRPr="004E6412">
        <w:rPr>
          <w:sz w:val="22"/>
        </w:rPr>
        <w:t>Obrazovni sustav, posebno u dijelu strukovnih programa ne prati potreb</w:t>
      </w:r>
      <w:r w:rsidR="00DD5FA5" w:rsidRPr="004E6412">
        <w:rPr>
          <w:sz w:val="22"/>
        </w:rPr>
        <w:t>e tržišta rada dovoljno učinkovito,</w:t>
      </w:r>
      <w:r w:rsidRPr="004E6412">
        <w:rPr>
          <w:sz w:val="22"/>
        </w:rPr>
        <w:t xml:space="preserve"> što dovodi do neusklađenosti, posebno kod praktičnih znanja i vještina. To najviše pogađa mlade koji imaju teškoća </w:t>
      </w:r>
      <w:r w:rsidR="004F6000" w:rsidRPr="004E6412">
        <w:rPr>
          <w:sz w:val="22"/>
        </w:rPr>
        <w:t>s uključivanjem</w:t>
      </w:r>
      <w:r w:rsidRPr="004E6412">
        <w:rPr>
          <w:sz w:val="22"/>
        </w:rPr>
        <w:t xml:space="preserve"> na tržište rada. Sustav obrazovanja odraslih</w:t>
      </w:r>
      <w:r w:rsidR="00DD5FA5" w:rsidRPr="004E6412">
        <w:rPr>
          <w:sz w:val="22"/>
        </w:rPr>
        <w:t>,</w:t>
      </w:r>
      <w:r w:rsidRPr="004E6412">
        <w:rPr>
          <w:sz w:val="22"/>
        </w:rPr>
        <w:t xml:space="preserve"> koji bi trebao biti najbrži u procjeni potreba gospodarstva i prilagodbi svoje ponude</w:t>
      </w:r>
      <w:r w:rsidR="00DD5FA5" w:rsidRPr="004E6412">
        <w:rPr>
          <w:sz w:val="22"/>
        </w:rPr>
        <w:t>,</w:t>
      </w:r>
      <w:r w:rsidRPr="004E6412">
        <w:rPr>
          <w:sz w:val="22"/>
        </w:rPr>
        <w:t xml:space="preserve"> nema dovoljno fina</w:t>
      </w:r>
      <w:r w:rsidR="00DD5FA5" w:rsidRPr="004E6412">
        <w:rPr>
          <w:sz w:val="22"/>
        </w:rPr>
        <w:t>ncijske potpore niti se zadovoljavaju</w:t>
      </w:r>
      <w:r w:rsidRPr="004E6412">
        <w:rPr>
          <w:sz w:val="22"/>
        </w:rPr>
        <w:t xml:space="preserve"> standardi kvalitete. </w:t>
      </w:r>
    </w:p>
    <w:p w:rsidR="008031EC" w:rsidRPr="004E6412" w:rsidRDefault="008031EC" w:rsidP="00DA2484">
      <w:pPr>
        <w:rPr>
          <w:b/>
          <w:bCs/>
          <w:sz w:val="22"/>
        </w:rPr>
      </w:pPr>
    </w:p>
    <w:p w:rsidR="004F6000" w:rsidRPr="004E6412" w:rsidRDefault="00DA2484" w:rsidP="00B15A78">
      <w:pPr>
        <w:numPr>
          <w:ilvl w:val="0"/>
          <w:numId w:val="201"/>
        </w:numPr>
        <w:rPr>
          <w:sz w:val="22"/>
        </w:rPr>
      </w:pPr>
      <w:r w:rsidRPr="004E6412">
        <w:rPr>
          <w:sz w:val="22"/>
        </w:rPr>
        <w:lastRenderedPageBreak/>
        <w:t>Glavne karakteristike tržišta rada u Hrvatskoj su: pad broja radno</w:t>
      </w:r>
      <w:r w:rsidR="00DD5FA5" w:rsidRPr="004E6412">
        <w:rPr>
          <w:sz w:val="22"/>
        </w:rPr>
        <w:t xml:space="preserve"> </w:t>
      </w:r>
      <w:r w:rsidRPr="004E6412">
        <w:rPr>
          <w:sz w:val="22"/>
        </w:rPr>
        <w:t>sposobnog stanov</w:t>
      </w:r>
      <w:r w:rsidR="004F6000" w:rsidRPr="004E6412">
        <w:rPr>
          <w:sz w:val="22"/>
        </w:rPr>
        <w:t>ništva zbog demografskih čimbenika</w:t>
      </w:r>
      <w:r w:rsidRPr="004E6412">
        <w:rPr>
          <w:sz w:val="22"/>
        </w:rPr>
        <w:t xml:space="preserve">, </w:t>
      </w:r>
      <w:r w:rsidR="004F6000" w:rsidRPr="004E6412">
        <w:rPr>
          <w:sz w:val="22"/>
        </w:rPr>
        <w:t>slabo korištenje</w:t>
      </w:r>
      <w:r w:rsidRPr="004E6412">
        <w:rPr>
          <w:sz w:val="22"/>
        </w:rPr>
        <w:t xml:space="preserve"> ljudskih potencijala što se očituje u niskim stopama aktivnosti, značajno veća ponuda rada od potražnje i sve veće neusklađenosti strukture ponude i strukture potražnje kada se radi o dostupnosti određenih struka</w:t>
      </w:r>
      <w:r w:rsidR="00DD5FA5" w:rsidRPr="004E6412">
        <w:rPr>
          <w:sz w:val="22"/>
        </w:rPr>
        <w:t>,</w:t>
      </w:r>
      <w:r w:rsidRPr="004E6412">
        <w:rPr>
          <w:sz w:val="22"/>
        </w:rPr>
        <w:t xml:space="preserve"> ali i na razini kompetencija. G</w:t>
      </w:r>
      <w:r w:rsidR="00DD5FA5" w:rsidRPr="004E6412">
        <w:rPr>
          <w:sz w:val="22"/>
        </w:rPr>
        <w:t>rupiranje najsposobnijih visoko</w:t>
      </w:r>
      <w:r w:rsidRPr="004E6412">
        <w:rPr>
          <w:sz w:val="22"/>
        </w:rPr>
        <w:t>obrazovanih kadrova u području usluga mog</w:t>
      </w:r>
      <w:r w:rsidR="004F6000" w:rsidRPr="004E6412">
        <w:rPr>
          <w:sz w:val="22"/>
        </w:rPr>
        <w:t>ao bi biti ograničavajući čimbenik</w:t>
      </w:r>
      <w:r w:rsidRPr="004E6412">
        <w:rPr>
          <w:sz w:val="22"/>
        </w:rPr>
        <w:t xml:space="preserve"> za reindustrijalizaciju na temelju novih materijala i tehnologija u uvjetima pojačane konkurencije. </w:t>
      </w:r>
    </w:p>
    <w:p w:rsidR="004F6000" w:rsidRPr="004E6412" w:rsidRDefault="004F6000" w:rsidP="00DA2484">
      <w:pPr>
        <w:rPr>
          <w:sz w:val="22"/>
        </w:rPr>
      </w:pPr>
    </w:p>
    <w:p w:rsidR="00DA2484" w:rsidRPr="004E6412" w:rsidRDefault="00DA2484" w:rsidP="00B15A78">
      <w:pPr>
        <w:numPr>
          <w:ilvl w:val="0"/>
          <w:numId w:val="201"/>
        </w:numPr>
        <w:rPr>
          <w:sz w:val="22"/>
        </w:rPr>
      </w:pPr>
      <w:r w:rsidRPr="004E6412">
        <w:rPr>
          <w:sz w:val="22"/>
        </w:rPr>
        <w:t>Samo planiranje potrebnih resursa korištenjem stimulacija za odabir traženih zanimanja, određivanje upisnih kvota i prilagođavanje obrazovnih programa potrebama</w:t>
      </w:r>
      <w:r w:rsidR="00DD5FA5" w:rsidRPr="004E6412">
        <w:rPr>
          <w:sz w:val="22"/>
        </w:rPr>
        <w:t>,</w:t>
      </w:r>
      <w:r w:rsidRPr="004E6412">
        <w:rPr>
          <w:sz w:val="22"/>
        </w:rPr>
        <w:t xml:space="preserve"> uz dostatnu financijsku potporu</w:t>
      </w:r>
      <w:r w:rsidR="00DD5FA5" w:rsidRPr="004E6412">
        <w:rPr>
          <w:sz w:val="22"/>
        </w:rPr>
        <w:t>,</w:t>
      </w:r>
      <w:r w:rsidRPr="004E6412">
        <w:rPr>
          <w:sz w:val="22"/>
        </w:rPr>
        <w:t xml:space="preserve"> može dovesti do poboljšanja strukure znanja i vještina koje su potrebne za razvoj.</w:t>
      </w:r>
    </w:p>
    <w:p w:rsidR="00DA2484" w:rsidRPr="004E6412" w:rsidRDefault="00DA2484" w:rsidP="00DA2484">
      <w:pPr>
        <w:rPr>
          <w:sz w:val="22"/>
        </w:rPr>
      </w:pPr>
    </w:p>
    <w:p w:rsidR="00DA2484" w:rsidRPr="004E6412" w:rsidRDefault="00DA2484" w:rsidP="00DA2484">
      <w:pPr>
        <w:rPr>
          <w:sz w:val="22"/>
        </w:rPr>
      </w:pPr>
    </w:p>
    <w:p w:rsidR="008D398C" w:rsidRPr="004E6412" w:rsidRDefault="008D398C" w:rsidP="00D0360D">
      <w:pPr>
        <w:rPr>
          <w:sz w:val="22"/>
        </w:rPr>
      </w:pPr>
    </w:p>
    <w:p w:rsidR="00D0360D" w:rsidRPr="004E6412" w:rsidRDefault="00D0360D" w:rsidP="00D0360D">
      <w:pPr>
        <w:pStyle w:val="Heading4"/>
      </w:pPr>
      <w:bookmarkStart w:id="118" w:name="_Toc372308894"/>
      <w:bookmarkStart w:id="119" w:name="_Toc372554005"/>
      <w:r w:rsidRPr="004E6412">
        <w:t>Struktura zaposlenih</w:t>
      </w:r>
      <w:bookmarkEnd w:id="118"/>
      <w:bookmarkEnd w:id="119"/>
    </w:p>
    <w:p w:rsidR="00D0360D" w:rsidRPr="004E6412" w:rsidRDefault="00D0360D" w:rsidP="00FA5F29">
      <w:pPr>
        <w:numPr>
          <w:ilvl w:val="0"/>
          <w:numId w:val="73"/>
        </w:numPr>
        <w:contextualSpacing/>
        <w:rPr>
          <w:sz w:val="22"/>
        </w:rPr>
      </w:pPr>
      <w:r w:rsidRPr="004E6412">
        <w:rPr>
          <w:sz w:val="22"/>
        </w:rPr>
        <w:t>Promatrajući strukturu svih zaposlenih osoba po industrijskim granama u 2012. godini, neovisno o tome jesu li zaposleni u pravnim osobama ili obrtu, najveći broj zaposlenih osoba bio je u prerađivačkoj industriji (240.483, 17,61%). Slijedi trgovina na veliko i malo te popravak motornih vozila i motocikala (216.112, 15,83%), dok ostale industrijske grane zapošljavaju manje od 10% zaposlenih osoba.</w:t>
      </w:r>
    </w:p>
    <w:p w:rsidR="00E01814" w:rsidRPr="004E6412" w:rsidRDefault="00E01814" w:rsidP="00D0360D"/>
    <w:p w:rsidR="00D0360D" w:rsidRPr="004E6412" w:rsidRDefault="00D0360D" w:rsidP="007D0CFD">
      <w:pPr>
        <w:pStyle w:val="Heading5"/>
        <w:rPr>
          <w:rStyle w:val="Heading5Char"/>
          <w:rFonts w:eastAsia="Calibri"/>
        </w:rPr>
      </w:pPr>
      <w:bookmarkStart w:id="120" w:name="_Toc372736936"/>
      <w:bookmarkStart w:id="121" w:name="_Toc372737599"/>
      <w:bookmarkStart w:id="122" w:name="_Toc377551031"/>
      <w:bookmarkStart w:id="123" w:name="_Toc377635220"/>
      <w:r w:rsidRPr="004E6412">
        <w:t xml:space="preserve">Tablica </w:t>
      </w:r>
      <w:r w:rsidR="00122D9F" w:rsidRPr="004E6412">
        <w:t>1</w:t>
      </w:r>
      <w:r w:rsidR="00035C7B" w:rsidRPr="004E6412">
        <w:t>9</w:t>
      </w:r>
      <w:r w:rsidRPr="004E6412">
        <w:t>. Zaposleni u pravnim osobama, obrtima i slobod</w:t>
      </w:r>
      <w:r w:rsidR="00DD5FA5" w:rsidRPr="004E6412">
        <w:t>nim zanimanjima</w:t>
      </w:r>
      <w:r w:rsidRPr="004E6412">
        <w:t>, prema NKD-u 2007., godišnji prosjek za 2012. (administrativni izvor)</w:t>
      </w:r>
      <w:bookmarkEnd w:id="120"/>
      <w:bookmarkEnd w:id="121"/>
      <w:bookmarkEnd w:id="122"/>
      <w:bookmarkEnd w:id="123"/>
    </w:p>
    <w:tbl>
      <w:tblPr>
        <w:tblW w:w="5000" w:type="pct"/>
        <w:tblCellMar>
          <w:top w:w="28" w:type="dxa"/>
          <w:left w:w="85" w:type="dxa"/>
          <w:bottom w:w="28" w:type="dxa"/>
          <w:right w:w="85" w:type="dxa"/>
        </w:tblCellMar>
        <w:tblLook w:val="04A0" w:firstRow="1" w:lastRow="0" w:firstColumn="1" w:lastColumn="0" w:noHBand="0" w:noVBand="1"/>
      </w:tblPr>
      <w:tblGrid>
        <w:gridCol w:w="322"/>
        <w:gridCol w:w="2666"/>
        <w:gridCol w:w="829"/>
        <w:gridCol w:w="795"/>
        <w:gridCol w:w="1029"/>
        <w:gridCol w:w="832"/>
        <w:gridCol w:w="1022"/>
        <w:gridCol w:w="730"/>
        <w:gridCol w:w="1015"/>
      </w:tblGrid>
      <w:tr w:rsidR="00D0360D" w:rsidRPr="004E6412" w:rsidTr="00EA6293">
        <w:trPr>
          <w:trHeight w:val="570"/>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432A17" w:rsidRPr="004E6412" w:rsidRDefault="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1436" w:type="pct"/>
            <w:gridSpan w:val="3"/>
            <w:tcBorders>
              <w:top w:val="single" w:sz="4" w:space="0" w:color="auto"/>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1003"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PRAVNE OSOBE</w:t>
            </w:r>
          </w:p>
        </w:tc>
        <w:tc>
          <w:tcPr>
            <w:tcW w:w="944"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D5FA5"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OBRT I SLOBODNA ZANIMANJA</w:t>
            </w:r>
          </w:p>
        </w:tc>
      </w:tr>
      <w:tr w:rsidR="00D0360D" w:rsidRPr="004E6412" w:rsidTr="00EA6293">
        <w:trPr>
          <w:trHeight w:val="43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b/>
                <w:bCs/>
                <w:color w:val="000000"/>
                <w:sz w:val="16"/>
                <w:szCs w:val="16"/>
                <w:lang w:eastAsia="hr-HR"/>
              </w:rPr>
            </w:pPr>
          </w:p>
        </w:tc>
        <w:tc>
          <w:tcPr>
            <w:tcW w:w="4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43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557"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45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53"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395"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r>
      <w:tr w:rsidR="00D0360D" w:rsidRPr="004E6412" w:rsidTr="00EA6293">
        <w:trPr>
          <w:trHeight w:val="225"/>
        </w:trPr>
        <w:tc>
          <w:tcPr>
            <w:tcW w:w="17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443" w:type="pct"/>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34.500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25.391</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D5FA5"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5.818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5.576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240.483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207.298</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33.185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96,20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22.724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102.211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93,10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78.579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 NA MALO; POPRAVAK MOTORNIH VOZILA I MOTOCIKALA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216.112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185.277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30.835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62.575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13.372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DD5FA5"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84.553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49.542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35.011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99,20</w:t>
            </w:r>
          </w:p>
        </w:tc>
      </w:tr>
      <w:tr w:rsidR="00D0360D" w:rsidRPr="004E6412" w:rsidTr="00EA6293">
        <w:trPr>
          <w:trHeight w:val="253"/>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34.104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32.789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97,30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38.208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37.187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6.509</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0,48%</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5.965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544</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68.387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16.060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lastRenderedPageBreak/>
              <w:t>N</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40.568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2,97%</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3.739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116.147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106.355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108.314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107.882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96.841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84.636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12.205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23.712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20.896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2.816</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14.143</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11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POSLODAVACA; DJELATNOSTI KUĆANSTAVA KOJE PROIZVODE RAZLIČITU ROBU I PRUŽAJU RAZLIČITE USLUGE ZA VLASTITE POTREBE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0,32%</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98,80</w:t>
            </w:r>
          </w:p>
        </w:tc>
      </w:tr>
      <w:tr w:rsidR="00D0360D" w:rsidRPr="004E6412" w:rsidTr="00EA6293">
        <w:trPr>
          <w:trHeight w:val="648"/>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86,40</w:t>
            </w:r>
          </w:p>
        </w:tc>
      </w:tr>
      <w:tr w:rsidR="00D0360D" w:rsidRPr="004E6412" w:rsidTr="00EA6293">
        <w:trPr>
          <w:trHeight w:val="22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4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1.365.483</w:t>
            </w:r>
          </w:p>
        </w:tc>
        <w:tc>
          <w:tcPr>
            <w:tcW w:w="430"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57" w:type="pct"/>
            <w:tcBorders>
              <w:top w:val="nil"/>
              <w:left w:val="nil"/>
              <w:bottom w:val="single" w:sz="4" w:space="0" w:color="auto"/>
              <w:right w:val="nil"/>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98,90</w:t>
            </w:r>
          </w:p>
        </w:tc>
        <w:tc>
          <w:tcPr>
            <w:tcW w:w="45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1.153.497</w:t>
            </w:r>
          </w:p>
        </w:tc>
        <w:tc>
          <w:tcPr>
            <w:tcW w:w="553"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99,50</w:t>
            </w:r>
          </w:p>
        </w:tc>
        <w:tc>
          <w:tcPr>
            <w:tcW w:w="395"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211.986</w:t>
            </w:r>
          </w:p>
        </w:tc>
        <w:tc>
          <w:tcPr>
            <w:tcW w:w="5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96,50</w:t>
            </w:r>
          </w:p>
        </w:tc>
      </w:tr>
    </w:tbl>
    <w:p w:rsidR="00D0360D" w:rsidRPr="004E6412" w:rsidRDefault="00D0360D" w:rsidP="00D0360D">
      <w:pPr>
        <w:rPr>
          <w:sz w:val="20"/>
          <w:szCs w:val="20"/>
        </w:rPr>
      </w:pPr>
      <w:r w:rsidRPr="004E6412">
        <w:rPr>
          <w:sz w:val="20"/>
          <w:szCs w:val="20"/>
        </w:rPr>
        <w:t>Izvor: Državni zavod za statistiku, Hrvatski zavod</w:t>
      </w:r>
      <w:r w:rsidR="00DD5FA5" w:rsidRPr="004E6412">
        <w:rPr>
          <w:sz w:val="20"/>
          <w:szCs w:val="20"/>
        </w:rPr>
        <w:t xml:space="preserve"> za zapošljavanje. Dostupno na:</w:t>
      </w:r>
      <w:r w:rsidRPr="004E6412">
        <w:rPr>
          <w:sz w:val="20"/>
          <w:szCs w:val="20"/>
        </w:rPr>
        <w:t xml:space="preserve"> www.dzs.hr i www.hzz.hr [11.7.2013.].</w:t>
      </w:r>
    </w:p>
    <w:p w:rsidR="00E01814" w:rsidRPr="004E6412" w:rsidRDefault="00E01814" w:rsidP="00D0360D"/>
    <w:p w:rsidR="00E01814" w:rsidRPr="004E6412" w:rsidRDefault="00E01814" w:rsidP="00FA5F29">
      <w:pPr>
        <w:numPr>
          <w:ilvl w:val="0"/>
          <w:numId w:val="73"/>
        </w:numPr>
        <w:contextualSpacing/>
        <w:rPr>
          <w:sz w:val="22"/>
        </w:rPr>
      </w:pPr>
      <w:r w:rsidRPr="004E6412">
        <w:rPr>
          <w:sz w:val="22"/>
        </w:rPr>
        <w:t>Najveći relativni pad broja zaposlenih u razdoblju 2008.</w:t>
      </w:r>
      <w:r w:rsidR="00DD5FA5" w:rsidRPr="004E6412">
        <w:rPr>
          <w:sz w:val="22"/>
        </w:rPr>
        <w:t xml:space="preserve"> – </w:t>
      </w:r>
      <w:r w:rsidRPr="004E6412">
        <w:rPr>
          <w:sz w:val="22"/>
        </w:rPr>
        <w:t>2012. dogodio s</w:t>
      </w:r>
      <w:r w:rsidR="00DD5FA5" w:rsidRPr="004E6412">
        <w:rPr>
          <w:sz w:val="22"/>
        </w:rPr>
        <w:t>e u području rudarstva i iskopavanja</w:t>
      </w:r>
      <w:r w:rsidRPr="004E6412">
        <w:rPr>
          <w:sz w:val="22"/>
        </w:rPr>
        <w:t>, i to za</w:t>
      </w:r>
      <w:r w:rsidR="00DD5FA5" w:rsidRPr="004E6412">
        <w:rPr>
          <w:sz w:val="22"/>
        </w:rPr>
        <w:t xml:space="preserve"> 36,57%. Potom slijedi građevinarstvo s</w:t>
      </w:r>
      <w:r w:rsidRPr="004E6412">
        <w:rPr>
          <w:sz w:val="22"/>
        </w:rPr>
        <w:t xml:space="preserve"> padom od 27,40%, dok</w:t>
      </w:r>
      <w:r w:rsidR="00DD5FA5" w:rsidRPr="004E6412">
        <w:rPr>
          <w:sz w:val="22"/>
        </w:rPr>
        <w:t xml:space="preserve"> je prerađivačka industrija na</w:t>
      </w:r>
      <w:r w:rsidRPr="004E6412">
        <w:rPr>
          <w:sz w:val="22"/>
        </w:rPr>
        <w:t xml:space="preserve"> treće</w:t>
      </w:r>
      <w:r w:rsidR="00DD5FA5" w:rsidRPr="004E6412">
        <w:rPr>
          <w:sz w:val="22"/>
        </w:rPr>
        <w:t>m mjestu</w:t>
      </w:r>
      <w:r w:rsidRPr="004E6412">
        <w:rPr>
          <w:sz w:val="22"/>
        </w:rPr>
        <w:t xml:space="preserve"> s padom od 16,70%.</w:t>
      </w:r>
    </w:p>
    <w:p w:rsidR="00F10E5F" w:rsidRPr="004E6412" w:rsidRDefault="00F10E5F" w:rsidP="00E01814">
      <w:pPr>
        <w:contextualSpacing/>
        <w:rPr>
          <w:sz w:val="22"/>
        </w:rPr>
      </w:pPr>
    </w:p>
    <w:p w:rsidR="00D0360D" w:rsidRPr="004E6412" w:rsidRDefault="00D0360D" w:rsidP="00FA5F29">
      <w:pPr>
        <w:numPr>
          <w:ilvl w:val="0"/>
          <w:numId w:val="73"/>
        </w:numPr>
        <w:contextualSpacing/>
        <w:rPr>
          <w:sz w:val="22"/>
        </w:rPr>
      </w:pPr>
      <w:r w:rsidRPr="004E6412">
        <w:rPr>
          <w:sz w:val="22"/>
        </w:rPr>
        <w:t>Najveće postotno povećanje broja zaposlenih u pro</w:t>
      </w:r>
      <w:r w:rsidR="00DD5FA5" w:rsidRPr="004E6412">
        <w:rPr>
          <w:sz w:val="22"/>
        </w:rPr>
        <w:t>matranom razdoblju zabilježeno</w:t>
      </w:r>
      <w:r w:rsidRPr="004E6412">
        <w:rPr>
          <w:sz w:val="22"/>
        </w:rPr>
        <w:t xml:space="preserve"> je u poslovanju nekretninama (21,11%), iza koje</w:t>
      </w:r>
      <w:r w:rsidR="00E01814" w:rsidRPr="004E6412">
        <w:rPr>
          <w:sz w:val="22"/>
        </w:rPr>
        <w:t>g</w:t>
      </w:r>
      <w:r w:rsidRPr="004E6412">
        <w:rPr>
          <w:sz w:val="22"/>
        </w:rPr>
        <w:t xml:space="preserve"> slijede administrativne </w:t>
      </w:r>
      <w:r w:rsidR="00DD5FA5" w:rsidRPr="004E6412">
        <w:rPr>
          <w:sz w:val="22"/>
        </w:rPr>
        <w:t>i pomoćne uslužne djelatnosti s</w:t>
      </w:r>
      <w:r w:rsidRPr="004E6412">
        <w:rPr>
          <w:sz w:val="22"/>
        </w:rPr>
        <w:t xml:space="preserve"> rastom od 13,49%.</w:t>
      </w:r>
    </w:p>
    <w:p w:rsidR="00E01814" w:rsidRPr="004E6412" w:rsidRDefault="00E01814" w:rsidP="00D0360D"/>
    <w:p w:rsidR="00D0360D" w:rsidRPr="004E6412" w:rsidRDefault="00D0360D" w:rsidP="00755B73">
      <w:pPr>
        <w:pStyle w:val="Subtitle"/>
        <w:rPr>
          <w:rFonts w:eastAsia="HelveticaNeueLTPro-BdCn"/>
          <w:sz w:val="22"/>
          <w:szCs w:val="18"/>
          <w:lang w:val="hr-HR" w:eastAsia="hr-HR"/>
        </w:rPr>
      </w:pPr>
      <w:bookmarkStart w:id="124" w:name="_Toc377635341"/>
      <w:bookmarkStart w:id="125" w:name="_Toc37230919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7</w:t>
      </w:r>
      <w:r w:rsidRPr="004E6412">
        <w:rPr>
          <w:rFonts w:eastAsia="Calibri"/>
          <w:szCs w:val="18"/>
          <w:lang w:val="hr-HR" w:eastAsia="hr-HR"/>
        </w:rPr>
        <w:t xml:space="preserve">. </w:t>
      </w:r>
      <w:r w:rsidRPr="004E6412">
        <w:rPr>
          <w:lang w:val="hr-HR" w:eastAsia="hr-HR"/>
        </w:rPr>
        <w:t>Postotna promjena administrativnog broja zaposlenih u pravn</w:t>
      </w:r>
      <w:r w:rsidR="00DD5FA5" w:rsidRPr="004E6412">
        <w:rPr>
          <w:lang w:val="hr-HR" w:eastAsia="hr-HR"/>
        </w:rPr>
        <w:t>im osobama prema NKD-u 2007., razdoblje</w:t>
      </w:r>
      <w:r w:rsidRPr="004E6412">
        <w:rPr>
          <w:lang w:val="hr-HR" w:eastAsia="hr-HR"/>
        </w:rPr>
        <w:t xml:space="preserve"> 2008. – 2012.</w:t>
      </w:r>
      <w:bookmarkEnd w:id="124"/>
      <w:r w:rsidRPr="004E6412">
        <w:rPr>
          <w:lang w:val="hr-HR" w:eastAsia="hr-HR"/>
        </w:rPr>
        <w:t xml:space="preserve"> </w:t>
      </w:r>
      <w:bookmarkEnd w:id="125"/>
    </w:p>
    <w:p w:rsidR="00D0360D" w:rsidRPr="004E6412" w:rsidRDefault="001E199D" w:rsidP="00D0360D">
      <w:r w:rsidRPr="004E6412">
        <w:rPr>
          <w:noProof/>
          <w:lang w:eastAsia="hr-HR"/>
        </w:rPr>
        <w:drawing>
          <wp:inline distT="0" distB="0" distL="0" distR="0" wp14:anchorId="38137EF1" wp14:editId="5EF9A51D">
            <wp:extent cx="5763134" cy="2900185"/>
            <wp:effectExtent l="19050" t="0" r="28066"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360D" w:rsidRPr="004E6412" w:rsidRDefault="00D0360D" w:rsidP="00D0360D">
      <w:pPr>
        <w:rPr>
          <w:sz w:val="20"/>
          <w:szCs w:val="20"/>
        </w:rPr>
      </w:pPr>
      <w:r w:rsidRPr="004E6412">
        <w:rPr>
          <w:sz w:val="20"/>
          <w:szCs w:val="20"/>
        </w:rPr>
        <w:t>Izv</w:t>
      </w:r>
      <w:r w:rsidR="00DD5FA5" w:rsidRPr="004E6412">
        <w:rPr>
          <w:sz w:val="20"/>
          <w:szCs w:val="20"/>
        </w:rPr>
        <w:t>or: Državni zavod za statistiku.</w:t>
      </w:r>
      <w:r w:rsidRPr="004E6412">
        <w:rPr>
          <w:sz w:val="20"/>
          <w:szCs w:val="20"/>
        </w:rPr>
        <w:t xml:space="preserve"> Dostupno na:  www.dzs.hr [11.7.2013.].</w:t>
      </w:r>
    </w:p>
    <w:p w:rsidR="00E01814" w:rsidRPr="004E6412" w:rsidRDefault="00E01814" w:rsidP="00E01814">
      <w:pPr>
        <w:contextualSpacing/>
        <w:rPr>
          <w:sz w:val="22"/>
        </w:rPr>
      </w:pPr>
    </w:p>
    <w:p w:rsidR="00E01814" w:rsidRPr="004E6412" w:rsidRDefault="00E01814" w:rsidP="00E01814">
      <w:pPr>
        <w:contextualSpacing/>
        <w:rPr>
          <w:sz w:val="22"/>
        </w:rPr>
      </w:pPr>
    </w:p>
    <w:p w:rsidR="00D0360D" w:rsidRPr="004E6412" w:rsidRDefault="00E01814" w:rsidP="00FA5F29">
      <w:pPr>
        <w:numPr>
          <w:ilvl w:val="0"/>
          <w:numId w:val="73"/>
        </w:numPr>
        <w:contextualSpacing/>
        <w:rPr>
          <w:sz w:val="22"/>
        </w:rPr>
      </w:pPr>
      <w:r w:rsidRPr="004E6412">
        <w:rPr>
          <w:sz w:val="22"/>
        </w:rPr>
        <w:lastRenderedPageBreak/>
        <w:t>N</w:t>
      </w:r>
      <w:r w:rsidR="00D0360D" w:rsidRPr="004E6412">
        <w:rPr>
          <w:sz w:val="22"/>
        </w:rPr>
        <w:t>ajveći</w:t>
      </w:r>
      <w:r w:rsidRPr="004E6412">
        <w:rPr>
          <w:sz w:val="22"/>
        </w:rPr>
        <w:t xml:space="preserve"> apsolutni</w:t>
      </w:r>
      <w:r w:rsidR="00D0360D" w:rsidRPr="004E6412">
        <w:rPr>
          <w:sz w:val="22"/>
        </w:rPr>
        <w:t xml:space="preserve"> pad broja zaposlenih dogodio se u prerađivačkoj industriji (-41.553), iza koje slijedi trgovina na veliko i malo (-36.853), te građevinsk</w:t>
      </w:r>
      <w:r w:rsidR="00C12F69" w:rsidRPr="004E6412">
        <w:rPr>
          <w:sz w:val="22"/>
        </w:rPr>
        <w:t xml:space="preserve">a </w:t>
      </w:r>
      <w:r w:rsidR="00EB5EC2" w:rsidRPr="004E6412">
        <w:rPr>
          <w:sz w:val="22"/>
        </w:rPr>
        <w:t>industrija (-29.660).</w:t>
      </w:r>
      <w:r w:rsidR="00C12F69" w:rsidRPr="004E6412">
        <w:rPr>
          <w:sz w:val="22"/>
        </w:rPr>
        <w:t xml:space="preserve"> Najveće apsolutno</w:t>
      </w:r>
      <w:r w:rsidR="00D0360D" w:rsidRPr="004E6412">
        <w:rPr>
          <w:sz w:val="22"/>
        </w:rPr>
        <w:t xml:space="preserve"> povećanje broja zaposlenih do</w:t>
      </w:r>
      <w:r w:rsidR="00DD5FA5" w:rsidRPr="004E6412">
        <w:rPr>
          <w:sz w:val="22"/>
        </w:rPr>
        <w:t>godilo se u obrazovanju (7.506)</w:t>
      </w:r>
      <w:r w:rsidR="00D0360D" w:rsidRPr="004E6412">
        <w:rPr>
          <w:sz w:val="22"/>
        </w:rPr>
        <w:t xml:space="preserve"> te administrativnim i pomoćnim uslužnim djelatnostima (4.375).</w:t>
      </w:r>
    </w:p>
    <w:p w:rsidR="00D0360D" w:rsidRPr="004E6412" w:rsidRDefault="00D0360D" w:rsidP="00D0360D"/>
    <w:p w:rsidR="00D0360D" w:rsidRPr="004E6412" w:rsidRDefault="00D0360D" w:rsidP="007D0CFD">
      <w:pPr>
        <w:pStyle w:val="Heading5"/>
      </w:pPr>
      <w:bookmarkStart w:id="126" w:name="_Toc372736937"/>
      <w:bookmarkStart w:id="127" w:name="_Toc372737600"/>
      <w:bookmarkStart w:id="128" w:name="_Toc377551032"/>
      <w:bookmarkStart w:id="129" w:name="_Toc377635221"/>
      <w:r w:rsidRPr="004E6412">
        <w:t xml:space="preserve">Tablica </w:t>
      </w:r>
      <w:r w:rsidR="00035C7B" w:rsidRPr="004E6412">
        <w:t>20</w:t>
      </w:r>
      <w:r w:rsidRPr="004E6412">
        <w:t xml:space="preserve">. Apsolutna promjena administrativnog broja zaposlenih u pravnim osobama prema </w:t>
      </w:r>
      <w:r w:rsidR="00EB5EC2" w:rsidRPr="004E6412">
        <w:t>NKD-u 2007., razdoblje</w:t>
      </w:r>
      <w:r w:rsidRPr="004E6412">
        <w:t xml:space="preserve"> 2008. – 2012.</w:t>
      </w:r>
      <w:bookmarkEnd w:id="126"/>
      <w:bookmarkEnd w:id="127"/>
      <w:bookmarkEnd w:id="128"/>
      <w:bookmarkEnd w:id="129"/>
    </w:p>
    <w:tbl>
      <w:tblPr>
        <w:tblW w:w="5000" w:type="pct"/>
        <w:tblLook w:val="04A0" w:firstRow="1" w:lastRow="0" w:firstColumn="1" w:lastColumn="0" w:noHBand="0" w:noVBand="1"/>
      </w:tblPr>
      <w:tblGrid>
        <w:gridCol w:w="2143"/>
        <w:gridCol w:w="715"/>
        <w:gridCol w:w="715"/>
        <w:gridCol w:w="715"/>
        <w:gridCol w:w="715"/>
        <w:gridCol w:w="715"/>
        <w:gridCol w:w="715"/>
        <w:gridCol w:w="715"/>
        <w:gridCol w:w="715"/>
        <w:gridCol w:w="715"/>
        <w:gridCol w:w="708"/>
      </w:tblGrid>
      <w:tr w:rsidR="00D0360D" w:rsidRPr="004E6412" w:rsidTr="004F1845">
        <w:trPr>
          <w:trHeight w:val="300"/>
        </w:trPr>
        <w:tc>
          <w:tcPr>
            <w:tcW w:w="115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C</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H</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w:t>
            </w:r>
          </w:p>
        </w:tc>
      </w:tr>
      <w:tr w:rsidR="00D0360D" w:rsidRPr="004E6412" w:rsidTr="004F1845">
        <w:trPr>
          <w:trHeight w:val="225"/>
        </w:trPr>
        <w:tc>
          <w:tcPr>
            <w:tcW w:w="1154"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-3228</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-41553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786</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-5890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1287</w:t>
            </w:r>
          </w:p>
        </w:tc>
      </w:tr>
    </w:tbl>
    <w:p w:rsidR="00D0360D" w:rsidRPr="004E6412" w:rsidRDefault="00D0360D" w:rsidP="00D0360D"/>
    <w:tbl>
      <w:tblPr>
        <w:tblW w:w="5000" w:type="pct"/>
        <w:tblLook w:val="04A0" w:firstRow="1" w:lastRow="0" w:firstColumn="1" w:lastColumn="0" w:noHBand="0" w:noVBand="1"/>
      </w:tblPr>
      <w:tblGrid>
        <w:gridCol w:w="2235"/>
        <w:gridCol w:w="710"/>
        <w:gridCol w:w="853"/>
        <w:gridCol w:w="857"/>
        <w:gridCol w:w="774"/>
        <w:gridCol w:w="774"/>
        <w:gridCol w:w="774"/>
        <w:gridCol w:w="774"/>
        <w:gridCol w:w="774"/>
        <w:gridCol w:w="761"/>
      </w:tblGrid>
      <w:tr w:rsidR="00D0360D" w:rsidRPr="004E6412" w:rsidTr="004F1845">
        <w:trPr>
          <w:trHeight w:val="300"/>
        </w:trPr>
        <w:tc>
          <w:tcPr>
            <w:tcW w:w="1203"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2"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K</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L</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N</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Q</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w:t>
            </w:r>
          </w:p>
        </w:tc>
      </w:tr>
      <w:tr w:rsidR="00D0360D" w:rsidRPr="004E6412" w:rsidTr="004F1845">
        <w:trPr>
          <w:trHeight w:val="225"/>
        </w:trPr>
        <w:tc>
          <w:tcPr>
            <w:tcW w:w="1203"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2"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514</w:t>
            </w:r>
          </w:p>
        </w:tc>
        <w:tc>
          <w:tcPr>
            <w:tcW w:w="45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w:t>
            </w:r>
          </w:p>
        </w:tc>
        <w:tc>
          <w:tcPr>
            <w:tcW w:w="46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4375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7506</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5461</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1237</w:t>
            </w:r>
          </w:p>
        </w:tc>
        <w:tc>
          <w:tcPr>
            <w:tcW w:w="41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w:t>
            </w:r>
          </w:p>
        </w:tc>
      </w:tr>
    </w:tbl>
    <w:p w:rsidR="00D0360D" w:rsidRPr="004E6412" w:rsidRDefault="00D0360D" w:rsidP="00D0360D">
      <w:pPr>
        <w:rPr>
          <w:sz w:val="20"/>
          <w:szCs w:val="20"/>
        </w:rPr>
      </w:pPr>
      <w:r w:rsidRPr="004E6412">
        <w:rPr>
          <w:sz w:val="20"/>
          <w:szCs w:val="20"/>
        </w:rPr>
        <w:t>Izv</w:t>
      </w:r>
      <w:r w:rsidR="00EB5EC2" w:rsidRPr="004E6412">
        <w:rPr>
          <w:sz w:val="20"/>
          <w:szCs w:val="20"/>
        </w:rPr>
        <w:t>or: Državni zavod za statistiku.</w:t>
      </w:r>
      <w:r w:rsidRPr="004E6412">
        <w:rPr>
          <w:sz w:val="20"/>
          <w:szCs w:val="20"/>
        </w:rPr>
        <w:t xml:space="preserve"> Dostupno na:  www.dzs.hr [11.7.2013.].</w:t>
      </w:r>
    </w:p>
    <w:p w:rsidR="00D0360D" w:rsidRPr="004E6412" w:rsidRDefault="00D0360D" w:rsidP="00D0360D">
      <w:pPr>
        <w:rPr>
          <w:sz w:val="22"/>
        </w:rPr>
      </w:pPr>
    </w:p>
    <w:p w:rsidR="00E01814" w:rsidRPr="004E6412" w:rsidRDefault="00E01814" w:rsidP="00D0360D">
      <w:pPr>
        <w:rPr>
          <w:sz w:val="22"/>
        </w:rPr>
      </w:pPr>
    </w:p>
    <w:p w:rsidR="00D0360D" w:rsidRPr="004E6412" w:rsidRDefault="00D0360D" w:rsidP="00FA5F29">
      <w:pPr>
        <w:numPr>
          <w:ilvl w:val="0"/>
          <w:numId w:val="73"/>
        </w:numPr>
        <w:contextualSpacing/>
        <w:rPr>
          <w:sz w:val="22"/>
        </w:rPr>
      </w:pPr>
      <w:r w:rsidRPr="004E6412">
        <w:rPr>
          <w:sz w:val="22"/>
        </w:rPr>
        <w:t xml:space="preserve">Najveći udio zaposlenih u pravnim osobama ima srednju stručnu spremu, a riječ je o 519.649 zaposlenih ili 48,36%. </w:t>
      </w:r>
      <w:r w:rsidR="00F10E5F" w:rsidRPr="004E6412">
        <w:rPr>
          <w:sz w:val="22"/>
        </w:rPr>
        <w:t xml:space="preserve">Od ukupnog broja zaposlenih, njih </w:t>
      </w:r>
      <w:r w:rsidRPr="004E6412">
        <w:rPr>
          <w:sz w:val="22"/>
        </w:rPr>
        <w:t>30% ima ni</w:t>
      </w:r>
      <w:r w:rsidR="00EB5EC2" w:rsidRPr="004E6412">
        <w:rPr>
          <w:sz w:val="22"/>
        </w:rPr>
        <w:t>žu stručnu spremu ili nema ni taj stupanj obrazovanja</w:t>
      </w:r>
      <w:r w:rsidRPr="004E6412">
        <w:rPr>
          <w:sz w:val="22"/>
        </w:rPr>
        <w:t>. Iza njih slijede osobe sa završenim visokim obrazovanjem, odnosno 212.584 osobe ili 19,78% ukupnog broja zaposlenih</w:t>
      </w:r>
      <w:r w:rsidR="00EB5EC2" w:rsidRPr="004E6412">
        <w:rPr>
          <w:sz w:val="22"/>
        </w:rPr>
        <w:t>. Najveći udio visokoobrazovanih</w:t>
      </w:r>
      <w:r w:rsidRPr="004E6412">
        <w:rPr>
          <w:sz w:val="22"/>
        </w:rPr>
        <w:t xml:space="preserve"> osoba u ukupnom broju zaposlenih osoba po industrijskim granama nalazi se u obrazovanju (53,92%), zatim stručnim, znanstvenim i tehničkim djelatnostima (44,48%). Najveći udio niže i nisko kvalificiranih radnika nalazi se u građe</w:t>
      </w:r>
      <w:r w:rsidR="00EB5EC2" w:rsidRPr="004E6412">
        <w:rPr>
          <w:sz w:val="22"/>
        </w:rPr>
        <w:t>vinarstvu te rudarstvu i iskopavanju</w:t>
      </w:r>
      <w:r w:rsidRPr="004E6412">
        <w:rPr>
          <w:sz w:val="22"/>
        </w:rPr>
        <w:t>.</w:t>
      </w:r>
    </w:p>
    <w:p w:rsidR="00D0360D" w:rsidRPr="004E6412" w:rsidRDefault="00D0360D" w:rsidP="00D0360D">
      <w:pPr>
        <w:rPr>
          <w:sz w:val="22"/>
        </w:rPr>
      </w:pPr>
    </w:p>
    <w:p w:rsidR="00D0360D" w:rsidRPr="004E6412" w:rsidRDefault="00D0360D" w:rsidP="00D0360D">
      <w:pPr>
        <w:rPr>
          <w:sz w:val="22"/>
        </w:rPr>
      </w:pPr>
    </w:p>
    <w:p w:rsidR="00D0360D" w:rsidRPr="004E6412" w:rsidRDefault="00D0360D" w:rsidP="00D0360D">
      <w:pPr>
        <w:rPr>
          <w:sz w:val="22"/>
        </w:rPr>
      </w:pPr>
    </w:p>
    <w:p w:rsidR="00605ADA" w:rsidRPr="007D0CFD" w:rsidRDefault="00605ADA" w:rsidP="007D0CFD">
      <w:pPr>
        <w:pStyle w:val="Heading5"/>
        <w:rPr>
          <w:rStyle w:val="IntenseEmphasis"/>
          <w:b/>
          <w:bCs w:val="0"/>
          <w:iCs w:val="0"/>
          <w:color w:val="548DD4" w:themeColor="text2" w:themeTint="99"/>
          <w:sz w:val="20"/>
        </w:rPr>
        <w:sectPr w:rsidR="00605ADA" w:rsidRPr="007D0CFD" w:rsidSect="00F81C4C">
          <w:pgSz w:w="11906" w:h="16838"/>
          <w:pgMar w:top="1418" w:right="1418" w:bottom="1418" w:left="1418" w:header="709" w:footer="709" w:gutter="0"/>
          <w:cols w:space="708"/>
          <w:docGrid w:linePitch="360"/>
        </w:sectPr>
      </w:pPr>
    </w:p>
    <w:p w:rsidR="00D0360D" w:rsidRPr="007D0CFD" w:rsidRDefault="00D0360D" w:rsidP="007D0CFD">
      <w:pPr>
        <w:pStyle w:val="Heading5"/>
        <w:rPr>
          <w:rStyle w:val="IntenseEmphasis"/>
          <w:rFonts w:eastAsia="Calibri"/>
          <w:b/>
          <w:bCs w:val="0"/>
          <w:iCs w:val="0"/>
          <w:color w:val="548DD4" w:themeColor="text2" w:themeTint="99"/>
          <w:sz w:val="20"/>
        </w:rPr>
      </w:pPr>
      <w:bookmarkStart w:id="130" w:name="_Toc377551033"/>
      <w:bookmarkStart w:id="131" w:name="_Toc377635222"/>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21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 xml:space="preserve">Zaposleni u pravnim osobama prema stupnju stručnog obrazovanja, stanje </w:t>
      </w:r>
      <w:r w:rsidR="00EB5EC2" w:rsidRPr="007D0CFD">
        <w:rPr>
          <w:rStyle w:val="IntenseEmphasis"/>
          <w:rFonts w:eastAsia="Calibri"/>
          <w:b/>
          <w:bCs w:val="0"/>
          <w:iCs w:val="0"/>
          <w:color w:val="548DD4" w:themeColor="text2" w:themeTint="99"/>
          <w:sz w:val="20"/>
        </w:rPr>
        <w:t xml:space="preserve">na dan </w:t>
      </w:r>
      <w:r w:rsidRPr="007D0CFD">
        <w:rPr>
          <w:rStyle w:val="IntenseEmphasis"/>
          <w:rFonts w:eastAsia="Calibri"/>
          <w:b/>
          <w:bCs w:val="0"/>
          <w:iCs w:val="0"/>
          <w:color w:val="548DD4" w:themeColor="text2" w:themeTint="99"/>
          <w:sz w:val="20"/>
        </w:rPr>
        <w:t>31.03.20</w:t>
      </w:r>
      <w:r w:rsidR="00ED0513" w:rsidRPr="007D0CFD">
        <w:rPr>
          <w:rStyle w:val="IntenseEmphasis"/>
          <w:rFonts w:eastAsia="Calibri"/>
          <w:b/>
          <w:bCs w:val="0"/>
          <w:iCs w:val="0"/>
          <w:color w:val="548DD4" w:themeColor="text2" w:themeTint="99"/>
          <w:sz w:val="20"/>
        </w:rPr>
        <w:t>11</w:t>
      </w:r>
      <w:r w:rsidRPr="007D0CFD">
        <w:rPr>
          <w:rStyle w:val="IntenseEmphasis"/>
          <w:rFonts w:eastAsia="Calibri"/>
          <w:b/>
          <w:bCs w:val="0"/>
          <w:iCs w:val="0"/>
          <w:color w:val="548DD4" w:themeColor="text2" w:themeTint="99"/>
          <w:sz w:val="20"/>
        </w:rPr>
        <w:t>., udjeli po stupnju stručnog obrazovanja u ukupnom broju zaposlenih po području NKD-a</w:t>
      </w:r>
      <w:r w:rsidR="00973E16" w:rsidRPr="007D0CFD">
        <w:rPr>
          <w:rStyle w:val="IntenseEmphasis"/>
          <w:rFonts w:eastAsia="Calibri"/>
          <w:b/>
          <w:bCs w:val="0"/>
          <w:iCs w:val="0"/>
          <w:color w:val="548DD4" w:themeColor="text2" w:themeTint="99"/>
          <w:sz w:val="20"/>
        </w:rPr>
        <w:t xml:space="preserve"> (administrativni izvori)</w:t>
      </w:r>
      <w:bookmarkEnd w:id="130"/>
      <w:bookmarkEnd w:id="131"/>
    </w:p>
    <w:tbl>
      <w:tblPr>
        <w:tblW w:w="5000" w:type="pct"/>
        <w:tblCellMar>
          <w:top w:w="28" w:type="dxa"/>
          <w:left w:w="57" w:type="dxa"/>
          <w:bottom w:w="28" w:type="dxa"/>
          <w:right w:w="57" w:type="dxa"/>
        </w:tblCellMar>
        <w:tblLook w:val="04A0" w:firstRow="1" w:lastRow="0" w:firstColumn="1" w:lastColumn="0" w:noHBand="0" w:noVBand="1"/>
      </w:tblPr>
      <w:tblGrid>
        <w:gridCol w:w="284"/>
        <w:gridCol w:w="6408"/>
        <w:gridCol w:w="894"/>
        <w:gridCol w:w="1368"/>
        <w:gridCol w:w="699"/>
        <w:gridCol w:w="610"/>
        <w:gridCol w:w="714"/>
        <w:gridCol w:w="610"/>
        <w:gridCol w:w="610"/>
        <w:gridCol w:w="700"/>
        <w:gridCol w:w="610"/>
        <w:gridCol w:w="609"/>
      </w:tblGrid>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val="restart"/>
            <w:tcBorders>
              <w:top w:val="single" w:sz="4" w:space="0" w:color="auto"/>
              <w:left w:val="single" w:sz="4" w:space="0" w:color="auto"/>
              <w:bottom w:val="single" w:sz="4" w:space="0" w:color="auto"/>
              <w:right w:val="nil"/>
            </w:tcBorders>
            <w:shd w:val="clear" w:color="000000" w:fill="D8D8D8"/>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 </w:t>
            </w:r>
          </w:p>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Područje NKD-a</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DBE5F1"/>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djelatnosti u ukupno zaposlenim</w:t>
            </w:r>
            <w:r w:rsidR="00EB5EC2" w:rsidRPr="004E6412">
              <w:rPr>
                <w:rFonts w:eastAsia="Times New Roman"/>
                <w:b/>
                <w:bCs/>
                <w:color w:val="000000"/>
                <w:sz w:val="18"/>
                <w:szCs w:val="18"/>
                <w:lang w:eastAsia="hr-HR"/>
              </w:rPr>
              <w:t>a</w:t>
            </w:r>
          </w:p>
        </w:tc>
        <w:tc>
          <w:tcPr>
            <w:tcW w:w="1828" w:type="pct"/>
            <w:gridSpan w:val="8"/>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Stupanj stručne spreme</w:t>
            </w:r>
          </w:p>
        </w:tc>
      </w:tr>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tcBorders>
              <w:top w:val="single" w:sz="4" w:space="0" w:color="auto"/>
              <w:left w:val="single" w:sz="4" w:space="0" w:color="auto"/>
              <w:bottom w:val="single" w:sz="4" w:space="0" w:color="auto"/>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317" w:type="pct"/>
            <w:vMerge/>
            <w:tcBorders>
              <w:top w:val="single" w:sz="4" w:space="0" w:color="auto"/>
              <w:left w:val="single" w:sz="4" w:space="0" w:color="auto"/>
              <w:bottom w:val="single" w:sz="4" w:space="0" w:color="auto"/>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485" w:type="pct"/>
            <w:vMerge/>
            <w:tcBorders>
              <w:top w:val="single" w:sz="4" w:space="0" w:color="auto"/>
              <w:left w:val="single" w:sz="4" w:space="0" w:color="auto"/>
              <w:bottom w:val="single" w:sz="4" w:space="0" w:color="000000"/>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Visoko</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Više</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Srednje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248"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216" w:type="pct"/>
            <w:tcBorders>
              <w:top w:val="single" w:sz="4" w:space="0" w:color="auto"/>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NKV</w:t>
            </w:r>
          </w:p>
        </w:tc>
      </w:tr>
      <w:tr w:rsidR="00D0360D" w:rsidRPr="004E6412" w:rsidTr="0008774F">
        <w:trPr>
          <w:trHeight w:val="20"/>
        </w:trPr>
        <w:tc>
          <w:tcPr>
            <w:tcW w:w="10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A</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POLJOPRIVREDA I ŠUMARSTVO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22.884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10.055</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2.730</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1.171</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3.602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B</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EB5EC2"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RUDARSTVO I ISKOPAVANJE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6.131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0,57%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2.820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PRERAĐIVAČKA INDUSTRIJA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206.053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94.856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7.533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6.724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9.250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24.190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ELEKTRIČNOM ENERGIJOM, PLINOM, PAROM I KLIMATIZACIJOM</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16.398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7.076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2.382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543</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E</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VODOM; UKLANJANJE OTPADNIH VODA, GOSPODARENJE OTPADOM TE DJELATNOSTI SANACIJE OKOLIŠA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21.426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F</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GRAĐEVINARSTVO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75.045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4.047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31.646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16.031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4.185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8.785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TRGOVINA NA VELIKO I NA MALO; POPRAVAK MOTORNIH VOZILA I MOTOCIKALA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166.761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15,52%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17.129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8.054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113.815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3.334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14.342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H</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PRIJEVOZ I SKLADIŠTENJE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59.565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4.427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34.303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8.602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1.955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I</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PRUŽANJA SMJEŠTAJA TE PRIPREME I USLUŽIVANJA HRANE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34.091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1.452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18.363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5.165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J</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INFORMACIJE I KOMUNIKACIJE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29.648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FINANCIJSKE DJELATNOSTI I DJELATNOSTI OSIGURANJA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35.664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4.089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L</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POSLOVANJE NEKRETNINAMA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0,40%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398</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2.345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STRUČNE, ZNANSTVENE I TEHNIČKE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42.893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16.819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1.359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ADMINISTRATIVNE I POMOĆNE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2.813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1.320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3.966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O</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JAVNA UPRAVA I OBRANA; OBVEZNO SOCIJALNO OSIGURANJE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104.849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27.599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10.335</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58.063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508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2.624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OBRAZOVANJE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57.461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23.753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2.453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528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2.075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5.699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Q</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ZDRAVSTVENE ZAŠTITE I SOCIJALNE SKRBI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81.598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38.949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538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4.768</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R</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UMJETNOST, ZABAVA I REKREACIJA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18.628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722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OSTALE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T</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KUĆANSTAVA KAO POSLODAV</w:t>
            </w:r>
            <w:r w:rsidR="00EB5EC2" w:rsidRPr="004E6412">
              <w:rPr>
                <w:rFonts w:eastAsia="Times New Roman"/>
                <w:color w:val="000000"/>
                <w:sz w:val="18"/>
                <w:szCs w:val="18"/>
                <w:lang w:eastAsia="hr-HR"/>
              </w:rPr>
              <w:t>ACA; DJELATNOSTI KUĆANSTAVA KOJA</w:t>
            </w:r>
            <w:r w:rsidRPr="004E6412">
              <w:rPr>
                <w:rFonts w:eastAsia="Times New Roman"/>
                <w:color w:val="000000"/>
                <w:sz w:val="18"/>
                <w:szCs w:val="18"/>
                <w:lang w:eastAsia="hr-HR"/>
              </w:rPr>
              <w:t xml:space="preserve"> PROIZVODE RAZLIČITU ROBU I PRUŽAJU RAZLIČITE USLUGE ZA VLASTITE POTREBE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IZVANTERITORIJALNIH ORGANIZACIJA I TIJELA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p>
        </w:tc>
        <w:tc>
          <w:tcPr>
            <w:tcW w:w="227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1.074.369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100,00%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212.584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89.850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519.649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31.728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20.166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103.268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23.948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73.186</w:t>
            </w:r>
          </w:p>
        </w:tc>
      </w:tr>
    </w:tbl>
    <w:p w:rsidR="00605ADA" w:rsidRPr="004E6412" w:rsidRDefault="00D0360D" w:rsidP="00605ADA">
      <w:pPr>
        <w:rPr>
          <w:sz w:val="20"/>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bookmarkStart w:id="132" w:name="_Toc372308895"/>
      <w:bookmarkStart w:id="133" w:name="_Toc372554006"/>
    </w:p>
    <w:p w:rsidR="00605ADA" w:rsidRPr="004E6412" w:rsidRDefault="00605ADA" w:rsidP="00605ADA">
      <w:pPr>
        <w:sectPr w:rsidR="00605ADA" w:rsidRPr="004E6412" w:rsidSect="00605ADA">
          <w:pgSz w:w="16838" w:h="11906" w:orient="landscape"/>
          <w:pgMar w:top="1418" w:right="1418" w:bottom="1418" w:left="1418" w:header="709" w:footer="709" w:gutter="0"/>
          <w:cols w:space="708"/>
          <w:docGrid w:linePitch="360"/>
        </w:sectPr>
      </w:pPr>
    </w:p>
    <w:p w:rsidR="00D0360D" w:rsidRPr="004E6412" w:rsidRDefault="00D0360D" w:rsidP="00D0360D">
      <w:pPr>
        <w:pStyle w:val="Heading4"/>
        <w:rPr>
          <w:rFonts w:eastAsia="Calibri"/>
        </w:rPr>
      </w:pPr>
      <w:r w:rsidRPr="004E6412">
        <w:rPr>
          <w:rFonts w:eastAsia="Calibri"/>
        </w:rPr>
        <w:lastRenderedPageBreak/>
        <w:t>Struktura nezaposlenih</w:t>
      </w:r>
      <w:bookmarkEnd w:id="132"/>
      <w:bookmarkEnd w:id="133"/>
    </w:p>
    <w:p w:rsidR="00D0360D" w:rsidRPr="004E6412" w:rsidRDefault="006F2A15" w:rsidP="006F2A15">
      <w:pPr>
        <w:numPr>
          <w:ilvl w:val="0"/>
          <w:numId w:val="74"/>
        </w:numPr>
        <w:autoSpaceDE w:val="0"/>
        <w:autoSpaceDN w:val="0"/>
        <w:adjustRightInd w:val="0"/>
        <w:contextualSpacing/>
        <w:rPr>
          <w:rFonts w:eastAsia="HelveticaNeueLTPro-BdCn"/>
          <w:sz w:val="22"/>
        </w:rPr>
      </w:pPr>
      <w:r w:rsidRPr="004E6412">
        <w:rPr>
          <w:rFonts w:eastAsia="HelveticaNeueLTPro-BdCn"/>
          <w:sz w:val="22"/>
        </w:rPr>
        <w:t>Do najvećeg povećanja broja nezaposlenih od 2008. godine došlo je kod osoba sa završenim fakultetom i</w:t>
      </w:r>
      <w:r w:rsidR="00EB5EC2" w:rsidRPr="004E6412">
        <w:rPr>
          <w:rFonts w:eastAsia="HelveticaNeueLTPro-BdCn"/>
          <w:sz w:val="22"/>
        </w:rPr>
        <w:t xml:space="preserve">li višim stupnjem obrazovanja. </w:t>
      </w:r>
      <w:r w:rsidR="00D0360D" w:rsidRPr="004E6412">
        <w:rPr>
          <w:rFonts w:eastAsia="HelveticaNeueLTPro-BdCn"/>
          <w:sz w:val="22"/>
          <w:szCs w:val="24"/>
        </w:rPr>
        <w:t xml:space="preserve">Njihov </w:t>
      </w:r>
      <w:r w:rsidR="00EB5EC2" w:rsidRPr="004E6412">
        <w:rPr>
          <w:rFonts w:eastAsia="HelveticaNeueLTPro-BdCn"/>
          <w:sz w:val="22"/>
          <w:szCs w:val="24"/>
        </w:rPr>
        <w:t xml:space="preserve">se broj </w:t>
      </w:r>
      <w:r w:rsidR="00D0360D" w:rsidRPr="004E6412">
        <w:rPr>
          <w:rFonts w:eastAsia="HelveticaNeueLTPro-BdCn"/>
          <w:sz w:val="22"/>
          <w:szCs w:val="24"/>
        </w:rPr>
        <w:t>povećao za 117,04%</w:t>
      </w:r>
      <w:r w:rsidR="00EB5EC2" w:rsidRPr="004E6412">
        <w:rPr>
          <w:rFonts w:eastAsia="HelveticaNeueLTPro-BdCn"/>
          <w:sz w:val="22"/>
          <w:szCs w:val="24"/>
        </w:rPr>
        <w:t>, odnosno za 11.031 osobu</w:t>
      </w:r>
      <w:r w:rsidR="00D0360D" w:rsidRPr="004E6412">
        <w:rPr>
          <w:rFonts w:eastAsia="HelveticaNeueLTPro-BdCn"/>
          <w:sz w:val="22"/>
          <w:szCs w:val="24"/>
        </w:rPr>
        <w:t xml:space="preserve">. </w:t>
      </w:r>
      <w:r w:rsidR="00EB5EC2" w:rsidRPr="004E6412">
        <w:rPr>
          <w:rFonts w:eastAsia="HelveticaNeueLTPro-BdCn"/>
          <w:sz w:val="22"/>
        </w:rPr>
        <w:t xml:space="preserve">Potom </w:t>
      </w:r>
      <w:r w:rsidR="00D0360D" w:rsidRPr="004E6412">
        <w:rPr>
          <w:rFonts w:eastAsia="HelveticaNeueLTPro-BdCn"/>
          <w:sz w:val="22"/>
        </w:rPr>
        <w:t>slijede osobe sa završenim prvim stupnjem fakulteta</w:t>
      </w:r>
      <w:r w:rsidRPr="004E6412">
        <w:rPr>
          <w:rFonts w:eastAsia="HelveticaNeueLTPro-BdCn"/>
          <w:sz w:val="22"/>
        </w:rPr>
        <w:t>,</w:t>
      </w:r>
      <w:r w:rsidR="00EB5EC2" w:rsidRPr="004E6412">
        <w:rPr>
          <w:rFonts w:eastAsia="HelveticaNeueLTPro-BdCn"/>
          <w:sz w:val="22"/>
        </w:rPr>
        <w:t xml:space="preserve"> s</w:t>
      </w:r>
      <w:r w:rsidR="00D0360D" w:rsidRPr="004E6412">
        <w:rPr>
          <w:rFonts w:eastAsia="HelveticaNeueLTPro-BdCn"/>
          <w:sz w:val="22"/>
        </w:rPr>
        <w:t xml:space="preserve"> povećanjem broja nezaposlenih za 101,78% ili 7.703 osoba. Najmanji rast broja nez</w:t>
      </w:r>
      <w:r w:rsidR="00EB5EC2" w:rsidRPr="004E6412">
        <w:rPr>
          <w:rFonts w:eastAsia="HelveticaNeueLTPro-BdCn"/>
          <w:sz w:val="22"/>
        </w:rPr>
        <w:t>aposlenih osoba u razdoblju</w:t>
      </w:r>
      <w:r w:rsidRPr="004E6412">
        <w:rPr>
          <w:rFonts w:eastAsia="HelveticaNeueLTPro-BdCn"/>
          <w:sz w:val="22"/>
        </w:rPr>
        <w:t xml:space="preserve"> 2008.–</w:t>
      </w:r>
      <w:r w:rsidR="00EB5EC2" w:rsidRPr="004E6412">
        <w:rPr>
          <w:rFonts w:eastAsia="HelveticaNeueLTPro-BdCn"/>
          <w:sz w:val="22"/>
        </w:rPr>
        <w:t xml:space="preserve"> 2012. zabilježen</w:t>
      </w:r>
      <w:r w:rsidR="00D0360D" w:rsidRPr="004E6412">
        <w:rPr>
          <w:rFonts w:eastAsia="HelveticaNeueLTPro-BdCn"/>
          <w:sz w:val="22"/>
        </w:rPr>
        <w:t xml:space="preserve"> je kod osoba bez završene osnovne škole; 6,61% ili 1.125 osoba.</w:t>
      </w:r>
    </w:p>
    <w:p w:rsidR="00D0360D" w:rsidRPr="004E6412" w:rsidRDefault="00D0360D" w:rsidP="00D0360D">
      <w:pPr>
        <w:autoSpaceDE w:val="0"/>
        <w:autoSpaceDN w:val="0"/>
        <w:adjustRightInd w:val="0"/>
        <w:rPr>
          <w:rFonts w:eastAsia="HelveticaNeueLTPro-BdCn"/>
        </w:rPr>
      </w:pPr>
    </w:p>
    <w:p w:rsidR="00D0360D" w:rsidRPr="004E6412" w:rsidRDefault="00D0360D" w:rsidP="007D0CFD">
      <w:pPr>
        <w:pStyle w:val="Heading5"/>
        <w:rPr>
          <w:rFonts w:eastAsia="Calibri"/>
        </w:rPr>
      </w:pPr>
      <w:bookmarkStart w:id="134" w:name="_Toc372736938"/>
      <w:bookmarkStart w:id="135" w:name="_Toc372737601"/>
      <w:bookmarkStart w:id="136" w:name="_Toc377551034"/>
      <w:bookmarkStart w:id="137" w:name="_Toc377635223"/>
      <w:r w:rsidRPr="004E6412">
        <w:t xml:space="preserve">Tablica </w:t>
      </w:r>
      <w:r w:rsidR="00DC21FD" w:rsidRPr="004E6412">
        <w:t>2</w:t>
      </w:r>
      <w:r w:rsidR="00035C7B" w:rsidRPr="004E6412">
        <w:t>2</w:t>
      </w:r>
      <w:r w:rsidRPr="004E6412">
        <w:t xml:space="preserve">. </w:t>
      </w:r>
      <w:r w:rsidRPr="004E6412">
        <w:rPr>
          <w:rFonts w:eastAsia="Calibri"/>
        </w:rPr>
        <w:t>Prosječan broj nezaposlenih osoba prema razini obrazovanja 2008. – 2012., administrativna nezaposlenost</w:t>
      </w:r>
      <w:bookmarkEnd w:id="134"/>
      <w:bookmarkEnd w:id="135"/>
      <w:bookmarkEnd w:id="136"/>
      <w:bookmarkEnd w:id="137"/>
    </w:p>
    <w:tbl>
      <w:tblPr>
        <w:tblW w:w="8612" w:type="dxa"/>
        <w:tblInd w:w="91" w:type="dxa"/>
        <w:tblLook w:val="04A0" w:firstRow="1" w:lastRow="0" w:firstColumn="1" w:lastColumn="0" w:noHBand="0" w:noVBand="1"/>
      </w:tblPr>
      <w:tblGrid>
        <w:gridCol w:w="960"/>
        <w:gridCol w:w="894"/>
        <w:gridCol w:w="1070"/>
        <w:gridCol w:w="999"/>
        <w:gridCol w:w="1150"/>
        <w:gridCol w:w="1150"/>
        <w:gridCol w:w="1199"/>
        <w:gridCol w:w="1190"/>
      </w:tblGrid>
      <w:tr w:rsidR="00D0360D" w:rsidRPr="004E6412" w:rsidTr="00EA6293">
        <w:trPr>
          <w:trHeight w:val="1710"/>
        </w:trPr>
        <w:tc>
          <w:tcPr>
            <w:tcW w:w="960" w:type="dxa"/>
            <w:tcBorders>
              <w:top w:val="nil"/>
              <w:left w:val="nil"/>
              <w:bottom w:val="nil"/>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UKUPNO</w:t>
            </w:r>
          </w:p>
        </w:tc>
        <w:tc>
          <w:tcPr>
            <w:tcW w:w="107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BEZ ŠKOLE I ZAVRŠENA OSNOVNA ŠKOLA</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OSNOVNA ŠKOLA</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DO TRI GODINE I ŠKOLA ZA KV I VKV RADNIKE</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OD ČETIRI I VIŠE GODINA I GIMNAZIJA</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PRVI STUPANJ FAKULTETA, STRUČNI STUDIJ I VIŠA ŠKOLA</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FAKULTET, AKADEMIJA, MAGISTERIJ, DOKTORAT</w:t>
            </w:r>
          </w:p>
        </w:tc>
      </w:tr>
      <w:tr w:rsidR="00D0360D" w:rsidRPr="004E6412" w:rsidTr="0008774F">
        <w:trPr>
          <w:trHeight w:val="300"/>
        </w:trPr>
        <w:tc>
          <w:tcPr>
            <w:tcW w:w="960" w:type="dxa"/>
            <w:tcBorders>
              <w:top w:val="nil"/>
              <w:left w:val="nil"/>
              <w:bottom w:val="single" w:sz="4" w:space="0" w:color="auto"/>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07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r>
      <w:tr w:rsidR="00D0360D" w:rsidRPr="004E6412" w:rsidTr="0008774F">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236.741</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17.011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59.909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81.471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61.357</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7.568</w:t>
            </w:r>
          </w:p>
        </w:tc>
        <w:tc>
          <w:tcPr>
            <w:tcW w:w="1190" w:type="dxa"/>
            <w:tcBorders>
              <w:top w:val="single" w:sz="4" w:space="0" w:color="auto"/>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9.425</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263.174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17.477</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64.246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90.421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70.330</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9.259</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11.441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302.425</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18.068</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70.852</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104.103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82.772</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11.593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15.037</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305.333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17.443</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68.575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104.924</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84.394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12.664</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17.333</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324.324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18.136</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68.829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110.986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90.646</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15.271</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20.456</w:t>
            </w:r>
          </w:p>
        </w:tc>
      </w:tr>
      <w:tr w:rsidR="00D0360D" w:rsidRPr="004E6412" w:rsidTr="004F1845">
        <w:trPr>
          <w:trHeight w:val="660"/>
        </w:trPr>
        <w:tc>
          <w:tcPr>
            <w:tcW w:w="960" w:type="dxa"/>
            <w:tcBorders>
              <w:top w:val="nil"/>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2008. - 2012.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87.583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8.920</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29.515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29.289</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7.703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37,00%</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36,23%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47,74%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117,04%</w:t>
            </w:r>
          </w:p>
        </w:tc>
      </w:tr>
    </w:tbl>
    <w:p w:rsidR="00D0360D" w:rsidRPr="004E6412" w:rsidRDefault="00D0360D" w:rsidP="00D0360D">
      <w:pPr>
        <w:rPr>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p>
    <w:p w:rsidR="00D0360D" w:rsidRPr="004E6412" w:rsidRDefault="00D0360D" w:rsidP="00D0360D">
      <w:pPr>
        <w:spacing w:after="200"/>
        <w:contextualSpacing/>
        <w:jc w:val="left"/>
        <w:rPr>
          <w:rFonts w:eastAsia="HelveticaNeueLTPro-BdCn"/>
          <w:sz w:val="22"/>
        </w:rPr>
      </w:pPr>
    </w:p>
    <w:p w:rsidR="006F2A15" w:rsidRPr="004E6412" w:rsidRDefault="006F2A15" w:rsidP="00D0360D">
      <w:pPr>
        <w:spacing w:after="200"/>
        <w:contextualSpacing/>
        <w:jc w:val="left"/>
        <w:rPr>
          <w:rFonts w:eastAsia="HelveticaNeueLTPro-BdCn"/>
          <w:sz w:val="22"/>
        </w:rPr>
      </w:pPr>
    </w:p>
    <w:p w:rsidR="00D0360D" w:rsidRPr="004E6412" w:rsidRDefault="00D0360D" w:rsidP="00FA5F29">
      <w:pPr>
        <w:numPr>
          <w:ilvl w:val="0"/>
          <w:numId w:val="74"/>
        </w:numPr>
        <w:autoSpaceDE w:val="0"/>
        <w:autoSpaceDN w:val="0"/>
        <w:adjustRightInd w:val="0"/>
        <w:contextualSpacing/>
        <w:rPr>
          <w:rFonts w:eastAsia="HelveticaNeueLTPro-BdCn"/>
          <w:sz w:val="22"/>
        </w:rPr>
      </w:pPr>
      <w:r w:rsidRPr="004E6412">
        <w:rPr>
          <w:sz w:val="22"/>
        </w:rPr>
        <w:t>Ako se iz ukupnog broja nezaposlenih izdvoje osobe koje su prethodno bile zaposlene, njihova se struktura može promatrati prema djelatnosti prethodnog zaposlenja. Povećanje je zabilježeno u gotovo svim djelatnostima, a najviše (51,75%) je izraženo u</w:t>
      </w:r>
      <w:r w:rsidR="004823E2" w:rsidRPr="004E6412">
        <w:rPr>
          <w:sz w:val="22"/>
        </w:rPr>
        <w:t xml:space="preserve"> javnoj upravi, djelatnosti ops</w:t>
      </w:r>
      <w:r w:rsidRPr="004E6412">
        <w:rPr>
          <w:sz w:val="22"/>
        </w:rPr>
        <w:t>k</w:t>
      </w:r>
      <w:r w:rsidR="004823E2" w:rsidRPr="004E6412">
        <w:rPr>
          <w:sz w:val="22"/>
        </w:rPr>
        <w:t>r</w:t>
      </w:r>
      <w:r w:rsidRPr="004E6412">
        <w:rPr>
          <w:sz w:val="22"/>
        </w:rPr>
        <w:t>be vodom i uklanjanja otpadnih voda i sanaciji okoliša (43,01%), te  obveznom socijalnom osiguranju i zdrav</w:t>
      </w:r>
      <w:r w:rsidR="00F10E5F" w:rsidRPr="004E6412">
        <w:rPr>
          <w:sz w:val="22"/>
        </w:rPr>
        <w:t>stvenoj zaštiti (31,0%). U velikoj mjeri</w:t>
      </w:r>
      <w:r w:rsidR="00EB5EC2" w:rsidRPr="004E6412">
        <w:rPr>
          <w:sz w:val="22"/>
        </w:rPr>
        <w:t xml:space="preserve"> </w:t>
      </w:r>
      <w:r w:rsidRPr="004E6412">
        <w:rPr>
          <w:sz w:val="22"/>
        </w:rPr>
        <w:t xml:space="preserve">povećao </w:t>
      </w:r>
      <w:r w:rsidR="00EB5EC2" w:rsidRPr="004E6412">
        <w:rPr>
          <w:sz w:val="22"/>
        </w:rPr>
        <w:t xml:space="preserve">se </w:t>
      </w:r>
      <w:r w:rsidRPr="004E6412">
        <w:rPr>
          <w:sz w:val="22"/>
        </w:rPr>
        <w:t>i broj nezaposlenih proizašlih iz djelatnosti obrazovanja (11,94%), te umjetnosti, zabave i rekreacije (17,</w:t>
      </w:r>
      <w:r w:rsidR="00EB5EC2" w:rsidRPr="004E6412">
        <w:rPr>
          <w:sz w:val="22"/>
        </w:rPr>
        <w:t xml:space="preserve">43%). Broj nezaposlenih </w:t>
      </w:r>
      <w:r w:rsidRPr="004E6412">
        <w:rPr>
          <w:sz w:val="22"/>
        </w:rPr>
        <w:t xml:space="preserve">smanjio </w:t>
      </w:r>
      <w:r w:rsidR="00EB5EC2" w:rsidRPr="004E6412">
        <w:rPr>
          <w:sz w:val="22"/>
        </w:rPr>
        <w:t xml:space="preserve">se samo </w:t>
      </w:r>
      <w:r w:rsidRPr="004E6412">
        <w:rPr>
          <w:sz w:val="22"/>
        </w:rPr>
        <w:t>kod osoba koje su prethodno bile zaposlene u</w:t>
      </w:r>
      <w:r w:rsidR="00EB5EC2" w:rsidRPr="004E6412">
        <w:rPr>
          <w:sz w:val="22"/>
        </w:rPr>
        <w:t xml:space="preserve"> djelatnosti rudarstva i iskopavanja</w:t>
      </w:r>
      <w:r w:rsidRPr="004E6412">
        <w:rPr>
          <w:sz w:val="22"/>
        </w:rPr>
        <w:t>, djelatnosti opskrbe električnom energijom i ostalim uslužnim djelatnostima.</w:t>
      </w:r>
    </w:p>
    <w:p w:rsidR="006556E0" w:rsidRPr="004E6412" w:rsidRDefault="006556E0" w:rsidP="006556E0">
      <w:pPr>
        <w:autoSpaceDE w:val="0"/>
        <w:autoSpaceDN w:val="0"/>
        <w:adjustRightInd w:val="0"/>
        <w:ind w:left="720"/>
        <w:contextualSpacing/>
        <w:rPr>
          <w:rFonts w:eastAsia="HelveticaNeueLTPro-BdCn"/>
          <w:sz w:val="22"/>
        </w:rPr>
      </w:pPr>
    </w:p>
    <w:p w:rsidR="00796208" w:rsidRPr="004E6412" w:rsidRDefault="00796208" w:rsidP="00FA5F29">
      <w:pPr>
        <w:numPr>
          <w:ilvl w:val="0"/>
          <w:numId w:val="74"/>
        </w:numPr>
        <w:autoSpaceDE w:val="0"/>
        <w:autoSpaceDN w:val="0"/>
        <w:adjustRightInd w:val="0"/>
        <w:contextualSpacing/>
        <w:rPr>
          <w:rFonts w:eastAsia="HelveticaNeueLTPro-BdCn"/>
          <w:sz w:val="22"/>
        </w:rPr>
      </w:pPr>
      <w:r w:rsidRPr="004E6412">
        <w:rPr>
          <w:sz w:val="22"/>
        </w:rPr>
        <w:t xml:space="preserve">Ukupan </w:t>
      </w:r>
      <w:r w:rsidR="00EB5EC2" w:rsidRPr="004E6412">
        <w:rPr>
          <w:sz w:val="22"/>
        </w:rPr>
        <w:t xml:space="preserve">se </w:t>
      </w:r>
      <w:r w:rsidRPr="004E6412">
        <w:rPr>
          <w:sz w:val="22"/>
        </w:rPr>
        <w:t>broj</w:t>
      </w:r>
      <w:r w:rsidR="00825896" w:rsidRPr="004E6412">
        <w:rPr>
          <w:sz w:val="22"/>
        </w:rPr>
        <w:t xml:space="preserve"> nezaposlenih osoba</w:t>
      </w:r>
      <w:r w:rsidR="00EB5EC2" w:rsidRPr="004E6412">
        <w:rPr>
          <w:sz w:val="22"/>
        </w:rPr>
        <w:t xml:space="preserve"> </w:t>
      </w:r>
      <w:r w:rsidRPr="004E6412">
        <w:rPr>
          <w:sz w:val="22"/>
        </w:rPr>
        <w:t xml:space="preserve">od 2011. do 2012. </w:t>
      </w:r>
      <w:r w:rsidR="00A97385" w:rsidRPr="004E6412">
        <w:rPr>
          <w:sz w:val="22"/>
        </w:rPr>
        <w:t>p</w:t>
      </w:r>
      <w:r w:rsidRPr="004E6412">
        <w:rPr>
          <w:sz w:val="22"/>
        </w:rPr>
        <w:t>ovećao za 18.99</w:t>
      </w:r>
      <w:r w:rsidR="00EB5EC2" w:rsidRPr="004E6412">
        <w:rPr>
          <w:sz w:val="22"/>
        </w:rPr>
        <w:t>1, dok je broj nezaposlenih koji su prethodno bili zaposleni</w:t>
      </w:r>
      <w:r w:rsidRPr="004E6412">
        <w:rPr>
          <w:sz w:val="22"/>
        </w:rPr>
        <w:t xml:space="preserve"> povećan za 14.821. To znači da je </w:t>
      </w:r>
      <w:r w:rsidR="00A97385" w:rsidRPr="004E6412">
        <w:rPr>
          <w:sz w:val="22"/>
        </w:rPr>
        <w:t xml:space="preserve">od 2011. do 2012. godine prijavljeno </w:t>
      </w:r>
      <w:r w:rsidRPr="004E6412">
        <w:rPr>
          <w:sz w:val="22"/>
        </w:rPr>
        <w:t xml:space="preserve">4.170 </w:t>
      </w:r>
      <w:r w:rsidR="00A97385" w:rsidRPr="004E6412">
        <w:rPr>
          <w:sz w:val="22"/>
        </w:rPr>
        <w:t xml:space="preserve">novih </w:t>
      </w:r>
      <w:r w:rsidRPr="004E6412">
        <w:rPr>
          <w:sz w:val="22"/>
        </w:rPr>
        <w:t>nezaposlen</w:t>
      </w:r>
      <w:r w:rsidR="00A97385" w:rsidRPr="004E6412">
        <w:rPr>
          <w:sz w:val="22"/>
        </w:rPr>
        <w:t xml:space="preserve">ih </w:t>
      </w:r>
      <w:r w:rsidRPr="004E6412">
        <w:rPr>
          <w:sz w:val="22"/>
        </w:rPr>
        <w:t>osoba</w:t>
      </w:r>
      <w:r w:rsidR="00EB5EC2" w:rsidRPr="004E6412">
        <w:rPr>
          <w:sz w:val="22"/>
        </w:rPr>
        <w:t xml:space="preserve"> za koje nije zabilježeno</w:t>
      </w:r>
      <w:r w:rsidR="00A97385" w:rsidRPr="004E6412">
        <w:rPr>
          <w:sz w:val="22"/>
        </w:rPr>
        <w:t xml:space="preserve"> prethodno zaposlenje.</w:t>
      </w:r>
    </w:p>
    <w:p w:rsidR="00D0360D" w:rsidRPr="004E6412" w:rsidRDefault="00D0360D" w:rsidP="00D0360D">
      <w:pPr>
        <w:spacing w:after="200"/>
        <w:ind w:left="720"/>
        <w:contextualSpacing/>
        <w:jc w:val="left"/>
        <w:rPr>
          <w:rFonts w:eastAsia="HelveticaNeueLTPro-BdCn"/>
          <w:sz w:val="22"/>
        </w:rPr>
      </w:pPr>
    </w:p>
    <w:p w:rsidR="00D0360D" w:rsidRPr="004E6412" w:rsidRDefault="00522233" w:rsidP="00FA5F29">
      <w:pPr>
        <w:numPr>
          <w:ilvl w:val="0"/>
          <w:numId w:val="74"/>
        </w:numPr>
        <w:spacing w:after="200"/>
        <w:contextualSpacing/>
        <w:jc w:val="left"/>
        <w:rPr>
          <w:rFonts w:eastAsia="HelveticaNeueLTPro-BdCn"/>
          <w:sz w:val="22"/>
        </w:rPr>
      </w:pPr>
      <w:r>
        <w:rPr>
          <w:rFonts w:eastAsia="HelveticaNeueLTPro-BdCn"/>
          <w:sz w:val="22"/>
        </w:rPr>
        <w:t>Tablica 23</w:t>
      </w:r>
      <w:r w:rsidR="00EB5EC2" w:rsidRPr="004E6412">
        <w:rPr>
          <w:rFonts w:eastAsia="HelveticaNeueLTPro-BdCn"/>
          <w:sz w:val="22"/>
        </w:rPr>
        <w:t>.</w:t>
      </w:r>
      <w:r w:rsidR="00D0360D" w:rsidRPr="004E6412">
        <w:rPr>
          <w:rFonts w:eastAsia="HelveticaNeueLTPro-BdCn"/>
          <w:sz w:val="22"/>
        </w:rPr>
        <w:t xml:space="preserve"> </w:t>
      </w:r>
      <w:r w:rsidR="004823E2" w:rsidRPr="004E6412">
        <w:rPr>
          <w:rFonts w:eastAsia="HelveticaNeueLTPro-BdCn"/>
          <w:sz w:val="22"/>
        </w:rPr>
        <w:t>prikazuje</w:t>
      </w:r>
      <w:r w:rsidR="00D0360D" w:rsidRPr="004E6412">
        <w:rPr>
          <w:rFonts w:eastAsia="HelveticaNeueLTPro-BdCn"/>
          <w:sz w:val="22"/>
        </w:rPr>
        <w:t xml:space="preserve"> područja prema NKD</w:t>
      </w:r>
      <w:r w:rsidR="00EB5EC2" w:rsidRPr="004E6412">
        <w:rPr>
          <w:rFonts w:eastAsia="HelveticaNeueLTPro-BdCn"/>
          <w:sz w:val="22"/>
        </w:rPr>
        <w:t>-u u kojima je rastao broj novo-</w:t>
      </w:r>
      <w:r w:rsidR="00D0360D" w:rsidRPr="004E6412">
        <w:rPr>
          <w:rFonts w:eastAsia="HelveticaNeueLTPro-BdCn"/>
          <w:sz w:val="22"/>
        </w:rPr>
        <w:t xml:space="preserve">nezaposlenih osoba. </w:t>
      </w:r>
    </w:p>
    <w:p w:rsidR="00D0360D" w:rsidRPr="004E6412" w:rsidRDefault="00D0360D"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38" w:name="_Toc377551035"/>
      <w:bookmarkStart w:id="139" w:name="_Toc377635224"/>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23</w:t>
      </w:r>
      <w:r w:rsidRPr="007D0CFD">
        <w:rPr>
          <w:rStyle w:val="IntenseEmphasis"/>
          <w:b/>
          <w:bCs w:val="0"/>
          <w:iCs w:val="0"/>
          <w:color w:val="548DD4" w:themeColor="text2" w:themeTint="99"/>
          <w:sz w:val="20"/>
        </w:rPr>
        <w:t>. Prosječan broj nezaposlenih prema djelatnostima prethodnog zaposlenja (NKD 2007.), 2011. – 2012.</w:t>
      </w:r>
      <w:bookmarkEnd w:id="138"/>
      <w:bookmarkEnd w:id="139"/>
    </w:p>
    <w:tbl>
      <w:tblPr>
        <w:tblW w:w="0" w:type="auto"/>
        <w:tblLook w:val="04A0" w:firstRow="1" w:lastRow="0" w:firstColumn="1" w:lastColumn="0" w:noHBand="0" w:noVBand="1"/>
      </w:tblPr>
      <w:tblGrid>
        <w:gridCol w:w="368"/>
        <w:gridCol w:w="4447"/>
        <w:gridCol w:w="736"/>
        <w:gridCol w:w="736"/>
        <w:gridCol w:w="1445"/>
        <w:gridCol w:w="1554"/>
      </w:tblGrid>
      <w:tr w:rsidR="00D379D2" w:rsidRPr="004E6412" w:rsidTr="0097195F">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D379D2" w:rsidRPr="004E6412" w:rsidRDefault="0008774F" w:rsidP="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2011. - 2012. (2011 = 100)</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APSOLUTNA PROMJENA 2011. - 2012.</w:t>
            </w:r>
          </w:p>
        </w:tc>
      </w:tr>
      <w:tr w:rsidR="00D0360D" w:rsidRPr="004E6412" w:rsidTr="00D379D2">
        <w:trPr>
          <w:trHeight w:val="347"/>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1.131</w:t>
            </w:r>
          </w:p>
        </w:tc>
      </w:tr>
      <w:tr w:rsidR="00D0360D" w:rsidRPr="004E6412" w:rsidTr="00D379D2">
        <w:trPr>
          <w:trHeight w:val="24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93,62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w:t>
            </w:r>
          </w:p>
        </w:tc>
      </w:tr>
      <w:tr w:rsidR="00D0360D" w:rsidRPr="004E6412" w:rsidTr="00D379D2">
        <w:trPr>
          <w:trHeight w:val="3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55.864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56.841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977</w:t>
            </w:r>
          </w:p>
        </w:tc>
      </w:tr>
      <w:tr w:rsidR="00D0360D" w:rsidRPr="004E6412" w:rsidTr="00D379D2">
        <w:trPr>
          <w:trHeight w:val="416"/>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w:t>
            </w:r>
          </w:p>
        </w:tc>
      </w:tr>
      <w:tr w:rsidR="00D0360D" w:rsidRPr="004E6412" w:rsidTr="00D379D2">
        <w:trPr>
          <w:trHeight w:val="5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143,01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w:t>
            </w:r>
          </w:p>
        </w:tc>
      </w:tr>
      <w:tr w:rsidR="00D0360D" w:rsidRPr="004E6412" w:rsidTr="00D379D2">
        <w:trPr>
          <w:trHeight w:val="3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391</w:t>
            </w:r>
          </w:p>
        </w:tc>
      </w:tr>
      <w:tr w:rsidR="00D0360D" w:rsidRPr="004E6412" w:rsidTr="00D379D2">
        <w:trPr>
          <w:trHeight w:val="5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TRGOVINA NA VELIKO I </w:t>
            </w:r>
            <w:r w:rsidR="00D0360D" w:rsidRPr="004E6412">
              <w:rPr>
                <w:rFonts w:eastAsia="Times New Roman"/>
                <w:color w:val="000000"/>
                <w:sz w:val="16"/>
                <w:szCs w:val="16"/>
                <w:lang w:eastAsia="hr-HR"/>
              </w:rPr>
              <w:t>MALO; POPRAVAK MOTORNIH VOZILA I MOTOCIKALA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48.999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49.683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684</w:t>
            </w:r>
          </w:p>
        </w:tc>
      </w:tr>
      <w:tr w:rsidR="00D0360D" w:rsidRPr="004E6412" w:rsidTr="00D379D2">
        <w:trPr>
          <w:trHeight w:val="29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7.297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7.608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104,26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311</w:t>
            </w:r>
          </w:p>
        </w:tc>
      </w:tr>
      <w:tr w:rsidR="00D0360D" w:rsidRPr="004E6412" w:rsidTr="00D379D2">
        <w:trPr>
          <w:trHeight w:val="2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EB5EC2"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28.469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106,23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r>
      <w:tr w:rsidR="00D0360D" w:rsidRPr="004E6412" w:rsidTr="00D379D2">
        <w:trPr>
          <w:trHeight w:val="28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w:t>
            </w:r>
          </w:p>
        </w:tc>
      </w:tr>
      <w:tr w:rsidR="00D0360D" w:rsidRPr="004E6412" w:rsidTr="00D379D2">
        <w:trPr>
          <w:trHeight w:val="28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2.882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103,63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w:t>
            </w:r>
          </w:p>
        </w:tc>
      </w:tr>
      <w:tr w:rsidR="00D0360D" w:rsidRPr="004E6412" w:rsidTr="00D379D2">
        <w:trPr>
          <w:trHeight w:val="17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107,31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633</w:t>
            </w:r>
          </w:p>
        </w:tc>
      </w:tr>
      <w:tr w:rsidR="00D0360D" w:rsidRPr="004E6412" w:rsidTr="00D379D2">
        <w:trPr>
          <w:trHeight w:val="25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113,49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1.416</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w:t>
            </w:r>
          </w:p>
        </w:tc>
      </w:tr>
      <w:tr w:rsidR="00D0360D" w:rsidRPr="004E6412" w:rsidTr="00D379D2">
        <w:trPr>
          <w:trHeight w:val="21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5.915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6.621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r>
      <w:tr w:rsidR="00D0360D" w:rsidRPr="004E6412" w:rsidTr="00D379D2">
        <w:trPr>
          <w:trHeight w:val="28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1.591</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443</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-899</w:t>
            </w:r>
          </w:p>
        </w:tc>
      </w:tr>
      <w:tr w:rsidR="00D0360D" w:rsidRPr="004E6412" w:rsidTr="00D379D2">
        <w:trPr>
          <w:trHeight w:val="4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DB5A75"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w:t>
            </w:r>
          </w:p>
        </w:tc>
      </w:tr>
      <w:tr w:rsidR="00D0360D" w:rsidRPr="004E6412" w:rsidTr="00D379D2">
        <w:trPr>
          <w:trHeight w:val="3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89,74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w:t>
            </w:r>
          </w:p>
        </w:tc>
      </w:tr>
      <w:tr w:rsidR="00D0360D" w:rsidRPr="004E6412" w:rsidTr="00D379D2">
        <w:trPr>
          <w:trHeight w:val="300"/>
        </w:trPr>
        <w:tc>
          <w:tcPr>
            <w:tcW w:w="0" w:type="auto"/>
            <w:tcBorders>
              <w:top w:val="nil"/>
              <w:left w:val="nil"/>
              <w:bottom w:val="nil"/>
              <w:right w:val="nil"/>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p>
        </w:tc>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252.227</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267.048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14.821</w:t>
            </w:r>
          </w:p>
        </w:tc>
      </w:tr>
    </w:tbl>
    <w:p w:rsidR="00D0360D" w:rsidRPr="004E6412" w:rsidRDefault="00D0360D" w:rsidP="00D0360D">
      <w:pPr>
        <w:rPr>
          <w:rFonts w:eastAsia="HelveticaNeueLTPro-BdCn"/>
        </w:rPr>
      </w:pPr>
      <w:r w:rsidRPr="004E6412">
        <w:rPr>
          <w:sz w:val="20"/>
          <w:szCs w:val="20"/>
        </w:rPr>
        <w:t>Izvor: Državni zav</w:t>
      </w:r>
      <w:r w:rsidR="00F16357" w:rsidRPr="004E6412">
        <w:rPr>
          <w:sz w:val="20"/>
          <w:szCs w:val="20"/>
        </w:rPr>
        <w:t xml:space="preserve">od za statistiku. Dostupno na: </w:t>
      </w:r>
      <w:r w:rsidRPr="004E6412">
        <w:rPr>
          <w:sz w:val="20"/>
          <w:szCs w:val="20"/>
        </w:rPr>
        <w:t xml:space="preserve">www.dzs.hr [11.7.2013.]. </w:t>
      </w:r>
      <w:r w:rsidR="00F16357" w:rsidRPr="004E6412">
        <w:rPr>
          <w:sz w:val="20"/>
          <w:szCs w:val="20"/>
        </w:rPr>
        <w:t>Hrvatski zavod za zapošljavanje. D</w:t>
      </w:r>
      <w:r w:rsidRPr="004E6412">
        <w:rPr>
          <w:sz w:val="20"/>
          <w:szCs w:val="20"/>
        </w:rPr>
        <w:t xml:space="preserve">ostupno </w:t>
      </w:r>
      <w:r w:rsidR="00F16357" w:rsidRPr="004E6412">
        <w:rPr>
          <w:sz w:val="20"/>
          <w:szCs w:val="20"/>
        </w:rPr>
        <w:t xml:space="preserve">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bookmarkStart w:id="140" w:name="_Toc372308897"/>
    </w:p>
    <w:p w:rsidR="00D0360D" w:rsidRPr="004E6412" w:rsidRDefault="00D0360D" w:rsidP="00D0360D">
      <w:pPr>
        <w:pStyle w:val="Heading4"/>
        <w:rPr>
          <w:rFonts w:eastAsia="Calibri"/>
        </w:rPr>
      </w:pPr>
      <w:bookmarkStart w:id="141" w:name="_Toc372554007"/>
      <w:bookmarkEnd w:id="140"/>
      <w:r w:rsidRPr="004E6412">
        <w:rPr>
          <w:rFonts w:eastAsia="Calibri"/>
        </w:rPr>
        <w:t>Potražnja za radnom snagom i zapošljavanje</w:t>
      </w:r>
      <w:bookmarkEnd w:id="141"/>
    </w:p>
    <w:p w:rsidR="00D0360D" w:rsidRPr="004E6412" w:rsidRDefault="00C87FA7" w:rsidP="00B15A78">
      <w:pPr>
        <w:numPr>
          <w:ilvl w:val="0"/>
          <w:numId w:val="146"/>
        </w:numPr>
        <w:spacing w:after="200"/>
        <w:contextualSpacing/>
        <w:rPr>
          <w:sz w:val="22"/>
          <w:lang w:eastAsia="hr-HR"/>
        </w:rPr>
      </w:pPr>
      <w:r w:rsidRPr="004E6412">
        <w:rPr>
          <w:sz w:val="22"/>
          <w:lang w:eastAsia="hr-HR"/>
        </w:rPr>
        <w:t>U</w:t>
      </w:r>
      <w:r w:rsidR="00D0360D" w:rsidRPr="004E6412">
        <w:rPr>
          <w:sz w:val="22"/>
          <w:lang w:eastAsia="hr-HR"/>
        </w:rPr>
        <w:t xml:space="preserve"> 2012. godini poslodavci su </w:t>
      </w:r>
      <w:r w:rsidRPr="004E6412">
        <w:rPr>
          <w:sz w:val="22"/>
          <w:lang w:eastAsia="hr-HR"/>
        </w:rPr>
        <w:t xml:space="preserve">Hrvatskom zavodu za zapošljavanje </w:t>
      </w:r>
      <w:r w:rsidR="00D0360D" w:rsidRPr="004E6412">
        <w:rPr>
          <w:sz w:val="22"/>
          <w:lang w:eastAsia="hr-HR"/>
        </w:rPr>
        <w:t>prijavili 131.927 slobodnih rad</w:t>
      </w:r>
      <w:r w:rsidR="00A942FF" w:rsidRPr="004E6412">
        <w:rPr>
          <w:sz w:val="22"/>
          <w:lang w:eastAsia="hr-HR"/>
        </w:rPr>
        <w:t>nih mjesta, što je 5,1% više</w:t>
      </w:r>
      <w:r w:rsidR="00D0360D" w:rsidRPr="004E6412">
        <w:rPr>
          <w:sz w:val="22"/>
          <w:lang w:eastAsia="hr-HR"/>
        </w:rPr>
        <w:t xml:space="preserve"> od 125.578 prijavljenih slobodnih radnih mjesta u 2011.</w:t>
      </w:r>
      <w:r w:rsidR="00A942FF" w:rsidRPr="004E6412">
        <w:rPr>
          <w:sz w:val="22"/>
          <w:lang w:eastAsia="hr-HR"/>
        </w:rPr>
        <w:t xml:space="preserve"> godini. </w:t>
      </w:r>
      <w:r w:rsidR="00D0360D" w:rsidRPr="004E6412">
        <w:rPr>
          <w:sz w:val="22"/>
          <w:lang w:eastAsia="hr-HR"/>
        </w:rPr>
        <w:t>U 2010. godini prijavljeno je 104.739 slobodnih radn</w:t>
      </w:r>
      <w:r w:rsidR="00A942FF" w:rsidRPr="004E6412">
        <w:rPr>
          <w:sz w:val="22"/>
          <w:lang w:eastAsia="hr-HR"/>
        </w:rPr>
        <w:t>ih mjesta, u 2009. godini</w:t>
      </w:r>
      <w:r w:rsidR="00F16357" w:rsidRPr="004E6412">
        <w:rPr>
          <w:sz w:val="22"/>
          <w:lang w:eastAsia="hr-HR"/>
        </w:rPr>
        <w:t xml:space="preserve"> 102.427, dok su</w:t>
      </w:r>
      <w:r w:rsidR="00D0360D" w:rsidRPr="004E6412">
        <w:rPr>
          <w:sz w:val="22"/>
          <w:lang w:eastAsia="hr-HR"/>
        </w:rPr>
        <w:t xml:space="preserve"> u 2008. godini bi</w:t>
      </w:r>
      <w:r w:rsidR="00F16357" w:rsidRPr="004E6412">
        <w:rPr>
          <w:sz w:val="22"/>
          <w:lang w:eastAsia="hr-HR"/>
        </w:rPr>
        <w:t>la prijavljena 141.793 slobodna radna</w:t>
      </w:r>
      <w:r w:rsidR="00D0360D" w:rsidRPr="004E6412">
        <w:rPr>
          <w:sz w:val="22"/>
          <w:lang w:eastAsia="hr-HR"/>
        </w:rPr>
        <w:t xml:space="preserve"> mjesta.</w:t>
      </w:r>
    </w:p>
    <w:p w:rsidR="00D0360D" w:rsidRPr="004E6412" w:rsidRDefault="00D0360D" w:rsidP="00D0360D">
      <w:pPr>
        <w:rPr>
          <w:sz w:val="22"/>
          <w:lang w:eastAsia="hr-HR"/>
        </w:rPr>
      </w:pPr>
    </w:p>
    <w:p w:rsidR="00D0360D" w:rsidRPr="004E6412" w:rsidRDefault="00D0360D" w:rsidP="00B15A78">
      <w:pPr>
        <w:numPr>
          <w:ilvl w:val="0"/>
          <w:numId w:val="146"/>
        </w:numPr>
        <w:spacing w:after="200"/>
        <w:contextualSpacing/>
        <w:rPr>
          <w:sz w:val="22"/>
          <w:lang w:eastAsia="hr-HR"/>
        </w:rPr>
      </w:pPr>
      <w:r w:rsidRPr="004E6412">
        <w:rPr>
          <w:sz w:val="22"/>
          <w:lang w:eastAsia="hr-HR"/>
        </w:rPr>
        <w:t xml:space="preserve">Na tržištu rada </w:t>
      </w:r>
      <w:r w:rsidR="00A942FF" w:rsidRPr="004E6412">
        <w:rPr>
          <w:sz w:val="22"/>
          <w:lang w:eastAsia="hr-HR"/>
        </w:rPr>
        <w:t>važno je</w:t>
      </w:r>
      <w:r w:rsidRPr="004E6412">
        <w:rPr>
          <w:sz w:val="22"/>
          <w:lang w:eastAsia="hr-HR"/>
        </w:rPr>
        <w:t xml:space="preserve"> analizirati najnovije promjene u broju slobodnih radnih m</w:t>
      </w:r>
      <w:r w:rsidR="00F16357" w:rsidRPr="004E6412">
        <w:rPr>
          <w:sz w:val="22"/>
          <w:lang w:eastAsia="hr-HR"/>
        </w:rPr>
        <w:t>jesta podijeljenih</w:t>
      </w:r>
      <w:r w:rsidR="004823E2" w:rsidRPr="004E6412">
        <w:rPr>
          <w:sz w:val="22"/>
          <w:lang w:eastAsia="hr-HR"/>
        </w:rPr>
        <w:t xml:space="preserve"> po područjim</w:t>
      </w:r>
      <w:r w:rsidRPr="004E6412">
        <w:rPr>
          <w:sz w:val="22"/>
          <w:lang w:eastAsia="hr-HR"/>
        </w:rPr>
        <w:t xml:space="preserve">a NKD-a. Uspoređujući taj broj </w:t>
      </w:r>
      <w:r w:rsidR="00F16357" w:rsidRPr="004E6412">
        <w:rPr>
          <w:sz w:val="22"/>
          <w:lang w:eastAsia="hr-HR"/>
        </w:rPr>
        <w:t>s brojem novozaposlenih osoba prema podacima Hrvatskog z</w:t>
      </w:r>
      <w:r w:rsidRPr="004E6412">
        <w:rPr>
          <w:sz w:val="22"/>
          <w:lang w:eastAsia="hr-HR"/>
        </w:rPr>
        <w:t>avoda za zapošljavanje</w:t>
      </w:r>
      <w:r w:rsidR="00F16357" w:rsidRPr="004E6412">
        <w:rPr>
          <w:sz w:val="22"/>
          <w:lang w:eastAsia="hr-HR"/>
        </w:rPr>
        <w:t>, stječe</w:t>
      </w:r>
      <w:r w:rsidRPr="004E6412">
        <w:rPr>
          <w:sz w:val="22"/>
          <w:lang w:eastAsia="hr-HR"/>
        </w:rPr>
        <w:t xml:space="preserve"> se uvid u pot</w:t>
      </w:r>
      <w:r w:rsidR="00F16357" w:rsidRPr="004E6412">
        <w:rPr>
          <w:sz w:val="22"/>
          <w:lang w:eastAsia="hr-HR"/>
        </w:rPr>
        <w:t>ražnju za radnom snagom i stvaran broj osoba koje</w:t>
      </w:r>
      <w:r w:rsidRPr="004E6412">
        <w:rPr>
          <w:sz w:val="22"/>
          <w:lang w:eastAsia="hr-HR"/>
        </w:rPr>
        <w:t xml:space="preserve"> se zapošljava</w:t>
      </w:r>
      <w:r w:rsidR="00F16357" w:rsidRPr="004E6412">
        <w:rPr>
          <w:sz w:val="22"/>
          <w:lang w:eastAsia="hr-HR"/>
        </w:rPr>
        <w:t>ju</w:t>
      </w:r>
      <w:r w:rsidRPr="004E6412">
        <w:rPr>
          <w:sz w:val="22"/>
          <w:lang w:eastAsia="hr-HR"/>
        </w:rPr>
        <w:t xml:space="preserve"> u određenoj djelatnosti.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lastRenderedPageBreak/>
        <w:t>S</w:t>
      </w:r>
      <w:r w:rsidR="00D0360D" w:rsidRPr="004E6412">
        <w:rPr>
          <w:sz w:val="22"/>
          <w:lang w:eastAsia="hr-HR"/>
        </w:rPr>
        <w:t>lika</w:t>
      </w:r>
      <w:r w:rsidR="004D38A5" w:rsidRPr="004E6412">
        <w:rPr>
          <w:sz w:val="22"/>
          <w:lang w:eastAsia="hr-HR"/>
        </w:rPr>
        <w:t xml:space="preserve"> 18</w:t>
      </w:r>
      <w:r w:rsidR="00F16357" w:rsidRPr="004E6412">
        <w:rPr>
          <w:sz w:val="22"/>
          <w:lang w:eastAsia="hr-HR"/>
        </w:rPr>
        <w:t>.</w:t>
      </w:r>
      <w:r w:rsidR="00D0360D" w:rsidRPr="004E6412">
        <w:rPr>
          <w:sz w:val="22"/>
          <w:lang w:eastAsia="hr-HR"/>
        </w:rPr>
        <w:t xml:space="preserve"> prikazuje odnos slobo</w:t>
      </w:r>
      <w:r w:rsidR="00F16357" w:rsidRPr="004E6412">
        <w:rPr>
          <w:sz w:val="22"/>
          <w:lang w:eastAsia="hr-HR"/>
        </w:rPr>
        <w:t>dnih radnih mjesta zabilježenih</w:t>
      </w:r>
      <w:r w:rsidR="00D0360D" w:rsidRPr="004E6412">
        <w:rPr>
          <w:sz w:val="22"/>
          <w:lang w:eastAsia="hr-HR"/>
        </w:rPr>
        <w:t xml:space="preserve"> krajem pet promatranih godina i broja zaposlenih osoba. Vidljivo je da nakon pada u 2009. </w:t>
      </w:r>
      <w:r w:rsidR="00F16357" w:rsidRPr="004E6412">
        <w:rPr>
          <w:sz w:val="22"/>
          <w:lang w:eastAsia="hr-HR"/>
        </w:rPr>
        <w:t>godini oba pokazatelja</w:t>
      </w:r>
      <w:r w:rsidR="00D0360D" w:rsidRPr="004E6412">
        <w:rPr>
          <w:sz w:val="22"/>
          <w:lang w:eastAsia="hr-HR"/>
        </w:rPr>
        <w:t xml:space="preserve"> potražnje za rad</w:t>
      </w:r>
      <w:r w:rsidR="00F16357" w:rsidRPr="004E6412">
        <w:rPr>
          <w:sz w:val="22"/>
          <w:lang w:eastAsia="hr-HR"/>
        </w:rPr>
        <w:t>nicima rastu od 2010. godine na</w:t>
      </w:r>
      <w:r w:rsidR="00D0360D" w:rsidRPr="004E6412">
        <w:rPr>
          <w:sz w:val="22"/>
          <w:lang w:eastAsia="hr-HR"/>
        </w:rPr>
        <w:t>dalje, uz usporavanje rasta prema 2012.</w:t>
      </w:r>
      <w:r w:rsidR="00F16357" w:rsidRPr="004E6412">
        <w:rPr>
          <w:sz w:val="22"/>
          <w:lang w:eastAsia="hr-HR"/>
        </w:rPr>
        <w:t xml:space="preserve"> godini.</w:t>
      </w:r>
      <w:r w:rsidR="00D0360D" w:rsidRPr="004E6412">
        <w:rPr>
          <w:sz w:val="22"/>
          <w:lang w:eastAsia="hr-HR"/>
        </w:rPr>
        <w:t xml:space="preserve">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t>Vidljivo je kako</w:t>
      </w:r>
      <w:r w:rsidR="00D0360D" w:rsidRPr="004E6412">
        <w:rPr>
          <w:sz w:val="22"/>
          <w:lang w:eastAsia="hr-HR"/>
        </w:rPr>
        <w:t xml:space="preserve"> broj prijavljenih slobodnih radnih mjesta nije do kraja 2012. nadmašio </w:t>
      </w:r>
      <w:r w:rsidR="00874C8E" w:rsidRPr="004E6412">
        <w:rPr>
          <w:sz w:val="22"/>
          <w:lang w:eastAsia="hr-HR"/>
        </w:rPr>
        <w:t>broj iz 2008., dok je broj novo</w:t>
      </w:r>
      <w:r w:rsidR="00F16357" w:rsidRPr="004E6412">
        <w:rPr>
          <w:sz w:val="22"/>
          <w:lang w:eastAsia="hr-HR"/>
        </w:rPr>
        <w:t>zaposlenih osoba prema podacima</w:t>
      </w:r>
      <w:r w:rsidR="00C87FA7" w:rsidRPr="004E6412">
        <w:rPr>
          <w:sz w:val="22"/>
          <w:lang w:eastAsia="hr-HR"/>
        </w:rPr>
        <w:t xml:space="preserve"> Hrvatskog z</w:t>
      </w:r>
      <w:r w:rsidR="00D0360D" w:rsidRPr="004E6412">
        <w:rPr>
          <w:sz w:val="22"/>
          <w:lang w:eastAsia="hr-HR"/>
        </w:rPr>
        <w:t>avoda</w:t>
      </w:r>
      <w:r w:rsidR="00C87FA7" w:rsidRPr="004E6412">
        <w:rPr>
          <w:sz w:val="22"/>
          <w:lang w:eastAsia="hr-HR"/>
        </w:rPr>
        <w:t xml:space="preserve"> za zapošljavanje</w:t>
      </w:r>
      <w:r w:rsidR="00D0360D" w:rsidRPr="004E6412">
        <w:rPr>
          <w:sz w:val="22"/>
          <w:lang w:eastAsia="hr-HR"/>
        </w:rPr>
        <w:t xml:space="preserve"> znatno povećan, te je već 2009. nadmašio broj prijavljenih slobodnih radnih mjesta. </w:t>
      </w:r>
    </w:p>
    <w:p w:rsidR="00D0360D" w:rsidRPr="004E6412" w:rsidRDefault="00D0360D" w:rsidP="00D0360D"/>
    <w:p w:rsidR="00D0360D" w:rsidRPr="004E6412" w:rsidRDefault="00D0360D" w:rsidP="00755B73">
      <w:pPr>
        <w:pStyle w:val="Subtitle"/>
        <w:rPr>
          <w:rFonts w:eastAsia="HelveticaNeueLTPro-BdCn"/>
          <w:sz w:val="22"/>
          <w:szCs w:val="18"/>
          <w:lang w:val="hr-HR" w:eastAsia="hr-HR"/>
        </w:rPr>
      </w:pPr>
      <w:bookmarkStart w:id="142" w:name="_Toc37763534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8</w:t>
      </w:r>
      <w:r w:rsidRPr="004E6412">
        <w:rPr>
          <w:rFonts w:eastAsia="Calibri"/>
          <w:szCs w:val="18"/>
          <w:lang w:val="hr-HR" w:eastAsia="hr-HR"/>
        </w:rPr>
        <w:t xml:space="preserve">. </w:t>
      </w:r>
      <w:r w:rsidRPr="004E6412">
        <w:rPr>
          <w:lang w:val="hr-HR" w:eastAsia="hr-HR"/>
        </w:rPr>
        <w:t>Odnos broja slobodnih radnih mjesta</w:t>
      </w:r>
      <w:r w:rsidR="00F16357" w:rsidRPr="004E6412">
        <w:rPr>
          <w:lang w:val="hr-HR" w:eastAsia="hr-HR"/>
        </w:rPr>
        <w:t xml:space="preserve"> i broja zaposlenih prema podacima</w:t>
      </w:r>
      <w:r w:rsidRPr="004E6412">
        <w:rPr>
          <w:lang w:val="hr-HR" w:eastAsia="hr-HR"/>
        </w:rPr>
        <w:t xml:space="preserve"> </w:t>
      </w:r>
      <w:r w:rsidR="00C87FA7" w:rsidRPr="004E6412">
        <w:rPr>
          <w:lang w:val="hr-HR" w:eastAsia="hr-HR"/>
        </w:rPr>
        <w:t>Hrvatskog zavoda za zapošljavanje</w:t>
      </w:r>
      <w:r w:rsidRPr="004E6412">
        <w:rPr>
          <w:lang w:val="hr-HR" w:eastAsia="hr-HR"/>
        </w:rPr>
        <w:t>, 2008. – 2012.</w:t>
      </w:r>
      <w:bookmarkEnd w:id="142"/>
    </w:p>
    <w:p w:rsidR="00D0360D" w:rsidRPr="004E6412" w:rsidRDefault="001E199D" w:rsidP="00D0360D">
      <w:pPr>
        <w:rPr>
          <w:lang w:eastAsia="hr-HR"/>
        </w:rPr>
      </w:pPr>
      <w:r w:rsidRPr="004E6412">
        <w:rPr>
          <w:noProof/>
          <w:lang w:eastAsia="hr-HR"/>
        </w:rPr>
        <w:drawing>
          <wp:inline distT="0" distB="0" distL="0" distR="0" wp14:anchorId="2A4020E7" wp14:editId="793B0FD0">
            <wp:extent cx="5753994" cy="2339594"/>
            <wp:effectExtent l="6093" t="6096" r="4443" b="7620"/>
            <wp:docPr id="1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360D" w:rsidRPr="004E6412" w:rsidRDefault="00D0360D" w:rsidP="00D0360D">
      <w:pPr>
        <w:rPr>
          <w:rFonts w:eastAsia="HelveticaNeueLTPro-BdCn"/>
        </w:rPr>
      </w:pPr>
      <w:r w:rsidRPr="004E6412">
        <w:rPr>
          <w:sz w:val="20"/>
          <w:szCs w:val="20"/>
        </w:rPr>
        <w:t xml:space="preserve">Izvor: </w:t>
      </w:r>
      <w:r w:rsidR="00F16357" w:rsidRPr="004E6412">
        <w:rPr>
          <w:sz w:val="20"/>
          <w:szCs w:val="20"/>
        </w:rPr>
        <w:t>Hrvatski zavod za zapošljavanje. D</w:t>
      </w:r>
      <w:r w:rsidRPr="004E6412">
        <w:rPr>
          <w:sz w:val="20"/>
          <w:szCs w:val="20"/>
        </w:rPr>
        <w:t>ostupno na</w:t>
      </w:r>
      <w:r w:rsidR="00F16357" w:rsidRPr="004E6412">
        <w:rPr>
          <w:sz w:val="20"/>
          <w:szCs w:val="20"/>
        </w:rPr>
        <w:t xml:space="preserve">: www.hzz.hr [11.7.2013.]; </w:t>
      </w:r>
      <w:r w:rsidRPr="004E6412">
        <w:rPr>
          <w:sz w:val="20"/>
          <w:szCs w:val="20"/>
        </w:rPr>
        <w:t>obrada autora.</w:t>
      </w:r>
    </w:p>
    <w:p w:rsidR="00D0360D" w:rsidRPr="004E6412" w:rsidRDefault="00D0360D" w:rsidP="00D0360D">
      <w:pPr>
        <w:rPr>
          <w:sz w:val="22"/>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Najviše slobodnih radnih mjesta u 2012. d</w:t>
      </w:r>
      <w:r w:rsidR="00F16357" w:rsidRPr="004E6412">
        <w:rPr>
          <w:sz w:val="22"/>
          <w:lang w:eastAsia="hr-HR"/>
        </w:rPr>
        <w:t>olazi iz područja obrazovanja s</w:t>
      </w:r>
      <w:r w:rsidRPr="004E6412">
        <w:rPr>
          <w:sz w:val="22"/>
          <w:lang w:eastAsia="hr-HR"/>
        </w:rPr>
        <w:t xml:space="preserve"> udjelom u ukupnom broju slobodnih radnih</w:t>
      </w:r>
      <w:r w:rsidR="00F16357" w:rsidRPr="004E6412">
        <w:rPr>
          <w:sz w:val="22"/>
          <w:lang w:eastAsia="hr-HR"/>
        </w:rPr>
        <w:t xml:space="preserve"> mjesta od 14,02%. Potom </w:t>
      </w:r>
      <w:r w:rsidRPr="004E6412">
        <w:rPr>
          <w:sz w:val="22"/>
          <w:lang w:eastAsia="hr-HR"/>
        </w:rPr>
        <w:t>slijedi područje pr</w:t>
      </w:r>
      <w:r w:rsidR="00F16357" w:rsidRPr="004E6412">
        <w:rPr>
          <w:sz w:val="22"/>
          <w:lang w:eastAsia="hr-HR"/>
        </w:rPr>
        <w:t>užanja smještaja te pripreme i posluživanja hrane s</w:t>
      </w:r>
      <w:r w:rsidRPr="004E6412">
        <w:rPr>
          <w:sz w:val="22"/>
          <w:lang w:eastAsia="hr-HR"/>
        </w:rPr>
        <w:t xml:space="preserve"> udjelom od 13,18%. Prerađivačka </w:t>
      </w:r>
      <w:r w:rsidR="00F16357" w:rsidRPr="004E6412">
        <w:rPr>
          <w:sz w:val="22"/>
          <w:lang w:eastAsia="hr-HR"/>
        </w:rPr>
        <w:t>je industrija tek na trećem mjestu s</w:t>
      </w:r>
      <w:r w:rsidRPr="004E6412">
        <w:rPr>
          <w:sz w:val="22"/>
          <w:lang w:eastAsia="hr-HR"/>
        </w:rPr>
        <w:t xml:space="preserve"> udjelom od 11,91%. </w:t>
      </w:r>
    </w:p>
    <w:p w:rsidR="00D0360D" w:rsidRPr="004E6412" w:rsidRDefault="00D0360D" w:rsidP="00A942FF">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Najveće međugodišnje postotno povećanje slobodnih radnih mjesta</w:t>
      </w:r>
      <w:r w:rsidR="00A942FF" w:rsidRPr="004E6412">
        <w:rPr>
          <w:sz w:val="22"/>
          <w:lang w:eastAsia="hr-HR"/>
        </w:rPr>
        <w:t xml:space="preserve"> od 2011. do 2012. godine</w:t>
      </w:r>
      <w:r w:rsidRPr="004E6412">
        <w:rPr>
          <w:sz w:val="22"/>
          <w:lang w:eastAsia="hr-HR"/>
        </w:rPr>
        <w:t xml:space="preserve"> ostvareno je u stručnim, znanstvenim i tehničkim djelatnostima </w:t>
      </w:r>
      <w:r w:rsidR="00A942FF" w:rsidRPr="004E6412">
        <w:rPr>
          <w:sz w:val="22"/>
          <w:lang w:eastAsia="hr-HR"/>
        </w:rPr>
        <w:t>(</w:t>
      </w:r>
      <w:r w:rsidRPr="004E6412">
        <w:rPr>
          <w:sz w:val="22"/>
          <w:lang w:eastAsia="hr-HR"/>
        </w:rPr>
        <w:t>69,74%</w:t>
      </w:r>
      <w:r w:rsidR="00A942FF" w:rsidRPr="004E6412">
        <w:rPr>
          <w:sz w:val="22"/>
          <w:lang w:eastAsia="hr-HR"/>
        </w:rPr>
        <w:t>)</w:t>
      </w:r>
      <w:r w:rsidRPr="004E6412">
        <w:rPr>
          <w:sz w:val="22"/>
          <w:lang w:eastAsia="hr-HR"/>
        </w:rPr>
        <w:t>, iza kojih slijedi javna uprava sa 45,93%, a na trećem mjestu je poslovanje nekretninama sa 42,31%. U brojčanom povećanju prednjači javna uprava sa 4.535 slobodnih radnih mjesta više nego što ih je im</w:t>
      </w:r>
      <w:r w:rsidR="00F16357" w:rsidRPr="004E6412">
        <w:rPr>
          <w:sz w:val="22"/>
          <w:lang w:eastAsia="hr-HR"/>
        </w:rPr>
        <w:t>ala u 2011. godini, a slijedi je obrazovanje s</w:t>
      </w:r>
      <w:r w:rsidRPr="004E6412">
        <w:rPr>
          <w:sz w:val="22"/>
          <w:lang w:eastAsia="hr-HR"/>
        </w:rPr>
        <w:t xml:space="preserve"> 825 </w:t>
      </w:r>
      <w:r w:rsidR="00F16357" w:rsidRPr="004E6412">
        <w:rPr>
          <w:sz w:val="22"/>
          <w:lang w:eastAsia="hr-HR"/>
        </w:rPr>
        <w:t>više slobodnih radnih mjesta</w:t>
      </w:r>
      <w:r w:rsidRPr="004E6412">
        <w:rPr>
          <w:sz w:val="22"/>
          <w:lang w:eastAsia="hr-HR"/>
        </w:rPr>
        <w:t>. Kad se gleda ukupan broj zaposlenih i prosječan broj slobodnih radnih mjesta, prerađivačka ind</w:t>
      </w:r>
      <w:r w:rsidR="00F16357" w:rsidRPr="004E6412">
        <w:rPr>
          <w:sz w:val="22"/>
          <w:lang w:eastAsia="hr-HR"/>
        </w:rPr>
        <w:t>ustrija ostvarila je velik pad s obzirom na broj</w:t>
      </w:r>
      <w:r w:rsidRPr="004E6412">
        <w:rPr>
          <w:sz w:val="22"/>
          <w:lang w:eastAsia="hr-HR"/>
        </w:rPr>
        <w:t xml:space="preserve"> slobodnih radnih mjes</w:t>
      </w:r>
      <w:r w:rsidR="00F16357" w:rsidRPr="004E6412">
        <w:rPr>
          <w:sz w:val="22"/>
          <w:lang w:eastAsia="hr-HR"/>
        </w:rPr>
        <w:t>ta od 2011. do 2012. (-14,78%, - 2.</w:t>
      </w:r>
      <w:r w:rsidRPr="004E6412">
        <w:rPr>
          <w:sz w:val="22"/>
          <w:lang w:eastAsia="hr-HR"/>
        </w:rPr>
        <w:t>712 mjesta).</w:t>
      </w:r>
    </w:p>
    <w:p w:rsidR="00D0360D" w:rsidRPr="004E6412" w:rsidRDefault="00D0360D" w:rsidP="00D0360D">
      <w:pPr>
        <w:spacing w:after="200"/>
        <w:ind w:left="720"/>
        <w:contextualSpacing/>
        <w:jc w:val="left"/>
        <w:rPr>
          <w:sz w:val="22"/>
          <w:lang w:eastAsia="hr-HR"/>
        </w:rPr>
      </w:pPr>
    </w:p>
    <w:p w:rsidR="00D0360D" w:rsidRPr="004E6412" w:rsidRDefault="00874C8E" w:rsidP="00B15A78">
      <w:pPr>
        <w:numPr>
          <w:ilvl w:val="0"/>
          <w:numId w:val="147"/>
        </w:numPr>
        <w:spacing w:after="200"/>
        <w:contextualSpacing/>
        <w:rPr>
          <w:sz w:val="22"/>
          <w:lang w:eastAsia="hr-HR"/>
        </w:rPr>
      </w:pPr>
      <w:r w:rsidRPr="004E6412">
        <w:rPr>
          <w:sz w:val="22"/>
          <w:lang w:eastAsia="hr-HR"/>
        </w:rPr>
        <w:t>U petogodišnjem razdoblju</w:t>
      </w:r>
      <w:r w:rsidR="00A942FF" w:rsidRPr="004E6412">
        <w:rPr>
          <w:sz w:val="22"/>
          <w:lang w:eastAsia="hr-HR"/>
        </w:rPr>
        <w:t xml:space="preserve"> (2008.</w:t>
      </w:r>
      <w:r w:rsidR="00F16357" w:rsidRPr="004E6412">
        <w:rPr>
          <w:sz w:val="22"/>
          <w:lang w:eastAsia="hr-HR"/>
        </w:rPr>
        <w:t xml:space="preserve"> – </w:t>
      </w:r>
      <w:r w:rsidR="00A942FF" w:rsidRPr="004E6412">
        <w:rPr>
          <w:sz w:val="22"/>
          <w:lang w:eastAsia="hr-HR"/>
        </w:rPr>
        <w:t>2012.)</w:t>
      </w:r>
      <w:r w:rsidR="00590629" w:rsidRPr="004E6412">
        <w:rPr>
          <w:sz w:val="22"/>
          <w:lang w:eastAsia="hr-HR"/>
        </w:rPr>
        <w:t>,</w:t>
      </w:r>
      <w:r w:rsidR="00D0360D" w:rsidRPr="004E6412">
        <w:rPr>
          <w:sz w:val="22"/>
          <w:lang w:eastAsia="hr-HR"/>
        </w:rPr>
        <w:t xml:space="preserve"> prerađivačka industrija ostvarila je velik pad u broju slobodnih radnih mjesta</w:t>
      </w:r>
      <w:r w:rsidR="00590629" w:rsidRPr="004E6412">
        <w:rPr>
          <w:sz w:val="22"/>
          <w:lang w:eastAsia="hr-HR"/>
        </w:rPr>
        <w:t>,</w:t>
      </w:r>
      <w:r w:rsidR="00D0360D" w:rsidRPr="004E6412">
        <w:rPr>
          <w:sz w:val="22"/>
          <w:lang w:eastAsia="hr-HR"/>
        </w:rPr>
        <w:t xml:space="preserve"> i to za 35,69%. </w:t>
      </w:r>
      <w:r w:rsidRPr="004E6412">
        <w:rPr>
          <w:sz w:val="22"/>
          <w:lang w:eastAsia="hr-HR"/>
        </w:rPr>
        <w:t xml:space="preserve">Godine </w:t>
      </w:r>
      <w:r w:rsidR="00F16357" w:rsidRPr="004E6412">
        <w:rPr>
          <w:sz w:val="22"/>
          <w:lang w:eastAsia="hr-HR"/>
        </w:rPr>
        <w:t>2008. traž</w:t>
      </w:r>
      <w:r w:rsidR="003E6F23" w:rsidRPr="004E6412">
        <w:rPr>
          <w:sz w:val="22"/>
          <w:lang w:eastAsia="hr-HR"/>
        </w:rPr>
        <w:t>ilo se</w:t>
      </w:r>
      <w:r w:rsidR="00F16357" w:rsidRPr="004E6412">
        <w:rPr>
          <w:sz w:val="22"/>
          <w:lang w:eastAsia="hr-HR"/>
        </w:rPr>
        <w:t xml:space="preserve"> 24.431 zaposlenik</w:t>
      </w:r>
      <w:r w:rsidR="003E6F23" w:rsidRPr="004E6412">
        <w:rPr>
          <w:sz w:val="22"/>
          <w:lang w:eastAsia="hr-HR"/>
        </w:rPr>
        <w:t>a</w:t>
      </w:r>
      <w:r w:rsidR="00D0360D" w:rsidRPr="004E6412">
        <w:rPr>
          <w:sz w:val="22"/>
          <w:lang w:eastAsia="hr-HR"/>
        </w:rPr>
        <w:t>, da bi s</w:t>
      </w:r>
      <w:r w:rsidR="00590629" w:rsidRPr="004E6412">
        <w:rPr>
          <w:sz w:val="22"/>
          <w:lang w:eastAsia="hr-HR"/>
        </w:rPr>
        <w:t>e u 2012. taj broj sveo na</w:t>
      </w:r>
      <w:r w:rsidR="00D0360D" w:rsidRPr="004E6412">
        <w:rPr>
          <w:sz w:val="22"/>
          <w:lang w:eastAsia="hr-HR"/>
        </w:rPr>
        <w:t xml:space="preserve"> 15.712 zaposlenika.</w:t>
      </w:r>
    </w:p>
    <w:p w:rsidR="00D0360D" w:rsidRPr="004E6412" w:rsidRDefault="00D0360D" w:rsidP="00590629">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 xml:space="preserve">Ukupno po svim područjima, </w:t>
      </w:r>
      <w:r w:rsidR="003E6F23" w:rsidRPr="004E6412">
        <w:rPr>
          <w:sz w:val="22"/>
          <w:lang w:eastAsia="hr-HR"/>
        </w:rPr>
        <w:t xml:space="preserve">broj slobodnih radnih mjesta </w:t>
      </w:r>
      <w:r w:rsidRPr="004E6412">
        <w:rPr>
          <w:sz w:val="22"/>
          <w:lang w:eastAsia="hr-HR"/>
        </w:rPr>
        <w:t>p</w:t>
      </w:r>
      <w:r w:rsidR="00874C8E" w:rsidRPr="004E6412">
        <w:rPr>
          <w:sz w:val="22"/>
          <w:lang w:eastAsia="hr-HR"/>
        </w:rPr>
        <w:t xml:space="preserve">ovećao </w:t>
      </w:r>
      <w:r w:rsidR="003E6F23" w:rsidRPr="004E6412">
        <w:rPr>
          <w:sz w:val="22"/>
          <w:lang w:eastAsia="hr-HR"/>
        </w:rPr>
        <w:t xml:space="preserve">se </w:t>
      </w:r>
      <w:r w:rsidR="00874C8E" w:rsidRPr="004E6412">
        <w:rPr>
          <w:sz w:val="22"/>
          <w:lang w:eastAsia="hr-HR"/>
        </w:rPr>
        <w:t>za 5,06% od 2011. d</w:t>
      </w:r>
      <w:r w:rsidRPr="004E6412">
        <w:rPr>
          <w:sz w:val="22"/>
          <w:lang w:eastAsia="hr-HR"/>
        </w:rPr>
        <w:t xml:space="preserve">o 2012., ali je još uvijek manji za 7,03% od broja iz 2008. </w:t>
      </w:r>
    </w:p>
    <w:p w:rsidR="00D0360D" w:rsidRPr="004E6412" w:rsidRDefault="00D0360D" w:rsidP="00D0360D">
      <w:pPr>
        <w:autoSpaceDE w:val="0"/>
        <w:autoSpaceDN w:val="0"/>
        <w:adjustRightInd w:val="0"/>
      </w:pPr>
    </w:p>
    <w:p w:rsidR="00D379D2" w:rsidRPr="004E6412" w:rsidRDefault="00D379D2" w:rsidP="00D0360D">
      <w:pPr>
        <w:autoSpaceDE w:val="0"/>
        <w:autoSpaceDN w:val="0"/>
        <w:adjustRightInd w:val="0"/>
      </w:pPr>
    </w:p>
    <w:p w:rsidR="00D379D2" w:rsidRPr="004E6412" w:rsidRDefault="00D379D2"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43" w:name="_Toc377551036"/>
      <w:bookmarkStart w:id="144" w:name="_Toc377635225"/>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24</w:t>
      </w:r>
      <w:r w:rsidRPr="007D0CFD">
        <w:rPr>
          <w:rStyle w:val="IntenseEmphasis"/>
          <w:b/>
          <w:bCs w:val="0"/>
          <w:iCs w:val="0"/>
          <w:color w:val="548DD4" w:themeColor="text2" w:themeTint="99"/>
          <w:sz w:val="20"/>
        </w:rPr>
        <w:t>. Prijavljena slobodna radna mjesta prema područjima NKD-a (NKD 2007.), 2008. – 2012.</w:t>
      </w:r>
      <w:bookmarkEnd w:id="143"/>
      <w:bookmarkEnd w:id="144"/>
    </w:p>
    <w:tbl>
      <w:tblPr>
        <w:tblW w:w="5000" w:type="pct"/>
        <w:tblLook w:val="04A0" w:firstRow="1" w:lastRow="0" w:firstColumn="1" w:lastColumn="0" w:noHBand="0" w:noVBand="1"/>
      </w:tblPr>
      <w:tblGrid>
        <w:gridCol w:w="368"/>
        <w:gridCol w:w="2423"/>
        <w:gridCol w:w="736"/>
        <w:gridCol w:w="736"/>
        <w:gridCol w:w="736"/>
        <w:gridCol w:w="736"/>
        <w:gridCol w:w="736"/>
        <w:gridCol w:w="816"/>
        <w:gridCol w:w="36"/>
        <w:gridCol w:w="920"/>
        <w:gridCol w:w="61"/>
        <w:gridCol w:w="982"/>
      </w:tblGrid>
      <w:tr w:rsidR="0008774F" w:rsidRPr="004E6412" w:rsidTr="0097195F">
        <w:trPr>
          <w:trHeight w:val="420"/>
        </w:trPr>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p>
        </w:tc>
        <w:tc>
          <w:tcPr>
            <w:tcW w:w="1305"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396" w:type="pct"/>
            <w:tcBorders>
              <w:top w:val="single" w:sz="4" w:space="0" w:color="auto"/>
              <w:left w:val="nil"/>
              <w:bottom w:val="single" w:sz="4" w:space="0" w:color="auto"/>
              <w:right w:val="nil"/>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39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5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u 2012.</w:t>
            </w:r>
          </w:p>
        </w:tc>
        <w:tc>
          <w:tcPr>
            <w:tcW w:w="52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52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3.378</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78,0352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23,0079</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24.431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16.454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85,28</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64,3111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213,372</w:t>
            </w:r>
          </w:p>
        </w:tc>
      </w:tr>
      <w:tr w:rsidR="0008774F" w:rsidRPr="004E6412" w:rsidTr="00F60896">
        <w:trPr>
          <w:trHeight w:val="67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106,44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283,603</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8.484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7.916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50,9495</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23.844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14.248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60,2491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1.613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94,1996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3E6F23"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19.258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16.855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16.849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90,3085</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1.203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115,486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2.421</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134,422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124,621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4.717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3.638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6.175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169,74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6.664</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110,99</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66,0972</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4.599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3.426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14.409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145,93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313,331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17.671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18.496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133,694</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124,076</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1.933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130,21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147,564</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3.470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117,72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117,877</w:t>
            </w:r>
          </w:p>
        </w:tc>
      </w:tr>
      <w:tr w:rsidR="0008774F" w:rsidRPr="004E6412" w:rsidTr="00F60896">
        <w:trPr>
          <w:trHeight w:val="90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113,33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38,6467</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300,00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20,0143</w:t>
            </w:r>
          </w:p>
        </w:tc>
      </w:tr>
      <w:tr w:rsidR="0008774F" w:rsidRPr="004E6412" w:rsidTr="00F60896">
        <w:trPr>
          <w:trHeight w:val="225"/>
        </w:trPr>
        <w:tc>
          <w:tcPr>
            <w:tcW w:w="198" w:type="pct"/>
            <w:tcBorders>
              <w:top w:val="nil"/>
              <w:left w:val="nil"/>
              <w:bottom w:val="nil"/>
              <w:right w:val="nil"/>
            </w:tcBorders>
            <w:shd w:val="clear" w:color="auto" w:fill="auto"/>
            <w:noWrap/>
            <w:vAlign w:val="bottom"/>
          </w:tcPr>
          <w:p w:rsidR="0008774F" w:rsidRPr="004E6412" w:rsidRDefault="0008774F" w:rsidP="00F60896">
            <w:pPr>
              <w:spacing w:line="240" w:lineRule="auto"/>
              <w:jc w:val="left"/>
              <w:rPr>
                <w:rFonts w:eastAsia="Times New Roman"/>
                <w:color w:val="000000"/>
                <w:sz w:val="16"/>
                <w:szCs w:val="16"/>
                <w:lang w:eastAsia="hr-HR"/>
              </w:rPr>
            </w:pPr>
          </w:p>
        </w:tc>
        <w:tc>
          <w:tcPr>
            <w:tcW w:w="1305"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141.900</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102.427</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104.739</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125.578</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131.927</w:t>
            </w:r>
          </w:p>
        </w:tc>
        <w:tc>
          <w:tcPr>
            <w:tcW w:w="439" w:type="pct"/>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15"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105,06</w:t>
            </w:r>
          </w:p>
        </w:tc>
        <w:tc>
          <w:tcPr>
            <w:tcW w:w="562"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92,972</w:t>
            </w:r>
          </w:p>
        </w:tc>
      </w:tr>
    </w:tbl>
    <w:p w:rsidR="00D0360D" w:rsidRPr="004E6412" w:rsidRDefault="00D0360D" w:rsidP="00D0360D">
      <w:pPr>
        <w:rPr>
          <w:rFonts w:eastAsia="HelveticaNeueLTPro-BdCn"/>
        </w:rPr>
      </w:pPr>
      <w:r w:rsidRPr="004E6412">
        <w:rPr>
          <w:sz w:val="20"/>
          <w:szCs w:val="20"/>
        </w:rPr>
        <w:t xml:space="preserve">Izvor: </w:t>
      </w:r>
      <w:r w:rsidR="003E6F23" w:rsidRPr="004E6412">
        <w:rPr>
          <w:sz w:val="20"/>
          <w:szCs w:val="20"/>
        </w:rPr>
        <w:t>Hrvatski zavod za zapošljavanje. D</w:t>
      </w:r>
      <w:r w:rsidRPr="004E6412">
        <w:rPr>
          <w:sz w:val="20"/>
          <w:szCs w:val="20"/>
        </w:rPr>
        <w:t>ost</w:t>
      </w:r>
      <w:r w:rsidR="003E6F23" w:rsidRPr="004E6412">
        <w:rPr>
          <w:sz w:val="20"/>
          <w:szCs w:val="20"/>
        </w:rPr>
        <w:t>upno na www.hzz.hr [11.7.2013.];</w:t>
      </w:r>
      <w:r w:rsidRPr="004E6412">
        <w:rPr>
          <w:sz w:val="20"/>
          <w:szCs w:val="20"/>
        </w:rPr>
        <w:t xml:space="preserve"> obrada autora.</w:t>
      </w:r>
    </w:p>
    <w:p w:rsidR="00D0360D" w:rsidRPr="004E6412" w:rsidRDefault="00D0360D" w:rsidP="00D0360D">
      <w:pPr>
        <w:spacing w:after="120"/>
        <w:ind w:left="720"/>
        <w:contextualSpacing/>
        <w:rPr>
          <w:sz w:val="22"/>
        </w:rPr>
      </w:pPr>
    </w:p>
    <w:p w:rsidR="00D0360D" w:rsidRPr="004E6412" w:rsidRDefault="00590629" w:rsidP="00B15A78">
      <w:pPr>
        <w:numPr>
          <w:ilvl w:val="0"/>
          <w:numId w:val="148"/>
        </w:numPr>
        <w:spacing w:after="120"/>
        <w:contextualSpacing/>
        <w:rPr>
          <w:sz w:val="22"/>
        </w:rPr>
      </w:pPr>
      <w:r w:rsidRPr="004E6412">
        <w:rPr>
          <w:sz w:val="22"/>
        </w:rPr>
        <w:t>U razdoblju</w:t>
      </w:r>
      <w:r w:rsidR="00D0360D" w:rsidRPr="004E6412">
        <w:rPr>
          <w:sz w:val="22"/>
        </w:rPr>
        <w:t xml:space="preserve"> 2011.</w:t>
      </w:r>
      <w:r w:rsidR="003E6F23" w:rsidRPr="004E6412">
        <w:rPr>
          <w:sz w:val="22"/>
        </w:rPr>
        <w:t xml:space="preserve"> – 2012.</w:t>
      </w:r>
      <w:r w:rsidR="00D0360D" w:rsidRPr="004E6412">
        <w:rPr>
          <w:sz w:val="22"/>
        </w:rPr>
        <w:t xml:space="preserve"> djel</w:t>
      </w:r>
      <w:r w:rsidR="003E6F23" w:rsidRPr="004E6412">
        <w:rPr>
          <w:sz w:val="22"/>
        </w:rPr>
        <w:t xml:space="preserve">atnost javne uprave i obrane </w:t>
      </w:r>
      <w:r w:rsidR="00D0360D" w:rsidRPr="004E6412">
        <w:rPr>
          <w:sz w:val="22"/>
        </w:rPr>
        <w:t xml:space="preserve">ostvarila </w:t>
      </w:r>
      <w:r w:rsidR="003E6F23" w:rsidRPr="004E6412">
        <w:rPr>
          <w:sz w:val="22"/>
        </w:rPr>
        <w:t xml:space="preserve">je </w:t>
      </w:r>
      <w:r w:rsidR="00D0360D" w:rsidRPr="004E6412">
        <w:rPr>
          <w:sz w:val="22"/>
        </w:rPr>
        <w:t>najv</w:t>
      </w:r>
      <w:r w:rsidRPr="004E6412">
        <w:rPr>
          <w:sz w:val="22"/>
        </w:rPr>
        <w:t>eće povećanje u zapošljavanju</w:t>
      </w:r>
      <w:r w:rsidR="00D0360D" w:rsidRPr="004E6412">
        <w:rPr>
          <w:sz w:val="22"/>
        </w:rPr>
        <w:t xml:space="preserve"> </w:t>
      </w:r>
      <w:r w:rsidRPr="004E6412">
        <w:rPr>
          <w:sz w:val="22"/>
        </w:rPr>
        <w:t>(</w:t>
      </w:r>
      <w:r w:rsidR="003E6F23" w:rsidRPr="004E6412">
        <w:rPr>
          <w:sz w:val="22"/>
        </w:rPr>
        <w:t>36,12% ili 2.469 osoba</w:t>
      </w:r>
      <w:r w:rsidRPr="004E6412">
        <w:rPr>
          <w:sz w:val="22"/>
        </w:rPr>
        <w:t>)</w:t>
      </w:r>
      <w:r w:rsidR="00D0360D" w:rsidRPr="004E6412">
        <w:rPr>
          <w:sz w:val="22"/>
        </w:rPr>
        <w:t>. Djelatnosti pr</w:t>
      </w:r>
      <w:r w:rsidR="003E6F23" w:rsidRPr="004E6412">
        <w:rPr>
          <w:sz w:val="22"/>
        </w:rPr>
        <w:t xml:space="preserve">užanja smještaja te pripreme i posluživanja hrane </w:t>
      </w:r>
      <w:r w:rsidR="00D0360D" w:rsidRPr="004E6412">
        <w:rPr>
          <w:sz w:val="22"/>
        </w:rPr>
        <w:t xml:space="preserve">također </w:t>
      </w:r>
      <w:r w:rsidR="003E6F23" w:rsidRPr="004E6412">
        <w:rPr>
          <w:sz w:val="22"/>
        </w:rPr>
        <w:t>su ostvarile</w:t>
      </w:r>
      <w:r w:rsidR="00D0360D" w:rsidRPr="004E6412">
        <w:rPr>
          <w:sz w:val="22"/>
        </w:rPr>
        <w:t xml:space="preserve"> veliko povećanje u zapošl</w:t>
      </w:r>
      <w:r w:rsidRPr="004E6412">
        <w:rPr>
          <w:sz w:val="22"/>
        </w:rPr>
        <w:t>javanju (</w:t>
      </w:r>
      <w:r w:rsidR="00D0360D" w:rsidRPr="004E6412">
        <w:rPr>
          <w:sz w:val="22"/>
        </w:rPr>
        <w:t>10,13% ili 2.768 osoba</w:t>
      </w:r>
      <w:r w:rsidRPr="004E6412">
        <w:rPr>
          <w:sz w:val="22"/>
        </w:rPr>
        <w:t>)</w:t>
      </w:r>
      <w:r w:rsidR="00D0360D" w:rsidRPr="004E6412">
        <w:rPr>
          <w:sz w:val="22"/>
        </w:rPr>
        <w:t xml:space="preserve">. Prerađivačka industrija </w:t>
      </w:r>
      <w:r w:rsidRPr="004E6412">
        <w:rPr>
          <w:sz w:val="22"/>
        </w:rPr>
        <w:t xml:space="preserve">u istom </w:t>
      </w:r>
      <w:r w:rsidR="003E6F23" w:rsidRPr="004E6412">
        <w:rPr>
          <w:sz w:val="22"/>
        </w:rPr>
        <w:t xml:space="preserve">je </w:t>
      </w:r>
      <w:r w:rsidRPr="004E6412">
        <w:rPr>
          <w:sz w:val="22"/>
        </w:rPr>
        <w:t xml:space="preserve">razdoblju </w:t>
      </w:r>
      <w:r w:rsidR="00D0360D" w:rsidRPr="004E6412">
        <w:rPr>
          <w:sz w:val="22"/>
        </w:rPr>
        <w:t xml:space="preserve">povećala zapošljavanje za svega 1,78%. Međutim, prerađivačka </w:t>
      </w:r>
      <w:r w:rsidR="003E6F23" w:rsidRPr="004E6412">
        <w:rPr>
          <w:sz w:val="22"/>
        </w:rPr>
        <w:t xml:space="preserve">je industrija </w:t>
      </w:r>
      <w:r w:rsidR="00D0360D" w:rsidRPr="004E6412">
        <w:rPr>
          <w:sz w:val="22"/>
        </w:rPr>
        <w:t xml:space="preserve">u </w:t>
      </w:r>
      <w:r w:rsidRPr="004E6412">
        <w:rPr>
          <w:sz w:val="22"/>
        </w:rPr>
        <w:t>razdoblju</w:t>
      </w:r>
      <w:r w:rsidR="003E6F23" w:rsidRPr="004E6412">
        <w:rPr>
          <w:sz w:val="22"/>
        </w:rPr>
        <w:t xml:space="preserve"> od 2008. do 2012. postigla</w:t>
      </w:r>
      <w:r w:rsidR="00D0360D" w:rsidRPr="004E6412">
        <w:rPr>
          <w:sz w:val="22"/>
        </w:rPr>
        <w:t xml:space="preserve"> veliko povećanje </w:t>
      </w:r>
      <w:r w:rsidR="003E6F23" w:rsidRPr="004E6412">
        <w:rPr>
          <w:sz w:val="22"/>
        </w:rPr>
        <w:t>zapošljavanja, s</w:t>
      </w:r>
      <w:r w:rsidR="00D0360D" w:rsidRPr="004E6412">
        <w:rPr>
          <w:sz w:val="22"/>
        </w:rPr>
        <w:t xml:space="preserve"> 20.452 osobe u 2008. na 27.565 osoba u 2012</w:t>
      </w:r>
      <w:r w:rsidR="003E6F23" w:rsidRPr="004E6412">
        <w:rPr>
          <w:sz w:val="22"/>
        </w:rPr>
        <w:t>.</w:t>
      </w:r>
      <w:r w:rsidR="00D0360D" w:rsidRPr="004E6412">
        <w:rPr>
          <w:sz w:val="22"/>
        </w:rPr>
        <w:t xml:space="preserve">, što </w:t>
      </w:r>
      <w:r w:rsidRPr="004E6412">
        <w:rPr>
          <w:sz w:val="22"/>
        </w:rPr>
        <w:t>predstavlja porast</w:t>
      </w:r>
      <w:r w:rsidR="00D0360D" w:rsidRPr="004E6412">
        <w:rPr>
          <w:sz w:val="22"/>
        </w:rPr>
        <w:t xml:space="preserve"> od 34,78%.</w:t>
      </w:r>
    </w:p>
    <w:p w:rsidR="00D0360D" w:rsidRPr="004E6412" w:rsidRDefault="00D0360D" w:rsidP="00D0360D">
      <w:pPr>
        <w:spacing w:after="200"/>
        <w:ind w:left="720"/>
        <w:contextualSpacing/>
        <w:jc w:val="left"/>
        <w:rPr>
          <w:sz w:val="22"/>
        </w:rPr>
      </w:pPr>
    </w:p>
    <w:p w:rsidR="00D0360D" w:rsidRPr="004E6412" w:rsidRDefault="00D0360D" w:rsidP="00B15A78">
      <w:pPr>
        <w:numPr>
          <w:ilvl w:val="0"/>
          <w:numId w:val="148"/>
        </w:numPr>
        <w:spacing w:after="120"/>
        <w:contextualSpacing/>
        <w:rPr>
          <w:sz w:val="22"/>
        </w:rPr>
      </w:pPr>
      <w:r w:rsidRPr="004E6412">
        <w:rPr>
          <w:sz w:val="22"/>
        </w:rPr>
        <w:t>U petogodišnjem razdoblju ponovno se ističe javna uprava i obrana, obvezno socijalno osiguranje</w:t>
      </w:r>
      <w:r w:rsidR="00590629" w:rsidRPr="004E6412">
        <w:rPr>
          <w:sz w:val="22"/>
        </w:rPr>
        <w:t>,</w:t>
      </w:r>
      <w:r w:rsidR="003E6F23" w:rsidRPr="004E6412">
        <w:rPr>
          <w:sz w:val="22"/>
        </w:rPr>
        <w:t xml:space="preserve"> s</w:t>
      </w:r>
      <w:r w:rsidRPr="004E6412">
        <w:rPr>
          <w:sz w:val="22"/>
        </w:rPr>
        <w:t xml:space="preserve"> povećanjem zapošljavanja od 198,2</w:t>
      </w:r>
      <w:r w:rsidR="003E6F23" w:rsidRPr="004E6412">
        <w:rPr>
          <w:sz w:val="22"/>
        </w:rPr>
        <w:t>4 % (6.184 osobe više), a veliko</w:t>
      </w:r>
      <w:r w:rsidRPr="004E6412">
        <w:rPr>
          <w:sz w:val="22"/>
        </w:rPr>
        <w:t xml:space="preserve"> povećanje</w:t>
      </w:r>
      <w:r w:rsidR="003E6F23" w:rsidRPr="004E6412">
        <w:rPr>
          <w:sz w:val="22"/>
        </w:rPr>
        <w:t xml:space="preserve"> zabilježeno je</w:t>
      </w:r>
      <w:r w:rsidR="0082307B" w:rsidRPr="004E6412">
        <w:rPr>
          <w:sz w:val="22"/>
        </w:rPr>
        <w:t xml:space="preserve"> i kod opskrbe </w:t>
      </w:r>
      <w:r w:rsidRPr="004E6412">
        <w:rPr>
          <w:sz w:val="22"/>
        </w:rPr>
        <w:t>vodom, uklanjanja otpadnih voda, gospodarenja otpadom i djelatnosti sanacije okoliša (186,88%).</w:t>
      </w:r>
    </w:p>
    <w:p w:rsidR="00D0360D" w:rsidRPr="004E6412" w:rsidRDefault="00D0360D" w:rsidP="00D0360D">
      <w:pPr>
        <w:spacing w:after="120"/>
        <w:rPr>
          <w:sz w:val="22"/>
        </w:rPr>
      </w:pPr>
    </w:p>
    <w:p w:rsidR="00D0360D" w:rsidRPr="007D0CFD" w:rsidRDefault="00D0360D" w:rsidP="007D0CFD">
      <w:pPr>
        <w:pStyle w:val="Heading5"/>
        <w:rPr>
          <w:rStyle w:val="IntenseEmphasis"/>
          <w:b/>
          <w:bCs w:val="0"/>
          <w:iCs w:val="0"/>
          <w:color w:val="548DD4" w:themeColor="text2" w:themeTint="99"/>
          <w:sz w:val="20"/>
        </w:rPr>
      </w:pPr>
      <w:bookmarkStart w:id="145" w:name="_Toc377551037"/>
      <w:bookmarkStart w:id="146" w:name="_Toc37763522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25</w:t>
      </w:r>
      <w:r w:rsidRPr="007D0CFD">
        <w:rPr>
          <w:rStyle w:val="IntenseEmphasis"/>
          <w:b/>
          <w:bCs w:val="0"/>
          <w:iCs w:val="0"/>
          <w:color w:val="548DD4" w:themeColor="text2" w:themeTint="99"/>
          <w:sz w:val="20"/>
        </w:rPr>
        <w:t>. Z</w:t>
      </w:r>
      <w:r w:rsidR="003E6F23" w:rsidRPr="007D0CFD">
        <w:rPr>
          <w:rStyle w:val="IntenseEmphasis"/>
          <w:b/>
          <w:bCs w:val="0"/>
          <w:iCs w:val="0"/>
          <w:color w:val="548DD4" w:themeColor="text2" w:themeTint="99"/>
          <w:sz w:val="20"/>
        </w:rPr>
        <w:t>apošljavanje prema podacima</w:t>
      </w:r>
      <w:r w:rsidR="00C87FA7" w:rsidRPr="007D0CFD">
        <w:rPr>
          <w:rStyle w:val="IntenseEmphasis"/>
          <w:b/>
          <w:bCs w:val="0"/>
          <w:iCs w:val="0"/>
          <w:color w:val="548DD4" w:themeColor="text2" w:themeTint="99"/>
          <w:sz w:val="20"/>
        </w:rPr>
        <w:t xml:space="preserve"> Hrvatskog zavoda za zapošljavanje</w:t>
      </w:r>
      <w:r w:rsidR="004823E2" w:rsidRPr="007D0CFD">
        <w:rPr>
          <w:rStyle w:val="IntenseEmphasis"/>
          <w:b/>
          <w:bCs w:val="0"/>
          <w:iCs w:val="0"/>
          <w:color w:val="548DD4" w:themeColor="text2" w:themeTint="99"/>
          <w:sz w:val="20"/>
        </w:rPr>
        <w:t xml:space="preserve"> na temelju radnog odnosa</w:t>
      </w:r>
      <w:r w:rsidRPr="007D0CFD">
        <w:rPr>
          <w:rStyle w:val="IntenseEmphasis"/>
          <w:b/>
          <w:bCs w:val="0"/>
          <w:iCs w:val="0"/>
          <w:color w:val="548DD4" w:themeColor="text2" w:themeTint="99"/>
          <w:sz w:val="20"/>
        </w:rPr>
        <w:t xml:space="preserve"> prema područjima NKD-a</w:t>
      </w:r>
      <w:r w:rsidR="003E6F23"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2008. – 2012.</w:t>
      </w:r>
      <w:bookmarkEnd w:id="145"/>
      <w:bookmarkEnd w:id="146"/>
    </w:p>
    <w:tbl>
      <w:tblPr>
        <w:tblW w:w="0" w:type="auto"/>
        <w:tblLook w:val="04A0" w:firstRow="1" w:lastRow="0" w:firstColumn="1" w:lastColumn="0" w:noHBand="0" w:noVBand="1"/>
      </w:tblPr>
      <w:tblGrid>
        <w:gridCol w:w="368"/>
        <w:gridCol w:w="2417"/>
        <w:gridCol w:w="736"/>
        <w:gridCol w:w="736"/>
        <w:gridCol w:w="736"/>
        <w:gridCol w:w="736"/>
        <w:gridCol w:w="736"/>
        <w:gridCol w:w="821"/>
        <w:gridCol w:w="1000"/>
        <w:gridCol w:w="1000"/>
      </w:tblGrid>
      <w:tr w:rsidR="0008774F" w:rsidRPr="004E6412" w:rsidTr="0097195F">
        <w:trPr>
          <w:trHeight w:val="225"/>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3E6F23"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8.211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137,042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97,9172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134,78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121,799</w:t>
            </w:r>
          </w:p>
        </w:tc>
      </w:tr>
      <w:tr w:rsidR="0008774F" w:rsidRPr="004E6412" w:rsidTr="00F60896">
        <w:trPr>
          <w:trHeight w:val="67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1.322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3.792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286,88</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138,845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27.439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26.739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101,93</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167,018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PRUŽANJA SMJEŠTA</w:t>
            </w:r>
            <w:r w:rsidR="003E6F23" w:rsidRPr="004E6412">
              <w:rPr>
                <w:rFonts w:eastAsia="Times New Roman"/>
                <w:color w:val="000000"/>
                <w:sz w:val="16"/>
                <w:szCs w:val="16"/>
                <w:lang w:eastAsia="hr-HR"/>
              </w:rPr>
              <w:t>JA TE PRIPREME I PO</w:t>
            </w:r>
            <w:r w:rsidRPr="004E6412">
              <w:rPr>
                <w:rFonts w:eastAsia="Times New Roman"/>
                <w:color w:val="000000"/>
                <w:sz w:val="16"/>
                <w:szCs w:val="16"/>
                <w:lang w:eastAsia="hr-HR"/>
              </w:rPr>
              <w:t>SLUŽIVANJA HRANE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20.246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20.610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148,595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119,887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94,6757</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143,635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131,66</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147,261</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298,245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150,577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135,861</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156,072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92,8974</w:t>
            </w:r>
          </w:p>
        </w:tc>
      </w:tr>
      <w:tr w:rsidR="0008774F" w:rsidRPr="004E6412" w:rsidTr="00F60896">
        <w:trPr>
          <w:trHeight w:val="9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174,685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158,82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96,4286</w:t>
            </w:r>
          </w:p>
        </w:tc>
      </w:tr>
      <w:tr w:rsidR="0008774F" w:rsidRPr="004E6412" w:rsidTr="00F60896">
        <w:trPr>
          <w:trHeight w:val="225"/>
        </w:trPr>
        <w:tc>
          <w:tcPr>
            <w:tcW w:w="0" w:type="auto"/>
            <w:tcBorders>
              <w:top w:val="nil"/>
              <w:left w:val="nil"/>
              <w:bottom w:val="nil"/>
              <w:right w:val="nil"/>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p>
        </w:tc>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p w:rsidR="0008774F" w:rsidRPr="004E6412" w:rsidRDefault="0008774F" w:rsidP="00F60896">
            <w:pPr>
              <w:spacing w:line="240" w:lineRule="auto"/>
              <w:jc w:val="left"/>
              <w:rPr>
                <w:rFonts w:eastAsia="Times New Roman"/>
                <w:b/>
                <w:bCs/>
                <w:color w:val="000000"/>
                <w:sz w:val="16"/>
                <w:szCs w:val="16"/>
                <w:lang w:eastAsia="hr-HR"/>
              </w:rPr>
            </w:pP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128.219</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118.286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141.106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167.531</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175.535</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104,78</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136,902</w:t>
            </w:r>
          </w:p>
        </w:tc>
      </w:tr>
    </w:tbl>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w:t>
      </w:r>
      <w:r w:rsidR="003E6F23" w:rsidRPr="004E6412">
        <w:rPr>
          <w:sz w:val="20"/>
          <w:szCs w:val="20"/>
        </w:rPr>
        <w:t xml:space="preserve">pno 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pPr>
        <w:pStyle w:val="Heading4"/>
        <w:rPr>
          <w:rFonts w:eastAsia="Calibri"/>
        </w:rPr>
      </w:pPr>
      <w:bookmarkStart w:id="147" w:name="_Toc372554008"/>
      <w:r w:rsidRPr="004E6412">
        <w:rPr>
          <w:rFonts w:eastAsia="Calibri"/>
        </w:rPr>
        <w:t>Stope zapošljavanja prema obrazovanju</w:t>
      </w:r>
      <w:bookmarkEnd w:id="147"/>
    </w:p>
    <w:p w:rsidR="00D0360D" w:rsidRPr="004E6412" w:rsidRDefault="00D0360D" w:rsidP="00B15A78">
      <w:pPr>
        <w:numPr>
          <w:ilvl w:val="0"/>
          <w:numId w:val="149"/>
        </w:numPr>
        <w:spacing w:after="200"/>
        <w:contextualSpacing/>
        <w:rPr>
          <w:sz w:val="22"/>
        </w:rPr>
      </w:pPr>
      <w:r w:rsidRPr="004E6412">
        <w:rPr>
          <w:sz w:val="22"/>
        </w:rPr>
        <w:t xml:space="preserve">Godišnja stopa zapošljavanja pokazuje koliko se osoba zaposlilo </w:t>
      </w:r>
      <w:r w:rsidR="006A2E9F" w:rsidRPr="004E6412">
        <w:rPr>
          <w:sz w:val="22"/>
        </w:rPr>
        <w:t>(</w:t>
      </w:r>
      <w:r w:rsidRPr="004E6412">
        <w:rPr>
          <w:sz w:val="22"/>
        </w:rPr>
        <w:t>na temelju radnog odnosa</w:t>
      </w:r>
      <w:r w:rsidR="006A2E9F" w:rsidRPr="004E6412">
        <w:rPr>
          <w:sz w:val="22"/>
        </w:rPr>
        <w:t>)</w:t>
      </w:r>
      <w:r w:rsidRPr="004E6412">
        <w:rPr>
          <w:sz w:val="22"/>
        </w:rPr>
        <w:t xml:space="preserve"> od ukupnog broja nezaposlenih koji su tijekom godine tražili zaposlenje. U 2012. godini stopa zapošljavanja iznosila je 26,8% što znači da se u prosjeku zaposlilo nešto više od ¼ onih koji su kao nezaposleni tražili posao.</w:t>
      </w:r>
    </w:p>
    <w:p w:rsidR="00D0360D" w:rsidRPr="004E6412" w:rsidRDefault="00D0360D" w:rsidP="00D0360D">
      <w:pPr>
        <w:spacing w:after="200"/>
        <w:ind w:left="360"/>
        <w:contextualSpacing/>
        <w:jc w:val="left"/>
        <w:rPr>
          <w:sz w:val="22"/>
        </w:rPr>
      </w:pPr>
    </w:p>
    <w:p w:rsidR="00D0360D" w:rsidRPr="004E6412" w:rsidRDefault="003E6F23" w:rsidP="00B15A78">
      <w:pPr>
        <w:numPr>
          <w:ilvl w:val="0"/>
          <w:numId w:val="149"/>
        </w:numPr>
        <w:spacing w:after="200"/>
        <w:contextualSpacing/>
        <w:rPr>
          <w:sz w:val="22"/>
        </w:rPr>
      </w:pPr>
      <w:r w:rsidRPr="004E6412">
        <w:rPr>
          <w:sz w:val="22"/>
        </w:rPr>
        <w:t xml:space="preserve">Stopa zapošljavanja </w:t>
      </w:r>
      <w:r w:rsidR="0060350D" w:rsidRPr="004E6412">
        <w:rPr>
          <w:sz w:val="22"/>
        </w:rPr>
        <w:t>najniža</w:t>
      </w:r>
      <w:r w:rsidR="00D0360D" w:rsidRPr="004E6412">
        <w:rPr>
          <w:sz w:val="22"/>
        </w:rPr>
        <w:t xml:space="preserve"> </w:t>
      </w:r>
      <w:r w:rsidRPr="004E6412">
        <w:rPr>
          <w:sz w:val="22"/>
        </w:rPr>
        <w:t>je kod osoba bez škole i s</w:t>
      </w:r>
      <w:r w:rsidR="00D0360D" w:rsidRPr="004E6412">
        <w:rPr>
          <w:sz w:val="22"/>
        </w:rPr>
        <w:t xml:space="preserve"> nezavršenom osnovnom školom (12,20%), a najviša kod visokoobrazovanih osoba (33,40%).</w:t>
      </w:r>
    </w:p>
    <w:p w:rsidR="00D0360D" w:rsidRPr="004E6412" w:rsidRDefault="00D0360D" w:rsidP="00D0360D"/>
    <w:p w:rsidR="0060350D" w:rsidRPr="004E6412" w:rsidRDefault="0060350D" w:rsidP="00D0360D"/>
    <w:p w:rsidR="00D0360D" w:rsidRPr="004E6412" w:rsidRDefault="00D0360D" w:rsidP="00755B73">
      <w:pPr>
        <w:pStyle w:val="Subtitle"/>
        <w:rPr>
          <w:rFonts w:eastAsia="HelveticaNeueLTPro-BdCn"/>
          <w:sz w:val="22"/>
          <w:lang w:val="hr-HR"/>
        </w:rPr>
      </w:pPr>
      <w:bookmarkStart w:id="148" w:name="_Toc377635343"/>
      <w:r w:rsidRPr="004E6412">
        <w:rPr>
          <w:lang w:val="hr-HR"/>
        </w:rPr>
        <w:t xml:space="preserve">Slika </w:t>
      </w:r>
      <w:smartTag w:uri="urn:schemas-microsoft-com:office:smarttags" w:element="metricconverter">
        <w:smartTagPr>
          <w:attr w:name="ProductID" w:val="19. Stopa"/>
        </w:smartTagPr>
        <w:r w:rsidR="00947031" w:rsidRPr="004E6412">
          <w:rPr>
            <w:lang w:val="hr-HR"/>
          </w:rPr>
          <w:t>1</w:t>
        </w:r>
        <w:r w:rsidR="001E30D1" w:rsidRPr="004E6412">
          <w:rPr>
            <w:lang w:val="hr-HR"/>
          </w:rPr>
          <w:t>9</w:t>
        </w:r>
        <w:r w:rsidRPr="004E6412">
          <w:rPr>
            <w:rFonts w:eastAsia="Calibri"/>
            <w:lang w:val="hr-HR"/>
          </w:rPr>
          <w:t xml:space="preserve">. </w:t>
        </w:r>
        <w:r w:rsidRPr="004E6412">
          <w:rPr>
            <w:lang w:val="hr-HR"/>
          </w:rPr>
          <w:t>Stopa</w:t>
        </w:r>
      </w:smartTag>
      <w:r w:rsidRPr="004E6412">
        <w:rPr>
          <w:lang w:val="hr-HR"/>
        </w:rPr>
        <w:t xml:space="preserve"> zapošljavanja prema stupnju obrazovanja u 2012. godini</w:t>
      </w:r>
      <w:bookmarkEnd w:id="148"/>
    </w:p>
    <w:p w:rsidR="00D0360D" w:rsidRPr="004E6412" w:rsidRDefault="001E199D" w:rsidP="00D0360D">
      <w:pPr>
        <w:spacing w:after="200"/>
        <w:contextualSpacing/>
        <w:jc w:val="left"/>
        <w:rPr>
          <w:sz w:val="22"/>
        </w:rPr>
      </w:pPr>
      <w:r w:rsidRPr="004E6412">
        <w:rPr>
          <w:noProof/>
          <w:sz w:val="22"/>
          <w:lang w:eastAsia="hr-HR"/>
        </w:rPr>
        <w:drawing>
          <wp:inline distT="0" distB="0" distL="0" distR="0" wp14:anchorId="69DA8CDB" wp14:editId="005A95CA">
            <wp:extent cx="5750821" cy="2908689"/>
            <wp:effectExtent l="6093" t="6091" r="7616" b="3045"/>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ostupno na www.hzz.hr [11.7.2</w:t>
      </w:r>
      <w:r w:rsidR="003E6F23" w:rsidRPr="004E6412">
        <w:rPr>
          <w:sz w:val="20"/>
          <w:szCs w:val="20"/>
        </w:rPr>
        <w:t xml:space="preserve">013.]; </w:t>
      </w:r>
      <w:r w:rsidRPr="004E6412">
        <w:rPr>
          <w:sz w:val="20"/>
          <w:szCs w:val="20"/>
        </w:rPr>
        <w:t>obrada autora.</w:t>
      </w:r>
    </w:p>
    <w:p w:rsidR="003E6F23" w:rsidRPr="004E6412" w:rsidRDefault="003E6F23" w:rsidP="00D0360D">
      <w:pPr>
        <w:rPr>
          <w:rFonts w:eastAsia="HelveticaNeueLTPro-BdCn"/>
        </w:rPr>
      </w:pPr>
    </w:p>
    <w:p w:rsidR="00D0360D" w:rsidRPr="007D0CFD" w:rsidRDefault="00D0360D" w:rsidP="007D0CFD">
      <w:pPr>
        <w:pStyle w:val="Heading5"/>
        <w:rPr>
          <w:rStyle w:val="IntenseEmphasis"/>
          <w:b/>
          <w:bCs w:val="0"/>
          <w:iCs w:val="0"/>
          <w:color w:val="548DD4" w:themeColor="text2" w:themeTint="99"/>
          <w:sz w:val="20"/>
        </w:rPr>
      </w:pPr>
      <w:bookmarkStart w:id="149" w:name="_Toc377551038"/>
      <w:bookmarkStart w:id="150" w:name="_Toc377635227"/>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6. Stopa"/>
        </w:smartTagPr>
        <w:r w:rsidR="00035C7B" w:rsidRPr="007D0CFD">
          <w:rPr>
            <w:rStyle w:val="IntenseEmphasis"/>
            <w:b/>
            <w:bCs w:val="0"/>
            <w:iCs w:val="0"/>
            <w:color w:val="548DD4" w:themeColor="text2" w:themeTint="99"/>
            <w:sz w:val="20"/>
          </w:rPr>
          <w:t>26</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srednjeg obrazovanja u 2012.</w:t>
      </w:r>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430"/>
        <w:gridCol w:w="937"/>
        <w:gridCol w:w="3221"/>
        <w:gridCol w:w="652"/>
      </w:tblGrid>
      <w:tr w:rsidR="00D0360D" w:rsidRPr="004E6412" w:rsidTr="00C87FA7">
        <w:trPr>
          <w:trHeight w:val="340"/>
        </w:trPr>
        <w:tc>
          <w:tcPr>
            <w:tcW w:w="239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0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74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35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18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odo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 xml:space="preserve"> i plino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39,0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izioterapeutski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w:t>
            </w:r>
            <w:r w:rsidR="00E01017" w:rsidRPr="004E6412">
              <w:rPr>
                <w:rFonts w:eastAsia="Times New Roman"/>
                <w:color w:val="000000"/>
                <w:sz w:val="20"/>
                <w:szCs w:val="20"/>
                <w:lang w:eastAsia="hr-HR"/>
              </w:rPr>
              <w:t>,0</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atrogasni tehničar</w:t>
            </w:r>
          </w:p>
        </w:tc>
        <w:tc>
          <w:tcPr>
            <w:tcW w:w="507"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w:t>
            </w:r>
            <w:r w:rsidR="00E01017" w:rsidRPr="004E6412">
              <w:rPr>
                <w:rFonts w:eastAsia="Times New Roman"/>
                <w:color w:val="000000"/>
                <w:sz w:val="20"/>
                <w:szCs w:val="20"/>
                <w:lang w:eastAsia="hr-HR"/>
              </w:rPr>
              <w:t>,5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rhitektonski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uhar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38,2</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avarivač REL postupkom</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ehničar za elektrostrojarstvo</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apetar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omorski nautičar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samohodnim građevinskim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rafičar pripreme</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oboslikar ličilac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ostolar obućar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21,9</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teretnih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rimalja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onobar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35,0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rafički dizajner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11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w:t>
            </w:r>
            <w:r w:rsidR="00D0360D" w:rsidRPr="004E6412">
              <w:rPr>
                <w:rFonts w:eastAsia="Times New Roman"/>
                <w:color w:val="000000"/>
                <w:sz w:val="20"/>
                <w:szCs w:val="20"/>
                <w:lang w:eastAsia="hr-HR"/>
              </w:rPr>
              <w:t>umarski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w:t>
            </w:r>
            <w:r w:rsidR="00D0360D" w:rsidRPr="004E6412">
              <w:rPr>
                <w:rFonts w:eastAsia="Times New Roman"/>
                <w:color w:val="000000"/>
                <w:sz w:val="20"/>
                <w:szCs w:val="20"/>
                <w:lang w:eastAsia="hr-HR"/>
              </w:rPr>
              <w:t>ikovna umjetnost i dizajn</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21,5</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dministrativno-kadrovski referent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21,2</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ubotehničar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20,8</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esar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ogonski električar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141"/>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ehnički crtač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atar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w:t>
            </w:r>
            <w:r w:rsidR="00D0360D" w:rsidRPr="004E6412">
              <w:rPr>
                <w:rFonts w:eastAsia="Times New Roman"/>
                <w:color w:val="000000"/>
                <w:sz w:val="20"/>
                <w:szCs w:val="20"/>
                <w:lang w:eastAsia="hr-HR"/>
              </w:rPr>
              <w:t>nokorespondent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46"/>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ekar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lektroničar za radio i TV tehniku</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otelijersko-turistički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w:t>
            </w:r>
            <w:r w:rsidR="00D0360D" w:rsidRPr="004E6412">
              <w:rPr>
                <w:rFonts w:eastAsia="Times New Roman"/>
                <w:color w:val="000000"/>
                <w:sz w:val="20"/>
                <w:szCs w:val="20"/>
                <w:lang w:eastAsia="hr-HR"/>
              </w:rPr>
              <w:t>aktilograf</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19,3</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lastRenderedPageBreak/>
              <w:t>V</w:t>
            </w:r>
            <w:r w:rsidR="00D0360D" w:rsidRPr="004E6412">
              <w:rPr>
                <w:rFonts w:eastAsia="Times New Roman"/>
                <w:color w:val="000000"/>
                <w:sz w:val="20"/>
                <w:szCs w:val="20"/>
                <w:lang w:eastAsia="hr-HR"/>
              </w:rPr>
              <w:t>rtlar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w:t>
            </w:r>
            <w:r w:rsidR="00D0360D" w:rsidRPr="004E6412">
              <w:rPr>
                <w:rFonts w:eastAsia="Times New Roman"/>
                <w:color w:val="000000"/>
                <w:sz w:val="20"/>
                <w:szCs w:val="20"/>
                <w:lang w:eastAsia="hr-HR"/>
              </w:rPr>
              <w:t>vjećar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17,4</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prehrambenim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rojač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15,5</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jegovatelj</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32,8</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njigoveža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11,8</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w:t>
      </w:r>
      <w:r w:rsidR="00E17554" w:rsidRPr="004E6412">
        <w:rPr>
          <w:sz w:val="20"/>
          <w:szCs w:val="20"/>
        </w:rPr>
        <w:t>upno na www.hzz.hr [11.7.2013.];</w:t>
      </w:r>
      <w:r w:rsidRPr="004E6412">
        <w:rPr>
          <w:sz w:val="20"/>
          <w:szCs w:val="20"/>
        </w:rPr>
        <w:t xml:space="preserve"> obrada autora.</w:t>
      </w:r>
    </w:p>
    <w:p w:rsidR="00D0360D" w:rsidRPr="004E6412" w:rsidRDefault="00D0360D" w:rsidP="00D0360D">
      <w:pPr>
        <w:rPr>
          <w:sz w:val="22"/>
        </w:rPr>
      </w:pPr>
    </w:p>
    <w:p w:rsidR="00D0360D" w:rsidRPr="004E6412" w:rsidRDefault="00D0360D" w:rsidP="00D0360D">
      <w:pPr>
        <w:rPr>
          <w:sz w:val="22"/>
        </w:rPr>
      </w:pPr>
    </w:p>
    <w:p w:rsidR="00D0360D" w:rsidRPr="004E6412" w:rsidRDefault="0082307B" w:rsidP="00B15A78">
      <w:pPr>
        <w:numPr>
          <w:ilvl w:val="0"/>
          <w:numId w:val="150"/>
        </w:numPr>
        <w:spacing w:after="200"/>
        <w:contextualSpacing/>
        <w:rPr>
          <w:sz w:val="22"/>
        </w:rPr>
      </w:pPr>
      <w:r w:rsidRPr="004E6412">
        <w:rPr>
          <w:sz w:val="22"/>
        </w:rPr>
        <w:t>N</w:t>
      </w:r>
      <w:r w:rsidR="00D0360D" w:rsidRPr="004E6412">
        <w:rPr>
          <w:sz w:val="22"/>
        </w:rPr>
        <w:t>ajveći broj nezaposlenih osoba višeg</w:t>
      </w:r>
      <w:r w:rsidR="00E17554" w:rsidRPr="004E6412">
        <w:rPr>
          <w:sz w:val="22"/>
        </w:rPr>
        <w:t>a</w:t>
      </w:r>
      <w:r w:rsidR="00D0360D" w:rsidRPr="004E6412">
        <w:rPr>
          <w:sz w:val="22"/>
        </w:rPr>
        <w:t xml:space="preserve"> ili visokog</w:t>
      </w:r>
      <w:r w:rsidR="00E17554" w:rsidRPr="004E6412">
        <w:rPr>
          <w:sz w:val="22"/>
        </w:rPr>
        <w:t>a obrazovanja koji su</w:t>
      </w:r>
      <w:r w:rsidRPr="004E6412">
        <w:rPr>
          <w:sz w:val="22"/>
        </w:rPr>
        <w:t xml:space="preserve"> 2012. godine</w:t>
      </w:r>
      <w:r w:rsidR="00E17554" w:rsidRPr="004E6412">
        <w:rPr>
          <w:sz w:val="22"/>
        </w:rPr>
        <w:t xml:space="preserve"> uspješno našli</w:t>
      </w:r>
      <w:r w:rsidR="00D0360D" w:rsidRPr="004E6412">
        <w:rPr>
          <w:sz w:val="22"/>
        </w:rPr>
        <w:t xml:space="preserve"> posao ima zanimanje s područja biologije i kemije, a </w:t>
      </w:r>
      <w:r w:rsidR="00E17554" w:rsidRPr="004E6412">
        <w:rPr>
          <w:sz w:val="22"/>
        </w:rPr>
        <w:t>radi se o 67,10% nezaposlenih s</w:t>
      </w:r>
      <w:r w:rsidR="00D0360D" w:rsidRPr="004E6412">
        <w:rPr>
          <w:sz w:val="22"/>
        </w:rPr>
        <w:t xml:space="preserve"> tim zanimanjem. Slijedi farmacij</w:t>
      </w:r>
      <w:r w:rsidR="00E17554" w:rsidRPr="004E6412">
        <w:rPr>
          <w:sz w:val="22"/>
        </w:rPr>
        <w:t>a, učiteljski studij te</w:t>
      </w:r>
      <w:r w:rsidR="00D0360D" w:rsidRPr="004E6412">
        <w:rPr>
          <w:sz w:val="22"/>
        </w:rPr>
        <w:t xml:space="preserve"> jezici. Osobe sa zanimanjem iz područja menadžmenta imale su najmanje uspjeha u </w:t>
      </w:r>
      <w:r w:rsidR="00E17554" w:rsidRPr="004E6412">
        <w:rPr>
          <w:sz w:val="22"/>
        </w:rPr>
        <w:t>pronalaženju posla,</w:t>
      </w:r>
      <w:r w:rsidR="00D0360D" w:rsidRPr="004E6412">
        <w:rPr>
          <w:sz w:val="22"/>
        </w:rPr>
        <w:t xml:space="preserve"> svega 19,6% je našlo posao.</w:t>
      </w:r>
    </w:p>
    <w:p w:rsidR="00D0360D" w:rsidRPr="004E6412" w:rsidRDefault="00D0360D" w:rsidP="00D0360D">
      <w:pPr>
        <w:rPr>
          <w:sz w:val="22"/>
        </w:rPr>
      </w:pPr>
    </w:p>
    <w:p w:rsidR="00D0360D" w:rsidRPr="007D0CFD" w:rsidRDefault="00D0360D" w:rsidP="007D0CFD">
      <w:pPr>
        <w:pStyle w:val="Heading5"/>
        <w:rPr>
          <w:rStyle w:val="IntenseEmphasis"/>
          <w:b/>
          <w:bCs w:val="0"/>
          <w:iCs w:val="0"/>
          <w:color w:val="548DD4" w:themeColor="text2" w:themeTint="99"/>
          <w:sz w:val="20"/>
        </w:rPr>
      </w:pPr>
      <w:bookmarkStart w:id="151" w:name="_Toc377551039"/>
      <w:bookmarkStart w:id="152" w:name="_Toc377635228"/>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7. Stopa"/>
        </w:smartTagPr>
        <w:r w:rsidR="00035C7B" w:rsidRPr="007D0CFD">
          <w:rPr>
            <w:rStyle w:val="IntenseEmphasis"/>
            <w:b/>
            <w:bCs w:val="0"/>
            <w:iCs w:val="0"/>
            <w:color w:val="548DD4" w:themeColor="text2" w:themeTint="99"/>
            <w:sz w:val="20"/>
          </w:rPr>
          <w:t>27</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višeg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ili visokog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obrazovanja u 2012.</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090"/>
        <w:gridCol w:w="2665"/>
        <w:gridCol w:w="761"/>
      </w:tblGrid>
      <w:tr w:rsidR="00D0360D" w:rsidRPr="004E6412" w:rsidTr="00C87FA7">
        <w:trPr>
          <w:trHeight w:val="225"/>
        </w:trPr>
        <w:tc>
          <w:tcPr>
            <w:tcW w:w="2568"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87"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435"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410"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B</w:t>
            </w:r>
            <w:r w:rsidR="00D0360D" w:rsidRPr="004E6412">
              <w:rPr>
                <w:rFonts w:eastAsia="Times New Roman"/>
                <w:color w:val="000000"/>
                <w:sz w:val="20"/>
                <w:szCs w:val="20"/>
                <w:lang w:eastAsia="hr-HR"/>
              </w:rPr>
              <w:t>iologija i kemija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67,10%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ociologija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armacija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65,40%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odni dizajn</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23,2</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w:t>
            </w:r>
            <w:r w:rsidR="00D0360D" w:rsidRPr="004E6412">
              <w:rPr>
                <w:rFonts w:eastAsia="Times New Roman"/>
                <w:color w:val="000000"/>
                <w:sz w:val="20"/>
                <w:szCs w:val="20"/>
                <w:lang w:eastAsia="hr-HR"/>
              </w:rPr>
              <w:t>čiteljski studij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63,10%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ineziologija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ngleski jezik</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konomija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rvatski i engleski</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J</w:t>
            </w:r>
            <w:r w:rsidR="00D0360D" w:rsidRPr="004E6412">
              <w:rPr>
                <w:rFonts w:eastAsia="Times New Roman"/>
                <w:color w:val="000000"/>
                <w:sz w:val="20"/>
                <w:szCs w:val="20"/>
                <w:lang w:eastAsia="hr-HR"/>
              </w:rPr>
              <w:t>avna uprava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eografija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54,50%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ovinarstvo</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iša medicinska sestra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52,70%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rhitektura i urbanizam</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redškolski odgoj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51,50%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w:t>
            </w:r>
            <w:r w:rsidR="00D0360D" w:rsidRPr="004E6412">
              <w:rPr>
                <w:rFonts w:eastAsia="Times New Roman"/>
                <w:color w:val="000000"/>
                <w:sz w:val="20"/>
                <w:szCs w:val="20"/>
                <w:lang w:eastAsia="hr-HR"/>
              </w:rPr>
              <w:t>pća medicina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50,10%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olitologija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lektrotehnika i informacijska tehnologija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46,00%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enadžment</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19,4</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ostu</w:t>
      </w:r>
      <w:r w:rsidR="00E17554" w:rsidRPr="004E6412">
        <w:rPr>
          <w:sz w:val="20"/>
          <w:szCs w:val="20"/>
        </w:rPr>
        <w:t xml:space="preserve">pno na www.hzz.hr [11.7.2013.]; </w:t>
      </w:r>
      <w:r w:rsidRPr="004E6412">
        <w:rPr>
          <w:sz w:val="20"/>
          <w:szCs w:val="20"/>
        </w:rPr>
        <w:t>obrada autora.</w:t>
      </w:r>
    </w:p>
    <w:p w:rsidR="008C6C49" w:rsidRPr="004E6412" w:rsidRDefault="008C6C49" w:rsidP="00AE6164">
      <w:pPr>
        <w:rPr>
          <w:rFonts w:eastAsia="Times New Roman"/>
          <w:szCs w:val="24"/>
        </w:rPr>
      </w:pPr>
    </w:p>
    <w:p w:rsidR="00D0360D" w:rsidRPr="004E6412" w:rsidRDefault="00D0360D" w:rsidP="00AE6164">
      <w:pPr>
        <w:rPr>
          <w:rFonts w:eastAsia="Times New Roman"/>
          <w:szCs w:val="24"/>
        </w:rPr>
      </w:pPr>
    </w:p>
    <w:p w:rsidR="00D0360D" w:rsidRPr="004E6412" w:rsidRDefault="00D0360D"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pPr>
        <w:spacing w:after="200"/>
        <w:jc w:val="left"/>
        <w:rPr>
          <w:rFonts w:eastAsia="Times New Roman"/>
          <w:b/>
          <w:bCs/>
          <w:color w:val="365F91"/>
          <w:szCs w:val="24"/>
        </w:rPr>
      </w:pPr>
      <w:r w:rsidRPr="004E6412">
        <w:rPr>
          <w:szCs w:val="24"/>
        </w:rPr>
        <w:br w:type="page"/>
      </w:r>
    </w:p>
    <w:p w:rsidR="008C6C49" w:rsidRPr="004E6412" w:rsidRDefault="008C6C49" w:rsidP="00A55C27">
      <w:pPr>
        <w:pStyle w:val="Heading3"/>
        <w:rPr>
          <w:szCs w:val="24"/>
        </w:rPr>
      </w:pPr>
      <w:bookmarkStart w:id="153" w:name="_Toc378069019"/>
      <w:r w:rsidRPr="004E6412">
        <w:rPr>
          <w:szCs w:val="24"/>
        </w:rPr>
        <w:lastRenderedPageBreak/>
        <w:t>Resursi hrvatskog gospodarstva</w:t>
      </w:r>
      <w:bookmarkEnd w:id="153"/>
    </w:p>
    <w:p w:rsidR="008C6C49" w:rsidRPr="004E6412" w:rsidRDefault="008C6C49" w:rsidP="00AE6164">
      <w:pPr>
        <w:rPr>
          <w:rFonts w:eastAsia="Times New Roman"/>
          <w:szCs w:val="24"/>
        </w:rPr>
      </w:pPr>
    </w:p>
    <w:p w:rsidR="00A55C27" w:rsidRPr="004E6412" w:rsidRDefault="00A55C27" w:rsidP="00DA363A">
      <w:pPr>
        <w:pStyle w:val="Heading4"/>
      </w:pPr>
      <w:bookmarkStart w:id="154" w:name="_Toc372087935"/>
      <w:r w:rsidRPr="004E6412">
        <w:t>Mineralne sirovine</w:t>
      </w:r>
      <w:bookmarkEnd w:id="154"/>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Industrija nemetala i građevnog materijala Hrvatske obuhvaća istraživanje, eksploataciju, oplemenjivanje, proizvodnju  i preradu nemetalnih mineralnih sirovina. S obzirom na geološku građu i nastanak nemetalnih sirovina, Hrvatska ima široku osnovu nemetalnih mineralnih sirovina.</w:t>
      </w:r>
    </w:p>
    <w:p w:rsidR="00234757" w:rsidRPr="004E6412" w:rsidRDefault="00234757" w:rsidP="00234757">
      <w:pPr>
        <w:pStyle w:val="ListParagraph"/>
        <w:ind w:left="0"/>
        <w:jc w:val="both"/>
        <w:rPr>
          <w:rFonts w:ascii="Times New Roman" w:hAnsi="Times New Roman"/>
        </w:rPr>
      </w:pPr>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U eksploataciji su ležišta kvarcnog pijeska, bentonita, keramičkih i ciglarskih glina, gipsa, tufa, lapora, dolomita, vapnenca, eruptivnih materijala i šljunka za građevne materijale i arhitektonskoga kamena. Proizvodi se i morska sol. Poznata su, ali se ne iskorištavaju, ležišta kvarcita, barita, grafita te neka ležišta arhitektonskoga kamena.</w:t>
      </w:r>
    </w:p>
    <w:p w:rsidR="00234757" w:rsidRPr="004E6412" w:rsidRDefault="00234757" w:rsidP="00234757">
      <w:pPr>
        <w:pStyle w:val="ListParagraph"/>
        <w:jc w:val="both"/>
        <w:rPr>
          <w:rFonts w:ascii="Times New Roman" w:hAnsi="Times New Roman"/>
        </w:rPr>
      </w:pPr>
    </w:p>
    <w:p w:rsidR="00234757" w:rsidRPr="004E6412" w:rsidRDefault="00A55C27" w:rsidP="00FA5F29">
      <w:pPr>
        <w:pStyle w:val="ListParagraph"/>
        <w:numPr>
          <w:ilvl w:val="0"/>
          <w:numId w:val="75"/>
        </w:numPr>
        <w:jc w:val="both"/>
        <w:rPr>
          <w:rFonts w:ascii="Times New Roman" w:hAnsi="Times New Roman"/>
        </w:rPr>
      </w:pPr>
      <w:r w:rsidRPr="004E6412">
        <w:rPr>
          <w:rFonts w:ascii="Times New Roman" w:hAnsi="Times New Roman"/>
        </w:rPr>
        <w:t>U Hrvat</w:t>
      </w:r>
      <w:r w:rsidR="00E17554" w:rsidRPr="004E6412">
        <w:rPr>
          <w:rFonts w:ascii="Times New Roman" w:hAnsi="Times New Roman"/>
        </w:rPr>
        <w:t xml:space="preserve">skoj su registrirana </w:t>
      </w:r>
      <w:r w:rsidRPr="004E6412">
        <w:rPr>
          <w:rFonts w:ascii="Times New Roman" w:hAnsi="Times New Roman"/>
        </w:rPr>
        <w:t>ukupno 664 ležišta koja su prema svom sadržaju podijeljena u skupine metalnih, nemetalnih i energetski</w:t>
      </w:r>
      <w:r w:rsidR="00E17554" w:rsidRPr="004E6412">
        <w:rPr>
          <w:rFonts w:ascii="Times New Roman" w:hAnsi="Times New Roman"/>
        </w:rPr>
        <w:t>h mineralnih sirovina. Da bi došlo do same</w:t>
      </w:r>
      <w:r w:rsidRPr="004E6412">
        <w:rPr>
          <w:rFonts w:ascii="Times New Roman" w:hAnsi="Times New Roman"/>
        </w:rPr>
        <w:t xml:space="preserve"> eksploatacije neke mineralne sirovine</w:t>
      </w:r>
      <w:r w:rsidR="00E17554" w:rsidRPr="004E6412">
        <w:rPr>
          <w:rFonts w:ascii="Times New Roman" w:hAnsi="Times New Roman"/>
        </w:rPr>
        <w:t>,</w:t>
      </w:r>
      <w:r w:rsidRPr="004E6412">
        <w:rPr>
          <w:rFonts w:ascii="Times New Roman" w:hAnsi="Times New Roman"/>
        </w:rPr>
        <w:t xml:space="preserve"> potrebno je proći niz procedura i odobrenja. </w:t>
      </w:r>
    </w:p>
    <w:p w:rsidR="00234757" w:rsidRPr="004E6412" w:rsidRDefault="00234757" w:rsidP="00234757">
      <w:pPr>
        <w:pStyle w:val="ListParagraph"/>
        <w:jc w:val="both"/>
        <w:rPr>
          <w:rFonts w:ascii="Times New Roman" w:hAnsi="Times New Roman"/>
        </w:rPr>
      </w:pPr>
    </w:p>
    <w:p w:rsidR="00A55C27" w:rsidRPr="004E6412" w:rsidRDefault="00234757" w:rsidP="00FA5F29">
      <w:pPr>
        <w:pStyle w:val="ListParagraph"/>
        <w:numPr>
          <w:ilvl w:val="0"/>
          <w:numId w:val="75"/>
        </w:numPr>
        <w:jc w:val="both"/>
        <w:rPr>
          <w:rFonts w:ascii="Times New Roman" w:hAnsi="Times New Roman"/>
        </w:rPr>
      </w:pPr>
      <w:r w:rsidRPr="004E6412">
        <w:rPr>
          <w:rFonts w:ascii="Times New Roman" w:hAnsi="Times New Roman"/>
        </w:rPr>
        <w:t>M</w:t>
      </w:r>
      <w:r w:rsidR="00A55C27" w:rsidRPr="004E6412">
        <w:rPr>
          <w:rFonts w:ascii="Times New Roman" w:hAnsi="Times New Roman"/>
        </w:rPr>
        <w:t>ineralne sirovine</w:t>
      </w:r>
      <w:r w:rsidRPr="004E6412">
        <w:rPr>
          <w:rFonts w:ascii="Times New Roman" w:hAnsi="Times New Roman"/>
        </w:rPr>
        <w:t xml:space="preserve"> su </w:t>
      </w:r>
      <w:r w:rsidR="00A55C27" w:rsidRPr="004E6412">
        <w:rPr>
          <w:rFonts w:ascii="Times New Roman" w:hAnsi="Times New Roman"/>
        </w:rPr>
        <w:t>važne za pokretanje gospodarstva pojedine države,</w:t>
      </w:r>
      <w:r w:rsidR="00E17554" w:rsidRPr="004E6412">
        <w:rPr>
          <w:rFonts w:ascii="Times New Roman" w:hAnsi="Times New Roman"/>
        </w:rPr>
        <w:t xml:space="preserve"> a samim time njima se mora raspolagati pravilno i učinkovito</w:t>
      </w:r>
      <w:r w:rsidR="00A55C27" w:rsidRPr="004E6412">
        <w:rPr>
          <w:rFonts w:ascii="Times New Roman" w:hAnsi="Times New Roman"/>
        </w:rPr>
        <w:t>.</w:t>
      </w:r>
    </w:p>
    <w:p w:rsidR="00A55C27" w:rsidRPr="004E6412" w:rsidRDefault="00A55C27" w:rsidP="00D001B9">
      <w:pPr>
        <w:pStyle w:val="Heading4"/>
      </w:pPr>
      <w:bookmarkStart w:id="155" w:name="_Toc366154249"/>
      <w:bookmarkStart w:id="156" w:name="_Toc366154367"/>
      <w:bookmarkStart w:id="157" w:name="_Toc366409909"/>
      <w:bookmarkStart w:id="158" w:name="_Toc372087936"/>
      <w:r w:rsidRPr="004E6412">
        <w:t>Ležišta metalnih mineralnih sirovina</w:t>
      </w:r>
      <w:bookmarkEnd w:id="155"/>
      <w:bookmarkEnd w:id="156"/>
      <w:bookmarkEnd w:id="157"/>
      <w:bookmarkEnd w:id="158"/>
    </w:p>
    <w:p w:rsidR="00A55C27" w:rsidRPr="004E6412" w:rsidRDefault="00A55C27" w:rsidP="00FA5F29">
      <w:pPr>
        <w:pStyle w:val="ListParagraph"/>
        <w:numPr>
          <w:ilvl w:val="0"/>
          <w:numId w:val="76"/>
        </w:numPr>
        <w:spacing w:after="0"/>
        <w:ind w:left="714" w:hanging="357"/>
        <w:jc w:val="both"/>
        <w:rPr>
          <w:rFonts w:ascii="Times New Roman" w:hAnsi="Times New Roman"/>
        </w:rPr>
      </w:pPr>
      <w:r w:rsidRPr="004E6412">
        <w:rPr>
          <w:rFonts w:ascii="Times New Roman" w:hAnsi="Times New Roman"/>
        </w:rPr>
        <w:t>Metalne mineralne sirovine na prostorima Hrvatske nemaju vidnog iskoristivog potencijala. Najmanji broj ležišta pripada upravo metalnim mineralnim sirovinama, svega 63, od kojih je najviše boksitnih ležišta (54), dok su ostali metali zastupljeni u zanemarivim količinama. Uzimajući u obzir 10 postojećih boksitnih horizonata na području Hrvatske</w:t>
      </w:r>
      <w:r w:rsidR="00E17554" w:rsidRPr="004E6412">
        <w:rPr>
          <w:rFonts w:ascii="Times New Roman" w:hAnsi="Times New Roman"/>
        </w:rPr>
        <w:t>,</w:t>
      </w:r>
      <w:r w:rsidRPr="004E6412">
        <w:rPr>
          <w:rFonts w:ascii="Times New Roman" w:hAnsi="Times New Roman"/>
        </w:rPr>
        <w:t xml:space="preserve"> ipak postoji mogućnost da znatan broj ležišta još uvijek nije otkriven.</w:t>
      </w:r>
    </w:p>
    <w:p w:rsidR="00A55C27" w:rsidRPr="004E6412" w:rsidRDefault="00A55C27" w:rsidP="00A55C27">
      <w:pPr>
        <w:rPr>
          <w:szCs w:val="24"/>
        </w:rPr>
      </w:pPr>
    </w:p>
    <w:p w:rsidR="00A55C27" w:rsidRPr="004E6412" w:rsidRDefault="00A55C27" w:rsidP="00D001B9">
      <w:pPr>
        <w:pStyle w:val="Heading4"/>
      </w:pPr>
      <w:bookmarkStart w:id="159" w:name="_Toc366154250"/>
      <w:bookmarkStart w:id="160" w:name="_Toc366154368"/>
      <w:bookmarkStart w:id="161" w:name="_Toc366409910"/>
      <w:bookmarkStart w:id="162" w:name="_Toc372087937"/>
      <w:r w:rsidRPr="004E6412">
        <w:t>Ležišta nemetalalnih mineralnih sirovina</w:t>
      </w:r>
      <w:bookmarkEnd w:id="159"/>
      <w:bookmarkEnd w:id="160"/>
      <w:bookmarkEnd w:id="161"/>
      <w:bookmarkEnd w:id="162"/>
    </w:p>
    <w:p w:rsidR="00A55C27" w:rsidRPr="004E6412" w:rsidRDefault="00A55C27" w:rsidP="00A55C27">
      <w:pPr>
        <w:pStyle w:val="ListParagraph"/>
        <w:numPr>
          <w:ilvl w:val="0"/>
          <w:numId w:val="76"/>
        </w:numPr>
        <w:jc w:val="both"/>
        <w:rPr>
          <w:rFonts w:ascii="Times New Roman" w:hAnsi="Times New Roman"/>
        </w:rPr>
      </w:pPr>
      <w:r w:rsidRPr="004E6412">
        <w:rPr>
          <w:rFonts w:ascii="Times New Roman" w:hAnsi="Times New Roman"/>
        </w:rPr>
        <w:t>Nemetalne mineral</w:t>
      </w:r>
      <w:r w:rsidR="008662C3" w:rsidRPr="004E6412">
        <w:rPr>
          <w:rFonts w:ascii="Times New Roman" w:hAnsi="Times New Roman"/>
        </w:rPr>
        <w:t>ne sirovine su najzastupljenije. Č</w:t>
      </w:r>
      <w:r w:rsidR="00E17554" w:rsidRPr="004E6412">
        <w:rPr>
          <w:rFonts w:ascii="Times New Roman" w:hAnsi="Times New Roman"/>
        </w:rPr>
        <w:t xml:space="preserve">ak 534 ležišta </w:t>
      </w:r>
      <w:r w:rsidRPr="004E6412">
        <w:rPr>
          <w:rFonts w:ascii="Times New Roman" w:hAnsi="Times New Roman"/>
        </w:rPr>
        <w:t>registrirana</w:t>
      </w:r>
      <w:r w:rsidR="00E17554" w:rsidRPr="004E6412">
        <w:rPr>
          <w:rFonts w:ascii="Times New Roman" w:hAnsi="Times New Roman"/>
        </w:rPr>
        <w:t xml:space="preserve"> su i već se eksploatiraju</w:t>
      </w:r>
      <w:r w:rsidRPr="004E6412">
        <w:rPr>
          <w:rFonts w:ascii="Times New Roman" w:hAnsi="Times New Roman"/>
        </w:rPr>
        <w:t>. Postoji potencijal u razvoju nemetalnog s</w:t>
      </w:r>
      <w:r w:rsidR="00E17554" w:rsidRPr="004E6412">
        <w:rPr>
          <w:rFonts w:ascii="Times New Roman" w:hAnsi="Times New Roman"/>
        </w:rPr>
        <w:t xml:space="preserve">ektora </w:t>
      </w:r>
      <w:r w:rsidR="003E192A" w:rsidRPr="004E6412">
        <w:rPr>
          <w:rFonts w:ascii="Times New Roman" w:hAnsi="Times New Roman"/>
        </w:rPr>
        <w:t>na temelju istraženog nemetalnog resursa u Hrvatskoj za</w:t>
      </w:r>
      <w:r w:rsidR="00E17554" w:rsidRPr="004E6412">
        <w:rPr>
          <w:rFonts w:ascii="Times New Roman" w:hAnsi="Times New Roman"/>
        </w:rPr>
        <w:t xml:space="preserve"> proizvodnj</w:t>
      </w:r>
      <w:r w:rsidR="003E192A" w:rsidRPr="004E6412">
        <w:rPr>
          <w:rFonts w:ascii="Times New Roman" w:hAnsi="Times New Roman"/>
        </w:rPr>
        <w:t>u</w:t>
      </w:r>
      <w:r w:rsidRPr="004E6412">
        <w:rPr>
          <w:rFonts w:ascii="Times New Roman" w:hAnsi="Times New Roman"/>
        </w:rPr>
        <w:t xml:space="preserve"> stakla, građevinskog materijala, izolacijskog materijala, keramike i arhitektonskog kamena. </w:t>
      </w:r>
    </w:p>
    <w:p w:rsidR="003E192A" w:rsidRPr="004E6412" w:rsidRDefault="003E192A" w:rsidP="003E192A">
      <w:pPr>
        <w:pStyle w:val="ListParagraph"/>
        <w:jc w:val="both"/>
        <w:rPr>
          <w:rFonts w:ascii="Times New Roman" w:hAnsi="Times New Roman"/>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Na području Hrvatske nalazi se značajan broj kam</w:t>
      </w:r>
      <w:r w:rsidR="00E17554" w:rsidRPr="004E6412">
        <w:rPr>
          <w:rFonts w:ascii="Times New Roman" w:hAnsi="Times New Roman"/>
        </w:rPr>
        <w:t>enoloma arhitektonskog kamena. Č</w:t>
      </w:r>
      <w:r w:rsidRPr="004E6412">
        <w:rPr>
          <w:rFonts w:ascii="Times New Roman" w:hAnsi="Times New Roman"/>
        </w:rPr>
        <w:t xml:space="preserve">ak 19% svih eksploatacijskih polja otpada na ovu mineralnu sirovinu, a eksploatiraju se prvenstveno sedimentne stijene. </w:t>
      </w:r>
      <w:r w:rsidR="006F2194" w:rsidRPr="004E6412">
        <w:rPr>
          <w:rFonts w:ascii="Times New Roman" w:hAnsi="Times New Roman"/>
        </w:rPr>
        <w:t>Postoje velike količine dokazanih rezervi na cijelom području Hrvatske</w:t>
      </w:r>
      <w:r w:rsidRPr="004E6412">
        <w:rPr>
          <w:rFonts w:ascii="Times New Roman" w:hAnsi="Times New Roman"/>
        </w:rPr>
        <w:t xml:space="preserve">. Kada se </w:t>
      </w:r>
      <w:r w:rsidR="00E17554" w:rsidRPr="004E6412">
        <w:rPr>
          <w:rFonts w:ascii="Times New Roman" w:hAnsi="Times New Roman"/>
        </w:rPr>
        <w:t>njegova proizvodnja</w:t>
      </w:r>
      <w:r w:rsidRPr="004E6412">
        <w:rPr>
          <w:rFonts w:ascii="Times New Roman" w:hAnsi="Times New Roman"/>
        </w:rPr>
        <w:t xml:space="preserve"> u Hrvatskoj usporedi s europskim zemljama, zaključuje se da Hrvatska proizvodi više tehničko-građevnog materijala po stanovniku od Belgije, Francuske, Njemačke, Italije, Nizozemsk</w:t>
      </w:r>
      <w:r w:rsidR="0092452C" w:rsidRPr="004E6412">
        <w:rPr>
          <w:rFonts w:ascii="Times New Roman" w:hAnsi="Times New Roman"/>
        </w:rPr>
        <w:t>e i Velike Britanije. Mogući problem eksploatacije ov</w:t>
      </w:r>
      <w:r w:rsidRPr="004E6412">
        <w:rPr>
          <w:rFonts w:ascii="Times New Roman" w:hAnsi="Times New Roman"/>
        </w:rPr>
        <w:t>og materijala je relativno niska iskoristivost ukupne stijenske mase (oko 20%), a ostat</w:t>
      </w:r>
      <w:r w:rsidR="0092452C" w:rsidRPr="004E6412">
        <w:rPr>
          <w:rFonts w:ascii="Times New Roman" w:hAnsi="Times New Roman"/>
        </w:rPr>
        <w:t>ak se može koristiti kao rezerva</w:t>
      </w:r>
      <w:r w:rsidRPr="004E6412">
        <w:rPr>
          <w:rFonts w:ascii="Times New Roman" w:hAnsi="Times New Roman"/>
        </w:rPr>
        <w:t xml:space="preserve"> tehničko-građevnog kamena ili karbonatne sirovine.</w:t>
      </w:r>
    </w:p>
    <w:p w:rsidR="00A55C27" w:rsidRPr="004E6412" w:rsidRDefault="00A55C27" w:rsidP="00A55C27">
      <w:pPr>
        <w:rPr>
          <w:sz w:val="22"/>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 xml:space="preserve">Glina i gips predstavljaju sirovine koje u Hrvatskoj imaju dugu tradiciju primjene. Posebno ciglarska glina, a time i ciglarska industrija. Većina ciglarskih glina pripada kvartarnim lesnim naslagama, ali se koriste i neki trijaskipeliti Dalmacije. Industrijska prerada gipsa prisutna je u </w:t>
      </w:r>
      <w:r w:rsidRPr="004E6412">
        <w:rPr>
          <w:rFonts w:ascii="Times New Roman" w:hAnsi="Times New Roman"/>
        </w:rPr>
        <w:lastRenderedPageBreak/>
        <w:t>Hrvatskoj pokraj velikih ležišta. Uz razvoj tehnologija obrade i značajne rezerve, proizvodi industrije za preradu nemetalnih mineralnih sirovina trebali bi biti važan izvozni proizvod.</w:t>
      </w:r>
    </w:p>
    <w:p w:rsidR="00A55C27" w:rsidRPr="004E6412" w:rsidRDefault="00A55C27" w:rsidP="00A55C27">
      <w:pPr>
        <w:pStyle w:val="ListParagraph"/>
        <w:spacing w:after="0"/>
        <w:jc w:val="both"/>
        <w:rPr>
          <w:rFonts w:ascii="Times New Roman" w:hAnsi="Times New Roman"/>
        </w:rPr>
      </w:pPr>
    </w:p>
    <w:p w:rsidR="00A55C27" w:rsidRPr="004E6412" w:rsidRDefault="00870539" w:rsidP="00870539">
      <w:pPr>
        <w:pStyle w:val="ListParagraph"/>
        <w:numPr>
          <w:ilvl w:val="0"/>
          <w:numId w:val="76"/>
        </w:numPr>
        <w:spacing w:after="0"/>
        <w:jc w:val="both"/>
        <w:rPr>
          <w:rFonts w:ascii="Times New Roman" w:hAnsi="Times New Roman"/>
        </w:rPr>
      </w:pPr>
      <w:r w:rsidRPr="004E6412">
        <w:rPr>
          <w:rFonts w:ascii="Times New Roman" w:hAnsi="Times New Roman"/>
        </w:rPr>
        <w:t>U Hrvatskoj postoje velike količine dokazanih rezervi kvarcnog pijeska ili kremenog pijeska (drugi naziv) za razvoj staklarske industrije</w:t>
      </w:r>
      <w:r w:rsidR="00D63430" w:rsidRPr="004E6412">
        <w:rPr>
          <w:rFonts w:ascii="Times New Roman" w:hAnsi="Times New Roman"/>
        </w:rPr>
        <w:t xml:space="preserve"> Potencijalna nova ležišta </w:t>
      </w:r>
      <w:r w:rsidR="00A55C27" w:rsidRPr="004E6412">
        <w:rPr>
          <w:rFonts w:ascii="Times New Roman" w:hAnsi="Times New Roman"/>
        </w:rPr>
        <w:t>vrlo</w:t>
      </w:r>
      <w:r w:rsidR="00D63430" w:rsidRPr="004E6412">
        <w:rPr>
          <w:rFonts w:ascii="Times New Roman" w:hAnsi="Times New Roman"/>
        </w:rPr>
        <w:t xml:space="preserve"> su</w:t>
      </w:r>
      <w:r w:rsidR="00A55C27" w:rsidRPr="004E6412">
        <w:rPr>
          <w:rFonts w:ascii="Times New Roman" w:hAnsi="Times New Roman"/>
        </w:rPr>
        <w:t xml:space="preserve"> izgledna. Trenutna količina procijenjenih rezervi iznosi oko 40 milijuna tona. Postoje ležišta barita koja su istražena u Gorskom kotaru, Lici i na Petrovoj gori. </w:t>
      </w:r>
    </w:p>
    <w:p w:rsidR="00A55C27" w:rsidRPr="004E6412" w:rsidRDefault="00A55C27" w:rsidP="00A55C27">
      <w:pPr>
        <w:rPr>
          <w:szCs w:val="24"/>
        </w:rPr>
      </w:pPr>
    </w:p>
    <w:p w:rsidR="00A55C27" w:rsidRPr="004E6412" w:rsidRDefault="00A55C27" w:rsidP="00D001B9">
      <w:pPr>
        <w:pStyle w:val="Heading4"/>
      </w:pPr>
      <w:bookmarkStart w:id="163" w:name="_Toc366154251"/>
      <w:bookmarkStart w:id="164" w:name="_Toc366154369"/>
      <w:bookmarkStart w:id="165" w:name="_Toc366409911"/>
      <w:bookmarkStart w:id="166" w:name="_Toc372087938"/>
      <w:r w:rsidRPr="004E6412">
        <w:t>Ležišta energetskih sirovina</w:t>
      </w:r>
      <w:bookmarkEnd w:id="163"/>
      <w:bookmarkEnd w:id="164"/>
      <w:bookmarkEnd w:id="165"/>
      <w:bookmarkEnd w:id="166"/>
    </w:p>
    <w:p w:rsidR="00DD4316"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Energetske sirovine mogu se svrstati u strateške sirovine jer su preduvjet gospodarskog razvoja svake zemlje. Nafta, prirodni plin i ugljen pokrivaju i do 90% svih potreba za energijom. Područje Hrvatske nije se kroz geološku povijest našlo u uvjetima povoljnim za stvaranja značajnih ugljenih naslaga. </w:t>
      </w:r>
      <w:r w:rsidR="00DD4316" w:rsidRPr="004E6412">
        <w:rPr>
          <w:rFonts w:ascii="Times New Roman" w:hAnsi="Times New Roman"/>
        </w:rPr>
        <w:t>U Hrvatskoj je eksploatacija ugljena prestala još prije 30 godina</w:t>
      </w:r>
      <w:r w:rsidRPr="004E6412">
        <w:rPr>
          <w:rFonts w:ascii="Times New Roman" w:hAnsi="Times New Roman"/>
        </w:rPr>
        <w:t xml:space="preserve">. </w:t>
      </w:r>
    </w:p>
    <w:p w:rsidR="00DD4316" w:rsidRPr="004E6412" w:rsidRDefault="00DD4316" w:rsidP="00DD4316">
      <w:pPr>
        <w:pStyle w:val="ListParagraph"/>
        <w:spacing w:after="0"/>
        <w:jc w:val="both"/>
        <w:rPr>
          <w:rFonts w:ascii="Times New Roman" w:hAnsi="Times New Roman"/>
        </w:rPr>
      </w:pPr>
    </w:p>
    <w:p w:rsidR="00A55C27"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Veliki potencijal za korištenje ugljena u energetskom pogledu imaju ugljeni neogenskog Dinaridskog jezerskog sustava kojem pripada Sinjski bazen. Iako postoje značajna ležišta ugljena na prostoru Hrvatske, trenutno kretanje cijena energije i energetskih sirovina ova ležišta isključuje iz razmatranja za eksploataciju. U Hrvatskoj se najveće količine energetskih sirovina uvoze za proizvodnju električne energije u termoelektranama Plomin I. i II.</w:t>
      </w:r>
    </w:p>
    <w:p w:rsidR="00A55C27" w:rsidRPr="004E6412" w:rsidRDefault="00A55C27" w:rsidP="00A55C27">
      <w:pPr>
        <w:rPr>
          <w:sz w:val="22"/>
        </w:rPr>
      </w:pPr>
    </w:p>
    <w:p w:rsidR="00A55C27" w:rsidRPr="004E6412" w:rsidRDefault="00DD4316"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U Hrvatskoj postoje potencijalne zalihe ugljikovodika koje treba istražiti. </w:t>
      </w:r>
      <w:r w:rsidR="00A55C27" w:rsidRPr="004E6412">
        <w:rPr>
          <w:rFonts w:ascii="Times New Roman" w:hAnsi="Times New Roman"/>
        </w:rPr>
        <w:t>Hrvatska spada u skupinu zemalja koje dio svojih potreba za ugljikovodicima pokriva</w:t>
      </w:r>
      <w:r w:rsidR="00123E2C" w:rsidRPr="004E6412">
        <w:rPr>
          <w:rFonts w:ascii="Times New Roman" w:hAnsi="Times New Roman"/>
        </w:rPr>
        <w:t>ju</w:t>
      </w:r>
      <w:r w:rsidR="00A55C27" w:rsidRPr="004E6412">
        <w:rPr>
          <w:rFonts w:ascii="Times New Roman" w:hAnsi="Times New Roman"/>
        </w:rPr>
        <w:t xml:space="preserve"> iz vlastite proizvodnje. Do prije nekoliko godina nafta i plin su se isplativo crpili samo u Panonskom bazenu, ali u novije vrijeme otkriven je velik potencijal Jadranskog podmorja. Proizvodnja ugljikovodika u Panonsko</w:t>
      </w:r>
      <w:r w:rsidR="00F7367C" w:rsidRPr="004E6412">
        <w:rPr>
          <w:rFonts w:ascii="Times New Roman" w:hAnsi="Times New Roman"/>
        </w:rPr>
        <w:t>m bazenu započela je još pedesetih</w:t>
      </w:r>
      <w:r w:rsidR="00A55C27" w:rsidRPr="004E6412">
        <w:rPr>
          <w:rFonts w:ascii="Times New Roman" w:hAnsi="Times New Roman"/>
        </w:rPr>
        <w:t xml:space="preserve"> godina dvadesetog stoljeća i do sada je otkriveno 40 naftnih i 25 plinskih polja. Godišnje se proizvede oko 700.000 tona sirove nafte, koja se dalje prerađuje u naftne derivate i koristi za proizvodnju energije. </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Glavni geotermalni potencijali nalaze se u panonskom području Hrvatske gdje postoje velike mogućnosti za njihovo iskorištavanje. </w:t>
      </w:r>
    </w:p>
    <w:p w:rsidR="00A55C27" w:rsidRPr="004E6412" w:rsidRDefault="00A55C27" w:rsidP="00A55C27">
      <w:pPr>
        <w:pStyle w:val="ListParagraph"/>
        <w:rPr>
          <w:rFonts w:ascii="Times New Roman" w:hAnsi="Times New Roman"/>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Iako slabo istražen sa svega 23 duboke strukturne istražne bušotine prostor Dinarida ima veliki potencijal za pronalazak novih ležišta nafte i plina. Visoka cijena energije i energenata može pogodovati budućim ulaganjima u istraživanja ovih prostora.</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Trenutno hrvatska proizvodnja ne može zadovoljiti svoje potrebe za energijom iz postojećih ležišta energetskih mineralnih sirovina. Da bi </w:t>
      </w:r>
      <w:r w:rsidR="00F7367C" w:rsidRPr="004E6412">
        <w:rPr>
          <w:rFonts w:ascii="Times New Roman" w:hAnsi="Times New Roman"/>
        </w:rPr>
        <w:t>se stekla energetska neovisnost</w:t>
      </w:r>
      <w:r w:rsidRPr="004E6412">
        <w:rPr>
          <w:rFonts w:ascii="Times New Roman" w:hAnsi="Times New Roman"/>
        </w:rPr>
        <w:t xml:space="preserve"> ili smanjio uvoz energetskih mineralnih sirovina</w:t>
      </w:r>
      <w:r w:rsidR="00F7367C" w:rsidRPr="004E6412">
        <w:rPr>
          <w:rFonts w:ascii="Times New Roman" w:hAnsi="Times New Roman"/>
        </w:rPr>
        <w:t>,</w:t>
      </w:r>
      <w:r w:rsidRPr="004E6412">
        <w:rPr>
          <w:rFonts w:ascii="Times New Roman" w:hAnsi="Times New Roman"/>
        </w:rPr>
        <w:t xml:space="preserve"> potrebna su dodatna ulaganja u istraživanja postojećih ležišta ili raspisivanje koncesija na potencijalna, nedovoljno istražena područja na prostoru Hrvatske. Također bi trebalo ulagati u proizvodnju energije iz obnovljivih izvora. S</w:t>
      </w:r>
      <w:r w:rsidR="00F7367C" w:rsidRPr="004E6412">
        <w:rPr>
          <w:rFonts w:ascii="Times New Roman" w:hAnsi="Times New Roman"/>
        </w:rPr>
        <w:t xml:space="preserve"> obzirom na velik broj bušotina i</w:t>
      </w:r>
      <w:r w:rsidRPr="004E6412">
        <w:rPr>
          <w:rFonts w:ascii="Times New Roman" w:hAnsi="Times New Roman"/>
        </w:rPr>
        <w:t xml:space="preserve"> pogodan geotermalni gradijent, potencijal Hrvatske u geotermalnim resursima je značajan.</w:t>
      </w:r>
    </w:p>
    <w:p w:rsidR="00A55C27" w:rsidRPr="004E6412" w:rsidRDefault="00A55C27" w:rsidP="00A55C27">
      <w:pPr>
        <w:ind w:left="720"/>
      </w:pPr>
    </w:p>
    <w:p w:rsidR="00A55C27" w:rsidRPr="004E6412" w:rsidRDefault="00F7367C" w:rsidP="00D001B9">
      <w:pPr>
        <w:pStyle w:val="Heading4"/>
      </w:pPr>
      <w:bookmarkStart w:id="167" w:name="_Toc366409912"/>
      <w:bookmarkStart w:id="168" w:name="_Toc372087939"/>
      <w:r w:rsidRPr="004E6412">
        <w:t>Učinkovitost</w:t>
      </w:r>
      <w:r w:rsidR="00A55C27" w:rsidRPr="004E6412">
        <w:t xml:space="preserve"> gospodarske uporabe prirodnih resursa</w:t>
      </w:r>
      <w:bookmarkEnd w:id="167"/>
      <w:bookmarkEnd w:id="168"/>
    </w:p>
    <w:p w:rsidR="00A55C27" w:rsidRPr="004E6412" w:rsidRDefault="00A55C27" w:rsidP="00FA5F29">
      <w:pPr>
        <w:numPr>
          <w:ilvl w:val="0"/>
          <w:numId w:val="85"/>
        </w:numPr>
        <w:rPr>
          <w:sz w:val="22"/>
        </w:rPr>
      </w:pPr>
      <w:r w:rsidRPr="004E6412">
        <w:rPr>
          <w:sz w:val="22"/>
        </w:rPr>
        <w:t>Metalne mineralne sirovine na prostorima Hrvatske nemaju gotovo nikakvog p</w:t>
      </w:r>
      <w:r w:rsidR="00F7367C" w:rsidRPr="004E6412">
        <w:rPr>
          <w:sz w:val="22"/>
        </w:rPr>
        <w:t xml:space="preserve">otencijala.  Ležišta boksita </w:t>
      </w:r>
      <w:r w:rsidRPr="004E6412">
        <w:rPr>
          <w:sz w:val="22"/>
        </w:rPr>
        <w:t>brojna</w:t>
      </w:r>
      <w:r w:rsidR="00F7367C" w:rsidRPr="004E6412">
        <w:rPr>
          <w:sz w:val="22"/>
        </w:rPr>
        <w:t xml:space="preserve"> su</w:t>
      </w:r>
      <w:r w:rsidRPr="004E6412">
        <w:rPr>
          <w:sz w:val="22"/>
        </w:rPr>
        <w:t xml:space="preserve"> i značajna, ali se sirovina ne koristi za proizvodnju metala (Al) već </w:t>
      </w:r>
      <w:r w:rsidRPr="004E6412">
        <w:rPr>
          <w:sz w:val="22"/>
        </w:rPr>
        <w:lastRenderedPageBreak/>
        <w:t>se većinom koristi u prerađivačkoj industriji kao s</w:t>
      </w:r>
      <w:r w:rsidR="00DD4316" w:rsidRPr="004E6412">
        <w:rPr>
          <w:sz w:val="22"/>
        </w:rPr>
        <w:t xml:space="preserve">irovina za proizvodnju cementa </w:t>
      </w:r>
      <w:r w:rsidR="00F7367C" w:rsidRPr="004E6412">
        <w:rPr>
          <w:sz w:val="22"/>
        </w:rPr>
        <w:t xml:space="preserve">i </w:t>
      </w:r>
      <w:r w:rsidRPr="004E6412">
        <w:rPr>
          <w:sz w:val="22"/>
        </w:rPr>
        <w:t xml:space="preserve">pigmenata u industriji boja.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Sve nemetalne mineralne sirovine u Hrvatskoj</w:t>
      </w:r>
      <w:r w:rsidR="00DD4316" w:rsidRPr="004E6412">
        <w:rPr>
          <w:sz w:val="22"/>
        </w:rPr>
        <w:t xml:space="preserve"> imaju</w:t>
      </w:r>
      <w:r w:rsidRPr="004E6412">
        <w:rPr>
          <w:sz w:val="22"/>
        </w:rPr>
        <w:t xml:space="preserve"> </w:t>
      </w:r>
      <w:r w:rsidR="00DD4316" w:rsidRPr="004E6412">
        <w:rPr>
          <w:sz w:val="22"/>
        </w:rPr>
        <w:t>relativno velike</w:t>
      </w:r>
      <w:r w:rsidRPr="004E6412">
        <w:rPr>
          <w:sz w:val="22"/>
        </w:rPr>
        <w:t xml:space="preserve"> rezerve osim ležišta ba</w:t>
      </w:r>
      <w:r w:rsidR="00F7367C" w:rsidRPr="004E6412">
        <w:rPr>
          <w:sz w:val="22"/>
        </w:rPr>
        <w:t>rita. Građevinska industrija važan je čimbenik</w:t>
      </w:r>
      <w:r w:rsidRPr="004E6412">
        <w:rPr>
          <w:sz w:val="22"/>
        </w:rPr>
        <w:t xml:space="preserve"> koji određuje potrebu za eksploatacijom tehničko-građevnog kamena, šljunka i pijeska, ali i sirovine za proizvodnju cementa i vapna koje imaju i izvozni značaj. Arhitektonsko-građevni kamen je sirovina koja se također koristi u graditeljstvu, ali kao proizvod u završnim radovima što mu daje na vrijednosti i zbog čega postiže znatno veću cijenu. Sirovine za proizvodnju cementa, karbonatne sirovine za industrijsku preradu, gips, ciglarska</w:t>
      </w:r>
      <w:r w:rsidR="00F7367C" w:rsidRPr="004E6412">
        <w:rPr>
          <w:sz w:val="22"/>
        </w:rPr>
        <w:t>, keramička i vatrostalna glina te</w:t>
      </w:r>
      <w:r w:rsidRPr="004E6412">
        <w:rPr>
          <w:sz w:val="22"/>
        </w:rPr>
        <w:t xml:space="preserve"> kremeni pijesak svoj značaj dobivaju tek nakon prerade, što je temelj prerađivačke industrije koja treba biti izvozno orijentirana gospodarska grana.</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 xml:space="preserve">Hrvatska velik dio svojih energetskih potreba zadovoljava uvozom. </w:t>
      </w:r>
      <w:r w:rsidR="008B4E96" w:rsidRPr="004E6412">
        <w:rPr>
          <w:sz w:val="22"/>
        </w:rPr>
        <w:t xml:space="preserve">U Hrvatskoj ne postoji ekspoloatacija </w:t>
      </w:r>
      <w:r w:rsidRPr="004E6412">
        <w:rPr>
          <w:sz w:val="22"/>
        </w:rPr>
        <w:t>ug</w:t>
      </w:r>
      <w:r w:rsidR="008B4E96" w:rsidRPr="004E6412">
        <w:rPr>
          <w:sz w:val="22"/>
        </w:rPr>
        <w:t>ljena</w:t>
      </w:r>
      <w:r w:rsidRPr="004E6412">
        <w:rPr>
          <w:sz w:val="22"/>
        </w:rPr>
        <w:t xml:space="preserve"> pa </w:t>
      </w:r>
      <w:r w:rsidR="008662C3" w:rsidRPr="004E6412">
        <w:rPr>
          <w:sz w:val="22"/>
        </w:rPr>
        <w:t>se sva potrebna količina</w:t>
      </w:r>
      <w:r w:rsidR="008B4E96" w:rsidRPr="004E6412">
        <w:rPr>
          <w:sz w:val="22"/>
        </w:rPr>
        <w:t xml:space="preserve"> uvozi</w:t>
      </w:r>
      <w:r w:rsidRPr="004E6412">
        <w:rPr>
          <w:sz w:val="22"/>
        </w:rPr>
        <w:t xml:space="preserve">. </w:t>
      </w:r>
      <w:r w:rsidR="008B4E96" w:rsidRPr="004E6412">
        <w:rPr>
          <w:sz w:val="22"/>
        </w:rPr>
        <w:t>S ugljikovodicima je situacija nešto drugačija</w:t>
      </w:r>
      <w:r w:rsidRPr="004E6412">
        <w:rPr>
          <w:sz w:val="22"/>
        </w:rPr>
        <w:t>. Trend j</w:t>
      </w:r>
      <w:r w:rsidR="008662C3" w:rsidRPr="004E6412">
        <w:rPr>
          <w:sz w:val="22"/>
        </w:rPr>
        <w:t>e smanjenja uvoza nafte i plina</w:t>
      </w:r>
      <w:r w:rsidR="00F7367C" w:rsidRPr="004E6412">
        <w:rPr>
          <w:sz w:val="22"/>
        </w:rPr>
        <w:t>,</w:t>
      </w:r>
      <w:r w:rsidR="008662C3" w:rsidRPr="004E6412">
        <w:rPr>
          <w:sz w:val="22"/>
        </w:rPr>
        <w:t xml:space="preserve"> i</w:t>
      </w:r>
      <w:r w:rsidR="00F7367C" w:rsidRPr="004E6412">
        <w:rPr>
          <w:sz w:val="22"/>
        </w:rPr>
        <w:t xml:space="preserve"> </w:t>
      </w:r>
      <w:r w:rsidR="008662C3" w:rsidRPr="004E6412">
        <w:rPr>
          <w:sz w:val="22"/>
        </w:rPr>
        <w:t>to</w:t>
      </w:r>
      <w:r w:rsidRPr="004E6412">
        <w:rPr>
          <w:sz w:val="22"/>
        </w:rPr>
        <w:t xml:space="preserve"> za oko 4% godišnje.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Potencijalna proizvodnja toplinske energije iz geotermalnih izvora u Hrvatskoj iznosi oko 500 MW od čega se ne može sve koristiti za proizvodnju električne energije. Moguća je i prenamjena pojedinih ležišta nafte i plina, nakon obustave proizvodnje tog energenta, u proizvodne bušotine geotermalne energije.</w:t>
      </w:r>
    </w:p>
    <w:p w:rsidR="00A55C27" w:rsidRPr="004E6412" w:rsidRDefault="00A55C27" w:rsidP="00A55C27">
      <w:pPr>
        <w:rPr>
          <w:szCs w:val="24"/>
        </w:rPr>
      </w:pPr>
    </w:p>
    <w:p w:rsidR="00A55C27" w:rsidRPr="004E6412" w:rsidRDefault="00A55C27" w:rsidP="00D001B9">
      <w:pPr>
        <w:pStyle w:val="Heading4"/>
      </w:pPr>
      <w:bookmarkStart w:id="169" w:name="_Toc366154252"/>
      <w:bookmarkStart w:id="170" w:name="_Toc366154370"/>
      <w:bookmarkStart w:id="171" w:name="_Toc366409913"/>
      <w:bookmarkStart w:id="172" w:name="_Toc372087940"/>
      <w:r w:rsidRPr="004E6412">
        <w:t>Poljoprivredna zemljišta</w:t>
      </w:r>
      <w:bookmarkEnd w:id="169"/>
      <w:bookmarkEnd w:id="170"/>
      <w:bookmarkEnd w:id="171"/>
      <w:bookmarkEnd w:id="172"/>
    </w:p>
    <w:p w:rsidR="00A55C27" w:rsidRPr="004E6412" w:rsidRDefault="00A55C27" w:rsidP="00FA5F29">
      <w:pPr>
        <w:pStyle w:val="ListParagraph"/>
        <w:numPr>
          <w:ilvl w:val="0"/>
          <w:numId w:val="78"/>
        </w:numPr>
        <w:spacing w:after="0"/>
        <w:jc w:val="both"/>
        <w:rPr>
          <w:rFonts w:ascii="Times New Roman" w:hAnsi="Times New Roman"/>
          <w:bCs/>
        </w:rPr>
      </w:pPr>
      <w:r w:rsidRPr="004E6412">
        <w:rPr>
          <w:rFonts w:ascii="Times New Roman" w:hAnsi="Times New Roman"/>
          <w:bCs/>
        </w:rPr>
        <w:t xml:space="preserve">Iako je početkom dvadesetog stoljeća </w:t>
      </w:r>
      <w:r w:rsidR="008662C3" w:rsidRPr="004E6412">
        <w:rPr>
          <w:rFonts w:ascii="Times New Roman" w:hAnsi="Times New Roman"/>
          <w:bCs/>
        </w:rPr>
        <w:t>poljoprivreda</w:t>
      </w:r>
      <w:r w:rsidRPr="004E6412">
        <w:rPr>
          <w:rFonts w:ascii="Times New Roman" w:hAnsi="Times New Roman"/>
          <w:bCs/>
        </w:rPr>
        <w:t xml:space="preserve"> bila temeljna djelatnost u Hrvatskoj, današnja slika je uvelike drugačija pa tako proizvodnja s poljoprivrednih zemljišta sudjeluje s manje od 6% </w:t>
      </w:r>
      <w:r w:rsidR="008662C3" w:rsidRPr="004E6412">
        <w:rPr>
          <w:rFonts w:ascii="Times New Roman" w:hAnsi="Times New Roman"/>
          <w:bCs/>
        </w:rPr>
        <w:t>u bruto domaćem proizvodu</w:t>
      </w:r>
      <w:r w:rsidR="00F7367C" w:rsidRPr="004E6412">
        <w:rPr>
          <w:rFonts w:ascii="Times New Roman" w:hAnsi="Times New Roman"/>
          <w:bCs/>
        </w:rPr>
        <w:t>. Prema dostupnim poda</w:t>
      </w:r>
      <w:r w:rsidRPr="004E6412">
        <w:rPr>
          <w:rFonts w:ascii="Times New Roman" w:hAnsi="Times New Roman"/>
          <w:bCs/>
        </w:rPr>
        <w:t>cima</w:t>
      </w:r>
      <w:r w:rsidR="00594302" w:rsidRPr="004E6412">
        <w:rPr>
          <w:rFonts w:ascii="Times New Roman" w:hAnsi="Times New Roman"/>
          <w:bCs/>
        </w:rPr>
        <w:t>,</w:t>
      </w:r>
      <w:r w:rsidRPr="004E6412">
        <w:rPr>
          <w:rFonts w:ascii="Times New Roman" w:hAnsi="Times New Roman"/>
          <w:bCs/>
        </w:rPr>
        <w:t xml:space="preserve"> u Hrvatskoj ima ukupno </w:t>
      </w:r>
      <w:smartTag w:uri="urn:schemas-microsoft-com:office:smarttags" w:element="metricconverter">
        <w:smartTagPr>
          <w:attr w:name="ProductID" w:val="2.695.000 hektara"/>
        </w:smartTagPr>
        <w:r w:rsidRPr="004E6412">
          <w:rPr>
            <w:rFonts w:ascii="Times New Roman" w:hAnsi="Times New Roman"/>
            <w:bCs/>
          </w:rPr>
          <w:t>2.695.000 hektara</w:t>
        </w:r>
      </w:smartTag>
      <w:r w:rsidRPr="004E6412">
        <w:rPr>
          <w:rFonts w:ascii="Times New Roman" w:hAnsi="Times New Roman"/>
          <w:bCs/>
        </w:rPr>
        <w:t xml:space="preserve"> poljoprivrednog zemljišta. Od toga je u privatnom vlasništvu 67%, a u državn</w:t>
      </w:r>
      <w:r w:rsidR="00594302" w:rsidRPr="004E6412">
        <w:rPr>
          <w:rFonts w:ascii="Times New Roman" w:hAnsi="Times New Roman"/>
          <w:bCs/>
        </w:rPr>
        <w:t>om 33%</w:t>
      </w:r>
      <w:r w:rsidRPr="004E6412">
        <w:rPr>
          <w:rFonts w:ascii="Times New Roman" w:hAnsi="Times New Roman"/>
          <w:bCs/>
        </w:rPr>
        <w:t>. U strukturi državnog poljoprivrednog zemljišta prevladava neobradivo poljoprivredno zemljište (71%), dok na obradivo poljoprivredno zemljište (oranice, vrtovi, vinogradi, voćnjaci, maslinici i livade) otpada 29%.</w:t>
      </w:r>
    </w:p>
    <w:p w:rsidR="00A55C27" w:rsidRPr="004E6412" w:rsidRDefault="00A55C27" w:rsidP="00A55C27">
      <w:pPr>
        <w:rPr>
          <w:bCs/>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Najveći udio (44,8%) u</w:t>
      </w:r>
      <w:r w:rsidR="00F7367C" w:rsidRPr="004E6412">
        <w:rPr>
          <w:rFonts w:ascii="Times New Roman" w:hAnsi="Times New Roman"/>
        </w:rPr>
        <w:t xml:space="preserve"> poljoprivrednom zemljištu zauzima „</w:t>
      </w:r>
      <w:r w:rsidRPr="004E6412">
        <w:rPr>
          <w:rFonts w:ascii="Times New Roman" w:hAnsi="Times New Roman"/>
        </w:rPr>
        <w:t>mozaik različitih načina poljoprivrednog korištenja” koji predstavlja usitnjene poljoprivredne  površin</w:t>
      </w:r>
      <w:r w:rsidR="00F7367C" w:rsidRPr="004E6412">
        <w:rPr>
          <w:rFonts w:ascii="Times New Roman" w:hAnsi="Times New Roman"/>
        </w:rPr>
        <w:t>e pod različitim usjevima. Druge</w:t>
      </w:r>
      <w:r w:rsidRPr="004E6412">
        <w:rPr>
          <w:rFonts w:ascii="Times New Roman" w:hAnsi="Times New Roman"/>
        </w:rPr>
        <w:t xml:space="preserve"> po zastupljenosti (oko 23%) su poljoprivredne površine sa značajnim udjelom prirodne vegetacije koja također predstavlja usitnjene poljoprivredne površine s različitim usjevima između kojih su mozaično raspoređene površine pokrivene prirodnom vegetacijom. Oranice obuhvaćaju oko 16% ukupnog poljoprivrednog zemljišta, slijede livade/pašnjaci s 13%, a vinogradi, maslinici, navodnjavane poljoprivredne površine i voćnjaci redom zauzimaju 1,27%, 0,88%, 0,43% i 0,42% ukupne poljoprivredne površine.</w:t>
      </w:r>
    </w:p>
    <w:p w:rsidR="00A55C27" w:rsidRPr="004E6412" w:rsidRDefault="00A55C27" w:rsidP="00A55C27">
      <w:pPr>
        <w:rPr>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Analiza proizvodnje pokazala je da se u posljednjih 15 godina bilježi porast u proizvodnji kruš</w:t>
      </w:r>
      <w:r w:rsidR="00F7367C" w:rsidRPr="004E6412">
        <w:rPr>
          <w:rFonts w:ascii="Times New Roman" w:hAnsi="Times New Roman"/>
        </w:rPr>
        <w:t>nog i stočnog žita i proizvodnji</w:t>
      </w:r>
      <w:r w:rsidRPr="004E6412">
        <w:rPr>
          <w:rFonts w:ascii="Times New Roman" w:hAnsi="Times New Roman"/>
        </w:rPr>
        <w:t xml:space="preserve"> industrijskog bilja (prvenstveno uljarica i šećerne repe). Proizvodnja duhana stagnira, a proizvodna tekstilnih vlakana je gotovo potpuno zamrla. Većina proizvodnje navedenih kultura odvija se u Slavoniji, Podravini i Baranji. Što se uzgoja voća tiče, situacija je slična. Proizvodnja grožđa stagnira zadnjih osamdesetak godina (oko 350.000 tona</w:t>
      </w:r>
      <w:r w:rsidR="00594302" w:rsidRPr="004E6412">
        <w:rPr>
          <w:rFonts w:ascii="Times New Roman" w:hAnsi="Times New Roman"/>
        </w:rPr>
        <w:t xml:space="preserve"> godišnje). K</w:t>
      </w:r>
      <w:r w:rsidR="00F7367C" w:rsidRPr="004E6412">
        <w:rPr>
          <w:rFonts w:ascii="Times New Roman" w:hAnsi="Times New Roman"/>
        </w:rPr>
        <w:t xml:space="preserve">ako se </w:t>
      </w:r>
      <w:r w:rsidRPr="004E6412">
        <w:rPr>
          <w:rFonts w:ascii="Times New Roman" w:hAnsi="Times New Roman"/>
        </w:rPr>
        <w:t xml:space="preserve">grožđe </w:t>
      </w:r>
      <w:r w:rsidR="00F7367C" w:rsidRPr="004E6412">
        <w:rPr>
          <w:rFonts w:ascii="Times New Roman" w:hAnsi="Times New Roman"/>
        </w:rPr>
        <w:t xml:space="preserve">sve više </w:t>
      </w:r>
      <w:r w:rsidRPr="004E6412">
        <w:rPr>
          <w:rFonts w:ascii="Times New Roman" w:hAnsi="Times New Roman"/>
        </w:rPr>
        <w:t xml:space="preserve">konzumira kao stolno, i proizvodnja vina se smanjila, iako u posljednjih nekoliko godina bilježi lagani oporavak. </w:t>
      </w:r>
      <w:r w:rsidR="00594302" w:rsidRPr="004E6412">
        <w:rPr>
          <w:rFonts w:ascii="Times New Roman" w:hAnsi="Times New Roman"/>
        </w:rPr>
        <w:t xml:space="preserve">U razdoblju od 2000. do </w:t>
      </w:r>
      <w:r w:rsidR="00594302" w:rsidRPr="004E6412">
        <w:rPr>
          <w:rFonts w:ascii="Times New Roman" w:hAnsi="Times New Roman"/>
        </w:rPr>
        <w:lastRenderedPageBreak/>
        <w:t>2005. godine p</w:t>
      </w:r>
      <w:r w:rsidR="00F7367C" w:rsidRPr="004E6412">
        <w:rPr>
          <w:rFonts w:ascii="Times New Roman" w:hAnsi="Times New Roman"/>
        </w:rPr>
        <w:t>ad bilježe</w:t>
      </w:r>
      <w:r w:rsidRPr="004E6412">
        <w:rPr>
          <w:rFonts w:ascii="Times New Roman" w:hAnsi="Times New Roman"/>
        </w:rPr>
        <w:t xml:space="preserve"> i maslinarstvo i proizvodnja maslinovog ulja</w:t>
      </w:r>
      <w:r w:rsidR="00594302" w:rsidRPr="004E6412">
        <w:rPr>
          <w:rFonts w:ascii="Times New Roman" w:hAnsi="Times New Roman"/>
        </w:rPr>
        <w:t>,</w:t>
      </w:r>
      <w:r w:rsidRPr="004E6412">
        <w:rPr>
          <w:rFonts w:ascii="Times New Roman" w:hAnsi="Times New Roman"/>
        </w:rPr>
        <w:t xml:space="preserve"> a</w:t>
      </w:r>
      <w:r w:rsidR="00594302" w:rsidRPr="004E6412">
        <w:rPr>
          <w:rFonts w:ascii="Times New Roman" w:hAnsi="Times New Roman"/>
        </w:rPr>
        <w:t>li</w:t>
      </w:r>
      <w:r w:rsidRPr="004E6412">
        <w:rPr>
          <w:rFonts w:ascii="Times New Roman" w:hAnsi="Times New Roman"/>
        </w:rPr>
        <w:t xml:space="preserve"> nakon toga se b</w:t>
      </w:r>
      <w:r w:rsidR="00F7367C" w:rsidRPr="004E6412">
        <w:rPr>
          <w:rFonts w:ascii="Times New Roman" w:hAnsi="Times New Roman"/>
        </w:rPr>
        <w:t>ilježi oporavak uzgoja maslina te se trenutno proizvodi</w:t>
      </w:r>
      <w:r w:rsidRPr="004E6412">
        <w:rPr>
          <w:rFonts w:ascii="Times New Roman" w:hAnsi="Times New Roman"/>
        </w:rPr>
        <w:t xml:space="preserve"> oko 40.000 hektolitara maslinovog ulja. </w:t>
      </w:r>
    </w:p>
    <w:p w:rsidR="00A55C27" w:rsidRPr="004E6412" w:rsidRDefault="00A55C27" w:rsidP="00A55C27">
      <w:pPr>
        <w:pStyle w:val="ListParagraph"/>
        <w:jc w:val="both"/>
        <w:rPr>
          <w:rFonts w:ascii="Times New Roman" w:hAnsi="Times New Roman"/>
        </w:rPr>
      </w:pPr>
    </w:p>
    <w:p w:rsidR="00A55C27" w:rsidRDefault="00A55C27" w:rsidP="00DA363A">
      <w:pPr>
        <w:pStyle w:val="ListParagraph"/>
        <w:numPr>
          <w:ilvl w:val="0"/>
          <w:numId w:val="78"/>
        </w:numPr>
        <w:spacing w:after="0"/>
        <w:jc w:val="both"/>
        <w:rPr>
          <w:rFonts w:ascii="Times New Roman" w:hAnsi="Times New Roman"/>
          <w:szCs w:val="24"/>
        </w:rPr>
      </w:pPr>
      <w:r w:rsidRPr="004E6412">
        <w:rPr>
          <w:rFonts w:ascii="Times New Roman" w:hAnsi="Times New Roman"/>
          <w:szCs w:val="24"/>
        </w:rPr>
        <w:t>Prema dostupnim podacima</w:t>
      </w:r>
      <w:r w:rsidR="00594302" w:rsidRPr="004E6412">
        <w:rPr>
          <w:rFonts w:ascii="Times New Roman" w:hAnsi="Times New Roman"/>
          <w:szCs w:val="24"/>
        </w:rPr>
        <w:t>,</w:t>
      </w:r>
      <w:r w:rsidRPr="004E6412">
        <w:rPr>
          <w:rFonts w:ascii="Times New Roman" w:hAnsi="Times New Roman"/>
          <w:szCs w:val="24"/>
        </w:rPr>
        <w:t xml:space="preserve"> Hrvatska godišnje uvozi oko 800 milijuna dolar</w:t>
      </w:r>
      <w:r w:rsidR="001671CF" w:rsidRPr="004E6412">
        <w:rPr>
          <w:rFonts w:ascii="Times New Roman" w:hAnsi="Times New Roman"/>
          <w:szCs w:val="24"/>
        </w:rPr>
        <w:t>a vrijednosti hrane, a izvozi u</w:t>
      </w:r>
      <w:r w:rsidRPr="004E6412">
        <w:rPr>
          <w:rFonts w:ascii="Times New Roman" w:hAnsi="Times New Roman"/>
          <w:szCs w:val="24"/>
        </w:rPr>
        <w:t>pola manje.</w:t>
      </w:r>
    </w:p>
    <w:p w:rsidR="00DA363A" w:rsidRPr="004E6412" w:rsidRDefault="00DA363A" w:rsidP="00DA363A">
      <w:pPr>
        <w:pStyle w:val="ListParagraph"/>
        <w:spacing w:after="0"/>
        <w:ind w:left="0"/>
        <w:jc w:val="both"/>
        <w:rPr>
          <w:rFonts w:ascii="Times New Roman" w:hAnsi="Times New Roman"/>
          <w:szCs w:val="24"/>
        </w:rPr>
      </w:pPr>
    </w:p>
    <w:p w:rsidR="00A55C27" w:rsidRPr="004E6412" w:rsidRDefault="00A55C27" w:rsidP="00D001B9">
      <w:pPr>
        <w:pStyle w:val="Heading4"/>
      </w:pPr>
      <w:bookmarkStart w:id="173" w:name="_Toc366154253"/>
      <w:bookmarkStart w:id="174" w:name="_Toc366154371"/>
      <w:bookmarkStart w:id="175" w:name="_Toc366409914"/>
      <w:bookmarkStart w:id="176" w:name="_Toc372087941"/>
      <w:r w:rsidRPr="004E6412">
        <w:t>Šume</w:t>
      </w:r>
      <w:bookmarkEnd w:id="173"/>
      <w:bookmarkEnd w:id="174"/>
      <w:bookmarkEnd w:id="175"/>
      <w:bookmarkEnd w:id="176"/>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Temeljna načela hrvatskoga šumarstva su gospodarenje i očuvanje prirodne strukture i raznolikosti šuma te trajno povećanje stabilnosti i kakvoće gospodarskih i općekorisnih funkcija šuma. Šume u Hrvatskoj zauzimaju gotovo polovicu kopnene površine (oko 47%), što je ukupno </w:t>
      </w:r>
      <w:smartTag w:uri="urn:schemas-microsoft-com:office:smarttags" w:element="metricconverter">
        <w:smartTagPr>
          <w:attr w:name="ProductID" w:val="2.688.687 hektara"/>
        </w:smartTagPr>
        <w:r w:rsidRPr="004E6412">
          <w:rPr>
            <w:rFonts w:ascii="Times New Roman" w:hAnsi="Times New Roman"/>
          </w:rPr>
          <w:t>2.688.687 hektara</w:t>
        </w:r>
      </w:smartTag>
      <w:r w:rsidRPr="004E6412">
        <w:rPr>
          <w:rFonts w:ascii="Times New Roman" w:hAnsi="Times New Roman"/>
        </w:rPr>
        <w:t>. Oko 79% šuma (</w:t>
      </w:r>
      <w:smartTag w:uri="urn:schemas-microsoft-com:office:smarttags" w:element="metricconverter">
        <w:smartTagPr>
          <w:attr w:name="ProductID" w:val="2.106.917 hektara"/>
        </w:smartTagPr>
        <w:r w:rsidRPr="004E6412">
          <w:rPr>
            <w:rFonts w:ascii="Times New Roman" w:hAnsi="Times New Roman"/>
          </w:rPr>
          <w:t>2.106.917 hektara</w:t>
        </w:r>
      </w:smartTag>
      <w:r w:rsidRPr="004E6412">
        <w:rPr>
          <w:rFonts w:ascii="Times New Roman" w:hAnsi="Times New Roman"/>
        </w:rPr>
        <w:t>) je u državnom vlasništvu, od čega gotovo cijelim prostor</w:t>
      </w:r>
      <w:r w:rsidR="00F7367C" w:rsidRPr="004E6412">
        <w:rPr>
          <w:rFonts w:ascii="Times New Roman" w:hAnsi="Times New Roman"/>
        </w:rPr>
        <w:t xml:space="preserve">om raspolaže poduzeće Hrvatske šume, dok je 21% </w:t>
      </w:r>
      <w:r w:rsidRPr="004E6412">
        <w:rPr>
          <w:rFonts w:ascii="Times New Roman" w:hAnsi="Times New Roman"/>
        </w:rPr>
        <w:t>u privatnom vlasništvu (</w:t>
      </w:r>
      <w:smartTag w:uri="urn:schemas-microsoft-com:office:smarttags" w:element="metricconverter">
        <w:smartTagPr>
          <w:attr w:name="ProductID" w:val="581.770 hektara"/>
        </w:smartTagPr>
        <w:r w:rsidRPr="004E6412">
          <w:rPr>
            <w:rFonts w:ascii="Times New Roman" w:hAnsi="Times New Roman"/>
          </w:rPr>
          <w:t>581.770 hektara</w:t>
        </w:r>
      </w:smartTag>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Najveću površinu prekrivenu šumama zauzima bjelogorična šuma, oko </w:t>
      </w:r>
      <w:smartTag w:uri="urn:schemas-microsoft-com:office:smarttags" w:element="metricconverter">
        <w:smartTagPr>
          <w:attr w:name="ProductID" w:val="1.700.000 hektara"/>
        </w:smartTagPr>
        <w:r w:rsidRPr="004E6412">
          <w:rPr>
            <w:rFonts w:ascii="Times New Roman" w:hAnsi="Times New Roman"/>
          </w:rPr>
          <w:t>1.700.000 hektara</w:t>
        </w:r>
      </w:smartTag>
      <w:r w:rsidRPr="004E6412">
        <w:rPr>
          <w:rFonts w:ascii="Times New Roman" w:hAnsi="Times New Roman"/>
        </w:rPr>
        <w:t xml:space="preserve">. Crnogorična šuma prekriva oko </w:t>
      </w:r>
      <w:smartTag w:uri="urn:schemas-microsoft-com:office:smarttags" w:element="metricconverter">
        <w:smartTagPr>
          <w:attr w:name="ProductID" w:val="102.500 hektara"/>
        </w:smartTagPr>
        <w:r w:rsidRPr="004E6412">
          <w:rPr>
            <w:rFonts w:ascii="Times New Roman" w:hAnsi="Times New Roman"/>
          </w:rPr>
          <w:t>102.500 hektara</w:t>
        </w:r>
      </w:smartTag>
      <w:r w:rsidRPr="004E6412">
        <w:rPr>
          <w:rFonts w:ascii="Times New Roman" w:hAnsi="Times New Roman"/>
        </w:rPr>
        <w:t xml:space="preserve">, a mješovita šuma oko </w:t>
      </w:r>
      <w:smartTag w:uri="urn:schemas-microsoft-com:office:smarttags" w:element="metricconverter">
        <w:smartTagPr>
          <w:attr w:name="ProductID" w:val="270.000 hektara"/>
        </w:smartTagPr>
        <w:r w:rsidRPr="004E6412">
          <w:rPr>
            <w:rFonts w:ascii="Times New Roman" w:hAnsi="Times New Roman"/>
          </w:rPr>
          <w:t>270.000 hektara</w:t>
        </w:r>
      </w:smartTag>
      <w:r w:rsidRPr="004E6412">
        <w:rPr>
          <w:rFonts w:ascii="Times New Roman" w:hAnsi="Times New Roman"/>
        </w:rPr>
        <w:t>. Ostatak od ukupne površine prekriven je prirodnim pokrovom, grmolikim bi</w:t>
      </w:r>
      <w:r w:rsidR="00594302" w:rsidRPr="004E6412">
        <w:rPr>
          <w:rFonts w:ascii="Times New Roman" w:hAnsi="Times New Roman"/>
        </w:rPr>
        <w:t>ljem, travnatim površinama te</w:t>
      </w:r>
      <w:r w:rsidRPr="004E6412">
        <w:rPr>
          <w:rFonts w:ascii="Times New Roman" w:hAnsi="Times New Roman"/>
        </w:rPr>
        <w:t xml:space="preserve"> zemljištima u zarastanju. Glavne vrste drva koje se prerađuju u Hrvatskoj su hrast, bukva, jela-smreka, jasen, grab, joha, javor te dru</w:t>
      </w:r>
      <w:r w:rsidR="00CA7B7E" w:rsidRPr="004E6412">
        <w:rPr>
          <w:rFonts w:ascii="Times New Roman" w:hAnsi="Times New Roman"/>
        </w:rPr>
        <w:t>ge vrste drva, pretežito listače</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Šumama se upravlja na dugoročnoj osnovi održivoga gospodar</w:t>
      </w:r>
      <w:r w:rsidR="00594302" w:rsidRPr="004E6412">
        <w:rPr>
          <w:rFonts w:ascii="Times New Roman" w:hAnsi="Times New Roman"/>
        </w:rPr>
        <w:t>enja. S</w:t>
      </w:r>
      <w:r w:rsidRPr="004E6412">
        <w:rPr>
          <w:rFonts w:ascii="Times New Roman" w:hAnsi="Times New Roman"/>
        </w:rPr>
        <w:t>iječe se 80% od prirasta pa se šumske zalihe stalno povećavaju. Prerada drva i proizvodnja namještaja u Hrvatskoj razvila se na šumskoj sirovini, a svoj rad temelji na njezinu iskorištavanju, dugogodišnjoj tradiciji prerade drva te n</w:t>
      </w:r>
      <w:r w:rsidR="00CA7B7E" w:rsidRPr="004E6412">
        <w:rPr>
          <w:rFonts w:ascii="Times New Roman" w:hAnsi="Times New Roman"/>
        </w:rPr>
        <w:t>a kvalitetnim ljudskim potencijalima</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Hrvatska</w:t>
      </w:r>
      <w:r w:rsidR="009B35E4" w:rsidRPr="004E6412">
        <w:rPr>
          <w:rFonts w:ascii="Times New Roman" w:hAnsi="Times New Roman"/>
        </w:rPr>
        <w:t>,</w:t>
      </w:r>
      <w:r w:rsidR="00CA7B7E" w:rsidRPr="004E6412">
        <w:rPr>
          <w:rFonts w:ascii="Times New Roman" w:hAnsi="Times New Roman"/>
        </w:rPr>
        <w:t xml:space="preserve"> na temelju</w:t>
      </w:r>
      <w:r w:rsidRPr="004E6412">
        <w:rPr>
          <w:rFonts w:ascii="Times New Roman" w:hAnsi="Times New Roman"/>
        </w:rPr>
        <w:t xml:space="preserve"> drva kao sirovine</w:t>
      </w:r>
      <w:r w:rsidR="009B35E4" w:rsidRPr="004E6412">
        <w:rPr>
          <w:rFonts w:ascii="Times New Roman" w:hAnsi="Times New Roman"/>
        </w:rPr>
        <w:t>,</w:t>
      </w:r>
      <w:r w:rsidRPr="004E6412">
        <w:rPr>
          <w:rFonts w:ascii="Times New Roman" w:hAnsi="Times New Roman"/>
        </w:rPr>
        <w:t xml:space="preserve"> proizvodi piljenu građu svih vrsta i dimenzija, furnir i furnirske ploče te otpreske, ploče od usitnjenog drva, parkete, podne i zidne obloge, građevne elemente od drva i druge proizvode od drva, pluta i pletarskih materijala, impregnirano drvo za razne potrebe (željeznički pragovi, stupovi za elektrovodove i drugo), brojne galanterijske proizvode (glazbala, sp</w:t>
      </w:r>
      <w:r w:rsidR="00CA7B7E" w:rsidRPr="004E6412">
        <w:rPr>
          <w:rFonts w:ascii="Times New Roman" w:hAnsi="Times New Roman"/>
        </w:rPr>
        <w:t>ortski rekviziti, četke, kistovi</w:t>
      </w:r>
      <w:r w:rsidRPr="004E6412">
        <w:rPr>
          <w:rFonts w:ascii="Times New Roman" w:hAnsi="Times New Roman"/>
        </w:rPr>
        <w:t>)</w:t>
      </w:r>
      <w:r w:rsidR="00CA7B7E" w:rsidRPr="004E6412">
        <w:rPr>
          <w:rFonts w:ascii="Times New Roman" w:hAnsi="Times New Roman"/>
        </w:rPr>
        <w:t>,</w:t>
      </w:r>
      <w:r w:rsidRPr="004E6412">
        <w:rPr>
          <w:rFonts w:ascii="Times New Roman" w:hAnsi="Times New Roman"/>
        </w:rPr>
        <w:t xml:space="preserve"> drvenu ambalažu te brikete i pelete.</w:t>
      </w:r>
    </w:p>
    <w:p w:rsidR="00A55C27" w:rsidRPr="004E6412" w:rsidRDefault="00A55C27" w:rsidP="00A55C27">
      <w:pPr>
        <w:rPr>
          <w:szCs w:val="24"/>
        </w:rPr>
      </w:pPr>
    </w:p>
    <w:p w:rsidR="00A55C27" w:rsidRPr="004E6412" w:rsidRDefault="00A55C27" w:rsidP="00D001B9">
      <w:pPr>
        <w:pStyle w:val="Heading4"/>
      </w:pPr>
      <w:bookmarkStart w:id="177" w:name="_Toc366154254"/>
      <w:bookmarkStart w:id="178" w:name="_Toc366154372"/>
      <w:bookmarkStart w:id="179" w:name="_Toc366409915"/>
      <w:bookmarkStart w:id="180" w:name="_Toc372087942"/>
      <w:r w:rsidRPr="004E6412">
        <w:t>Vode</w:t>
      </w:r>
      <w:bookmarkEnd w:id="177"/>
      <w:bookmarkEnd w:id="178"/>
      <w:bookmarkEnd w:id="179"/>
      <w:bookmarkEnd w:id="180"/>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Vode su opće dobro koje zbog svojih prirodnih svojstava ne mogu biti</w:t>
      </w:r>
      <w:r w:rsidR="00CA7B7E" w:rsidRPr="004E6412">
        <w:rPr>
          <w:rFonts w:ascii="Times New Roman" w:hAnsi="Times New Roman"/>
          <w:bCs/>
        </w:rPr>
        <w:t xml:space="preserve"> </w:t>
      </w:r>
      <w:r w:rsidRPr="004E6412">
        <w:rPr>
          <w:rFonts w:ascii="Times New Roman" w:hAnsi="Times New Roman"/>
          <w:bCs/>
        </w:rPr>
        <w:t xml:space="preserve">u </w:t>
      </w:r>
      <w:r w:rsidR="00CA7B7E" w:rsidRPr="004E6412">
        <w:rPr>
          <w:rFonts w:ascii="Times New Roman" w:hAnsi="Times New Roman"/>
          <w:bCs/>
        </w:rPr>
        <w:t>ničijem vlasništvu te</w:t>
      </w:r>
      <w:r w:rsidRPr="004E6412">
        <w:rPr>
          <w:rFonts w:ascii="Times New Roman" w:hAnsi="Times New Roman"/>
          <w:bCs/>
        </w:rPr>
        <w:t xml:space="preserve"> kao opće dobro imaju osobitu zaštitu Republike Hrvatske.</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Vodno područje Hrvatske može</w:t>
      </w:r>
      <w:r w:rsidR="0060556A" w:rsidRPr="004E6412">
        <w:rPr>
          <w:rFonts w:ascii="Times New Roman" w:hAnsi="Times New Roman"/>
          <w:bCs/>
        </w:rPr>
        <w:t xml:space="preserve"> se podijeliti na dvije cjeline -</w:t>
      </w:r>
      <w:r w:rsidR="00CA7B7E" w:rsidRPr="004E6412">
        <w:rPr>
          <w:rFonts w:ascii="Times New Roman" w:hAnsi="Times New Roman"/>
          <w:bCs/>
        </w:rPr>
        <w:t xml:space="preserve"> Jadransko vodno područje i Dunavsko vodno područje</w:t>
      </w:r>
      <w:r w:rsidRPr="004E6412">
        <w:rPr>
          <w:rFonts w:ascii="Times New Roman" w:hAnsi="Times New Roman"/>
          <w:bCs/>
        </w:rPr>
        <w:t>. Površina Dunavskog vodnog područja iznosi oko 35.000 km</w:t>
      </w:r>
      <w:r w:rsidRPr="004E6412">
        <w:rPr>
          <w:rFonts w:ascii="Times New Roman" w:hAnsi="Times New Roman"/>
          <w:bCs/>
          <w:vertAlign w:val="superscript"/>
        </w:rPr>
        <w:t>2</w:t>
      </w:r>
      <w:r w:rsidRPr="004E6412">
        <w:rPr>
          <w:rFonts w:ascii="Times New Roman" w:hAnsi="Times New Roman"/>
          <w:bCs/>
        </w:rPr>
        <w:t>, dok Jadransko vodno područje zauzima 18.000 km</w:t>
      </w:r>
      <w:r w:rsidRPr="004E6412">
        <w:rPr>
          <w:rFonts w:ascii="Times New Roman" w:hAnsi="Times New Roman"/>
          <w:bCs/>
          <w:vertAlign w:val="superscript"/>
        </w:rPr>
        <w:t>2</w:t>
      </w:r>
      <w:r w:rsidR="00CA7B7E" w:rsidRPr="004E6412">
        <w:rPr>
          <w:rFonts w:ascii="Times New Roman" w:hAnsi="Times New Roman"/>
          <w:bCs/>
        </w:rPr>
        <w:t xml:space="preserve"> kopnenog</w:t>
      </w:r>
      <w:r w:rsidRPr="004E6412">
        <w:rPr>
          <w:rFonts w:ascii="Times New Roman" w:hAnsi="Times New Roman"/>
          <w:bCs/>
        </w:rPr>
        <w:t xml:space="preserve"> prostora i oko 3.000 km</w:t>
      </w:r>
      <w:r w:rsidRPr="004E6412">
        <w:rPr>
          <w:rFonts w:ascii="Times New Roman" w:hAnsi="Times New Roman"/>
          <w:bCs/>
          <w:vertAlign w:val="superscript"/>
        </w:rPr>
        <w:t>2</w:t>
      </w:r>
      <w:r w:rsidRPr="004E6412">
        <w:rPr>
          <w:rFonts w:ascii="Times New Roman" w:hAnsi="Times New Roman"/>
          <w:bCs/>
        </w:rPr>
        <w:t xml:space="preserve"> otoka. Ove dvije cjeline međusobno su odvojene razvodnicom koja odvaja Crnomorski sliv od Jadranskog sliva.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 xml:space="preserve">Plan upravljanja vodnim područjem Hrvatske usmjeren je na zaštitu i poboljšanje ekološkog i kemijskog stanja površinskih voda, odnosno količinskog i kemijskog stanja podzemnih voda. Dodatni zahtjevi vrijede za zaštićena područja voda (vode namijenjene za ljudsku potrošnju, vode pogodne za zaštitu gospodarski značajnih vodenih organizama, vode za kupanje i rekreaciju, područja podložna eutrofikaciji, uključujući područja loše izmjene voda u </w:t>
      </w:r>
      <w:r w:rsidRPr="004E6412">
        <w:rPr>
          <w:rFonts w:ascii="Times New Roman" w:hAnsi="Times New Roman"/>
          <w:bCs/>
        </w:rPr>
        <w:lastRenderedPageBreak/>
        <w:t>priobalnim vodama, područja ranjiva na nitrate, područja namijenjena zaštiti vodnih i o vodi ovisnih staništa i vrsta), sukladno propisima na temelju kojih je uspostavljena zaštita.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Značajni generatori opterećenja na vodni resurs (zahvaćanjem voda iz prirodnih ležišta) su: javna vodoopskrba; zahvaćanje vode za opskrbu stanovništva (kućanstva, ustanove, mali poduzetnici); pojedine djelatnosti prerađivačke industrije; zahvaćanje vode za tehnološke potrebe; energetski sektor; zahvaćanje vode za hlađenje termoenergetskih postrojenja; turizam; značajno povećanje potreba za vodom u turističkoj sezoni; razdoblja hidroloških minimuma; opskrba vodom ribnjaka.</w:t>
      </w:r>
    </w:p>
    <w:p w:rsidR="00A55C27" w:rsidRPr="004E6412" w:rsidRDefault="00A55C27" w:rsidP="00A55C27">
      <w:pPr>
        <w:rPr>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 xml:space="preserve">Prema Očevidniku koncesija za gospodarsko korištenje voda, na </w:t>
      </w:r>
      <w:r w:rsidR="00CA7B7E" w:rsidRPr="004E6412">
        <w:rPr>
          <w:rFonts w:ascii="Times New Roman" w:hAnsi="Times New Roman"/>
          <w:bCs/>
        </w:rPr>
        <w:t xml:space="preserve">vodnom području rijeke Dunav </w:t>
      </w:r>
      <w:r w:rsidRPr="004E6412">
        <w:rPr>
          <w:rFonts w:ascii="Times New Roman" w:hAnsi="Times New Roman"/>
          <w:bCs/>
        </w:rPr>
        <w:t xml:space="preserve">izdano </w:t>
      </w:r>
      <w:r w:rsidR="00CA7B7E" w:rsidRPr="004E6412">
        <w:rPr>
          <w:rFonts w:ascii="Times New Roman" w:hAnsi="Times New Roman"/>
          <w:bCs/>
        </w:rPr>
        <w:t xml:space="preserve">je </w:t>
      </w:r>
      <w:r w:rsidRPr="004E6412">
        <w:rPr>
          <w:rFonts w:ascii="Times New Roman" w:hAnsi="Times New Roman"/>
          <w:bCs/>
        </w:rPr>
        <w:t>490 koncesija za korištenje vode. Na Jadranskom vodnom području izdano je preko 130 koncesija za korištenje voda.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Hidroenergija je važan izvor primarne energije u Hrvatskoj. Ovisno o hidrološkim prilikama, na nju otpada i više od 50% vlastite proizvodnje električne</w:t>
      </w:r>
      <w:r w:rsidR="00CA7B7E" w:rsidRPr="004E6412">
        <w:rPr>
          <w:rFonts w:ascii="Times New Roman" w:hAnsi="Times New Roman"/>
          <w:bCs/>
        </w:rPr>
        <w:t xml:space="preserve"> energije, najvećim dijelom na J</w:t>
      </w:r>
      <w:r w:rsidRPr="004E6412">
        <w:rPr>
          <w:rFonts w:ascii="Times New Roman" w:hAnsi="Times New Roman"/>
          <w:bCs/>
        </w:rPr>
        <w:t>adranskom vodnom području. Pravo iskorištavanja vodnih snaga za proizvodnju električne energije stj</w:t>
      </w:r>
      <w:r w:rsidR="00CA7B7E" w:rsidRPr="004E6412">
        <w:rPr>
          <w:rFonts w:ascii="Times New Roman" w:hAnsi="Times New Roman"/>
          <w:bCs/>
        </w:rPr>
        <w:t>eče se na osnovi</w:t>
      </w:r>
      <w:r w:rsidRPr="004E6412">
        <w:rPr>
          <w:rFonts w:ascii="Times New Roman" w:hAnsi="Times New Roman"/>
          <w:bCs/>
        </w:rPr>
        <w:t xml:space="preserve"> ugovora o koncesiji</w:t>
      </w:r>
      <w:r w:rsidR="00CA7B7E" w:rsidRPr="004E6412">
        <w:rPr>
          <w:rFonts w:ascii="Times New Roman" w:hAnsi="Times New Roman"/>
          <w:bCs/>
        </w:rPr>
        <w:t>. Na području Hrvatske izdane su</w:t>
      </w:r>
      <w:r w:rsidRPr="004E6412">
        <w:rPr>
          <w:rFonts w:ascii="Times New Roman" w:hAnsi="Times New Roman"/>
          <w:bCs/>
        </w:rPr>
        <w:t xml:space="preserve"> ukupno 34 koncesije</w:t>
      </w:r>
      <w:r w:rsidR="00CA7B7E" w:rsidRPr="004E6412">
        <w:rPr>
          <w:rFonts w:ascii="Times New Roman" w:hAnsi="Times New Roman"/>
          <w:bCs/>
        </w:rPr>
        <w:t>, od čega 18 na Dunavskom vodnom području</w:t>
      </w:r>
      <w:r w:rsidRPr="004E6412">
        <w:rPr>
          <w:rFonts w:ascii="Times New Roman" w:hAnsi="Times New Roman"/>
          <w:bCs/>
        </w:rPr>
        <w:t xml:space="preserve"> (3 na podslivu Drave i Dunava, 15 na podslivu Save) i 16 na Jadranskom vodnom području.</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U hidroe</w:t>
      </w:r>
      <w:r w:rsidR="00CA7B7E" w:rsidRPr="004E6412">
        <w:rPr>
          <w:rFonts w:ascii="Times New Roman" w:hAnsi="Times New Roman"/>
          <w:bCs/>
        </w:rPr>
        <w:t>nergetske svrhe na Dunavskom vodnom području</w:t>
      </w:r>
      <w:r w:rsidRPr="004E6412">
        <w:rPr>
          <w:rFonts w:ascii="Times New Roman" w:hAnsi="Times New Roman"/>
          <w:bCs/>
        </w:rPr>
        <w:t xml:space="preserve"> koriste se vode Drave, na kojoj su izgrađene tri hidroelektrane (Varaždin, Čakovec i Dubrava), ukupne instalirane snage 242 MW. Hidroenergetsko korištenje voda Drave omogućeno je izgradnjom višenamjenskih akumulacija, ukupnog volumena 164,5 hm</w:t>
      </w:r>
      <w:r w:rsidRPr="004E6412">
        <w:rPr>
          <w:rFonts w:ascii="Times New Roman" w:hAnsi="Times New Roman"/>
          <w:bCs/>
          <w:vertAlign w:val="superscript"/>
        </w:rPr>
        <w:t>3</w:t>
      </w:r>
      <w:r w:rsidRPr="004E6412">
        <w:rPr>
          <w:rFonts w:ascii="Times New Roman" w:hAnsi="Times New Roman"/>
          <w:bCs/>
        </w:rPr>
        <w:t>. Ukupna insta</w:t>
      </w:r>
      <w:r w:rsidR="00CA7B7E" w:rsidRPr="004E6412">
        <w:rPr>
          <w:rFonts w:ascii="Times New Roman" w:hAnsi="Times New Roman"/>
          <w:bCs/>
        </w:rPr>
        <w:t>lirana snaga hidroelektrana na J</w:t>
      </w:r>
      <w:r w:rsidRPr="004E6412">
        <w:rPr>
          <w:rFonts w:ascii="Times New Roman" w:hAnsi="Times New Roman"/>
          <w:bCs/>
        </w:rPr>
        <w:t>adranskom vodnom području je 1.750 MW. Za potrebe tih elektrana izgrađen je niz višenamjenskih akumulacija na podvelebitskim, ličkim i dalmatinskim sli</w:t>
      </w:r>
      <w:r w:rsidR="00A578E8" w:rsidRPr="004E6412">
        <w:rPr>
          <w:rFonts w:ascii="Times New Roman" w:hAnsi="Times New Roman"/>
          <w:bCs/>
        </w:rPr>
        <w:t>vovima od kojih su najveće Peru</w:t>
      </w:r>
      <w:r w:rsidR="00E80719" w:rsidRPr="004E6412">
        <w:rPr>
          <w:rFonts w:ascii="Times New Roman" w:hAnsi="Times New Roman"/>
          <w:bCs/>
        </w:rPr>
        <w:t>č</w:t>
      </w:r>
      <w:r w:rsidRPr="004E6412">
        <w:rPr>
          <w:rFonts w:ascii="Times New Roman" w:hAnsi="Times New Roman"/>
          <w:bCs/>
        </w:rPr>
        <w:t>a na Cetini (571 hm</w:t>
      </w:r>
      <w:r w:rsidRPr="004E6412">
        <w:rPr>
          <w:rFonts w:ascii="Times New Roman" w:hAnsi="Times New Roman"/>
          <w:bCs/>
          <w:vertAlign w:val="superscript"/>
        </w:rPr>
        <w:t>3</w:t>
      </w:r>
      <w:r w:rsidRPr="004E6412">
        <w:rPr>
          <w:rFonts w:ascii="Times New Roman" w:hAnsi="Times New Roman"/>
          <w:bCs/>
        </w:rPr>
        <w:t xml:space="preserve">) i Kruščica na </w:t>
      </w:r>
      <w:r w:rsidR="00CA7B7E" w:rsidRPr="004E6412">
        <w:rPr>
          <w:rFonts w:ascii="Times New Roman" w:hAnsi="Times New Roman"/>
          <w:bCs/>
        </w:rPr>
        <w:t xml:space="preserve">rijeci </w:t>
      </w:r>
      <w:r w:rsidRPr="004E6412">
        <w:rPr>
          <w:rFonts w:ascii="Times New Roman" w:hAnsi="Times New Roman"/>
          <w:bCs/>
        </w:rPr>
        <w:t>Lici (142 hm</w:t>
      </w:r>
      <w:r w:rsidRPr="004E6412">
        <w:rPr>
          <w:rFonts w:ascii="Times New Roman" w:hAnsi="Times New Roman"/>
          <w:bCs/>
          <w:vertAlign w:val="superscript"/>
        </w:rPr>
        <w:t>3</w:t>
      </w:r>
      <w:r w:rsidRPr="004E6412">
        <w:rPr>
          <w:rFonts w:ascii="Times New Roman" w:hAnsi="Times New Roman"/>
          <w:bCs/>
        </w:rPr>
        <w:t>).</w:t>
      </w:r>
    </w:p>
    <w:p w:rsidR="00A55C27" w:rsidRPr="004E6412" w:rsidRDefault="00A55C27" w:rsidP="00A55C27">
      <w:pPr>
        <w:rPr>
          <w:bCs/>
          <w:szCs w:val="24"/>
        </w:rPr>
      </w:pPr>
    </w:p>
    <w:p w:rsidR="00A55C27" w:rsidRPr="004E6412" w:rsidRDefault="00A55C27" w:rsidP="00D001B9">
      <w:pPr>
        <w:pStyle w:val="Heading4"/>
      </w:pPr>
      <w:bookmarkStart w:id="181" w:name="_Toc366154255"/>
      <w:bookmarkStart w:id="182" w:name="_Toc366154373"/>
      <w:bookmarkStart w:id="183" w:name="_Toc366409916"/>
      <w:bookmarkStart w:id="184" w:name="_Toc372087943"/>
      <w:r w:rsidRPr="004E6412">
        <w:t>Morski resursi</w:t>
      </w:r>
      <w:bookmarkEnd w:id="181"/>
      <w:bookmarkEnd w:id="182"/>
      <w:bookmarkEnd w:id="183"/>
      <w:bookmarkEnd w:id="184"/>
    </w:p>
    <w:p w:rsidR="00A55C27" w:rsidRPr="004E6412" w:rsidRDefault="00CA7B7E" w:rsidP="00FA5F29">
      <w:pPr>
        <w:pStyle w:val="ListParagraph"/>
        <w:numPr>
          <w:ilvl w:val="0"/>
          <w:numId w:val="81"/>
        </w:numPr>
        <w:spacing w:after="0"/>
        <w:jc w:val="both"/>
        <w:rPr>
          <w:rFonts w:ascii="Times New Roman" w:hAnsi="Times New Roman"/>
          <w:bCs/>
        </w:rPr>
      </w:pPr>
      <w:r w:rsidRPr="004E6412">
        <w:rPr>
          <w:rFonts w:ascii="Times New Roman" w:hAnsi="Times New Roman"/>
          <w:bCs/>
        </w:rPr>
        <w:t>Jadransko more je</w:t>
      </w:r>
      <w:r w:rsidR="00A55C27" w:rsidRPr="004E6412">
        <w:rPr>
          <w:rFonts w:ascii="Times New Roman" w:hAnsi="Times New Roman"/>
          <w:bCs/>
        </w:rPr>
        <w:t xml:space="preserve"> more zatvorenoga tipa, ukupne površine zajedno s otocima oko 138.600 km</w:t>
      </w:r>
      <w:r w:rsidR="00A55C27" w:rsidRPr="004E6412">
        <w:rPr>
          <w:rFonts w:ascii="Times New Roman" w:hAnsi="Times New Roman"/>
          <w:bCs/>
          <w:vertAlign w:val="superscript"/>
        </w:rPr>
        <w:t>2</w:t>
      </w:r>
      <w:r w:rsidR="00A55C27" w:rsidRPr="004E6412">
        <w:rPr>
          <w:rFonts w:ascii="Times New Roman" w:hAnsi="Times New Roman"/>
          <w:bCs/>
        </w:rPr>
        <w:t xml:space="preserve">. Prema geomorfološkim osobinama, Jadran se može podijeliti u tri dijela: plići sjeverni Jadran s dubinom do </w:t>
      </w:r>
      <w:smartTag w:uri="urn:schemas-microsoft-com:office:smarttags" w:element="metricconverter">
        <w:smartTagPr>
          <w:attr w:name="ProductID" w:val="75 metara"/>
        </w:smartTagPr>
        <w:r w:rsidR="00A55C27" w:rsidRPr="004E6412">
          <w:rPr>
            <w:rFonts w:ascii="Times New Roman" w:hAnsi="Times New Roman"/>
            <w:bCs/>
          </w:rPr>
          <w:t>75 metara</w:t>
        </w:r>
      </w:smartTag>
      <w:r w:rsidR="00A55C27" w:rsidRPr="004E6412">
        <w:rPr>
          <w:rFonts w:ascii="Times New Roman" w:hAnsi="Times New Roman"/>
          <w:bCs/>
        </w:rPr>
        <w:t xml:space="preserve">, srednji Jadran s najvećom dubinom od </w:t>
      </w:r>
      <w:smartTag w:uri="urn:schemas-microsoft-com:office:smarttags" w:element="metricconverter">
        <w:smartTagPr>
          <w:attr w:name="ProductID" w:val="270 metara"/>
        </w:smartTagPr>
        <w:r w:rsidR="00A55C27" w:rsidRPr="004E6412">
          <w:rPr>
            <w:rFonts w:ascii="Times New Roman" w:hAnsi="Times New Roman"/>
            <w:bCs/>
          </w:rPr>
          <w:t>270 metara</w:t>
        </w:r>
      </w:smartTag>
      <w:r w:rsidR="00A55C27" w:rsidRPr="004E6412">
        <w:rPr>
          <w:rFonts w:ascii="Times New Roman" w:hAnsi="Times New Roman"/>
          <w:bCs/>
        </w:rPr>
        <w:t xml:space="preserve"> u Jabučkoj kotlini te duboki južni Jadran s najvećom dubinom u Južnojadranskoj kotlini od </w:t>
      </w:r>
      <w:smartTag w:uri="urn:schemas-microsoft-com:office:smarttags" w:element="metricconverter">
        <w:smartTagPr>
          <w:attr w:name="ProductID" w:val="1230 metara"/>
        </w:smartTagPr>
        <w:r w:rsidR="00A55C27" w:rsidRPr="004E6412">
          <w:rPr>
            <w:rFonts w:ascii="Times New Roman" w:hAnsi="Times New Roman"/>
            <w:bCs/>
          </w:rPr>
          <w:t>1230 metara</w:t>
        </w:r>
      </w:smartTag>
      <w:r w:rsidR="00A55C27" w:rsidRPr="004E6412">
        <w:rPr>
          <w:rFonts w:ascii="Times New Roman" w:hAnsi="Times New Roman"/>
          <w:bCs/>
        </w:rPr>
        <w:t>.</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Osnovne djelatnosti koje se odvijaju u i na moru su ribolov, uzgoj morskih vrsta i pomorski promet. </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U Registar ribarske flote upisano je 4.039 plovila. Najveći postotak flote (preko 80%) čine plovila do </w:t>
      </w:r>
      <w:smartTag w:uri="urn:schemas-microsoft-com:office:smarttags" w:element="metricconverter">
        <w:smartTagPr>
          <w:attr w:name="ProductID" w:val="12 metara"/>
        </w:smartTagPr>
        <w:r w:rsidRPr="004E6412">
          <w:rPr>
            <w:rFonts w:ascii="Times New Roman" w:hAnsi="Times New Roman"/>
            <w:bCs/>
          </w:rPr>
          <w:t>12 metara</w:t>
        </w:r>
      </w:smartTag>
      <w:r w:rsidRPr="004E6412">
        <w:rPr>
          <w:rFonts w:ascii="Times New Roman" w:hAnsi="Times New Roman"/>
          <w:bCs/>
        </w:rPr>
        <w:t xml:space="preserve"> duljine. Najznačajniji dio ukupne tonaže hrvatske ribolovne flote čine plivarice, a najznačajniji dio ukupne snage </w:t>
      </w:r>
      <w:r w:rsidR="00A578E8" w:rsidRPr="004E6412">
        <w:rPr>
          <w:rFonts w:ascii="Times New Roman" w:hAnsi="Times New Roman"/>
          <w:bCs/>
        </w:rPr>
        <w:t xml:space="preserve">čine </w:t>
      </w:r>
      <w:r w:rsidRPr="004E6412">
        <w:rPr>
          <w:rFonts w:ascii="Times New Roman" w:hAnsi="Times New Roman"/>
          <w:bCs/>
        </w:rPr>
        <w:t xml:space="preserve">višenamjenska plovila. Najveći dio ulova (preko 80%) čini mala plava riba (srdela i inćun). Od ukupnog ulova, udio ulova bijele i plave ribe iznosi oko 96%, glavonožaca oko 2%, </w:t>
      </w:r>
      <w:r w:rsidR="00A578E8" w:rsidRPr="004E6412">
        <w:rPr>
          <w:rFonts w:ascii="Times New Roman" w:hAnsi="Times New Roman"/>
          <w:bCs/>
        </w:rPr>
        <w:t xml:space="preserve">a </w:t>
      </w:r>
      <w:r w:rsidRPr="004E6412">
        <w:rPr>
          <w:rFonts w:ascii="Times New Roman" w:hAnsi="Times New Roman"/>
          <w:bCs/>
        </w:rPr>
        <w:t>rakova i školjkaša oko 2%. Najznačajnija iskrcajna mjesta u 2010. za malu plavu ribu bila su K</w:t>
      </w:r>
      <w:r w:rsidR="00A578E8" w:rsidRPr="004E6412">
        <w:rPr>
          <w:rFonts w:ascii="Times New Roman" w:hAnsi="Times New Roman"/>
          <w:bCs/>
        </w:rPr>
        <w:t>ali, Zadar, Biograd na M</w:t>
      </w:r>
      <w:r w:rsidRPr="004E6412">
        <w:rPr>
          <w:rFonts w:ascii="Times New Roman" w:hAnsi="Times New Roman"/>
          <w:bCs/>
        </w:rPr>
        <w:t>oru te Pula, a za koćarske ulove i ulove bijele ribe Mali Lošinj, Tribunj i Zadar.</w:t>
      </w:r>
    </w:p>
    <w:p w:rsidR="00A55C27" w:rsidRPr="004E6412" w:rsidRDefault="00A55C27" w:rsidP="00A55C27">
      <w:pPr>
        <w:rPr>
          <w:bCs/>
          <w:sz w:val="22"/>
        </w:rPr>
      </w:pPr>
    </w:p>
    <w:p w:rsidR="00A55C27" w:rsidRPr="004E6412" w:rsidRDefault="00A578E8" w:rsidP="00FA5F29">
      <w:pPr>
        <w:pStyle w:val="ListParagraph"/>
        <w:numPr>
          <w:ilvl w:val="0"/>
          <w:numId w:val="81"/>
        </w:numPr>
        <w:spacing w:after="0"/>
        <w:jc w:val="both"/>
        <w:rPr>
          <w:rFonts w:ascii="Times New Roman" w:hAnsi="Times New Roman"/>
          <w:bCs/>
        </w:rPr>
      </w:pPr>
      <w:r w:rsidRPr="004E6412">
        <w:rPr>
          <w:rFonts w:ascii="Times New Roman" w:hAnsi="Times New Roman"/>
          <w:bCs/>
        </w:rPr>
        <w:lastRenderedPageBreak/>
        <w:t>Posljednjih godina pojačani</w:t>
      </w:r>
      <w:r w:rsidR="00A55C27" w:rsidRPr="004E6412">
        <w:rPr>
          <w:rFonts w:ascii="Times New Roman" w:hAnsi="Times New Roman"/>
          <w:bCs/>
        </w:rPr>
        <w:t xml:space="preserve"> su napori za poticanjem uzgoja riba i školjkaša. U Hrvatskoj se godišnje iz uzgoja ukupno proizvede oko 12.000 tona.</w:t>
      </w:r>
      <w:r w:rsidRPr="004E6412">
        <w:rPr>
          <w:rFonts w:ascii="Times New Roman" w:hAnsi="Times New Roman"/>
          <w:bCs/>
        </w:rPr>
        <w:t xml:space="preserve"> U uzgoju bijele ribe prevladavaju</w:t>
      </w:r>
      <w:r w:rsidR="00A55C27" w:rsidRPr="004E6412">
        <w:rPr>
          <w:rFonts w:ascii="Times New Roman" w:hAnsi="Times New Roman"/>
          <w:bCs/>
        </w:rPr>
        <w:t xml:space="preserve"> lubin i komarča</w:t>
      </w:r>
      <w:r w:rsidRPr="004E6412">
        <w:rPr>
          <w:rFonts w:ascii="Times New Roman" w:hAnsi="Times New Roman"/>
          <w:bCs/>
        </w:rPr>
        <w:t>,</w:t>
      </w:r>
      <w:r w:rsidR="00A55C27" w:rsidRPr="004E6412">
        <w:rPr>
          <w:rFonts w:ascii="Times New Roman" w:hAnsi="Times New Roman"/>
          <w:bCs/>
        </w:rPr>
        <w:t xml:space="preserve"> i to u količinama od oko 4.000 tona godišnje. Istovremeno se u hrvatskim mrjestilištima proizvodi oko 20 milijuna komada mlađi lubina i komarče godišnje. </w:t>
      </w:r>
      <w:r w:rsidRPr="004E6412">
        <w:rPr>
          <w:rFonts w:ascii="Times New Roman" w:hAnsi="Times New Roman"/>
          <w:bCs/>
        </w:rPr>
        <w:t>Godišnja proizvodnja plave ribe</w:t>
      </w:r>
      <w:r w:rsidR="00A55C27" w:rsidRPr="004E6412">
        <w:rPr>
          <w:rFonts w:ascii="Times New Roman" w:hAnsi="Times New Roman"/>
          <w:bCs/>
        </w:rPr>
        <w:t xml:space="preserve"> iznosi oko 5.000 tona, oko 3.000 tona dagnji i oko 2 milijuna komada kamenica.</w:t>
      </w:r>
    </w:p>
    <w:p w:rsidR="00A55C27" w:rsidRPr="004E6412" w:rsidRDefault="00A55C27" w:rsidP="00A55C27">
      <w:pPr>
        <w:pStyle w:val="ListParagraph"/>
        <w:jc w:val="both"/>
        <w:rPr>
          <w:rFonts w:ascii="Times New Roman" w:hAnsi="Times New Roman"/>
          <w:bCs/>
          <w:szCs w:val="24"/>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szCs w:val="24"/>
        </w:rPr>
        <w:t xml:space="preserve">Hrvatsko stanovništvo ne konzumira značajne količine ribe i ribljih proizvoda, oko </w:t>
      </w:r>
      <w:smartTag w:uri="urn:schemas-microsoft-com:office:smarttags" w:element="metricconverter">
        <w:smartTagPr>
          <w:attr w:name="ProductID" w:val="9 kg"/>
        </w:smartTagPr>
        <w:r w:rsidRPr="004E6412">
          <w:rPr>
            <w:rFonts w:ascii="Times New Roman" w:hAnsi="Times New Roman"/>
            <w:bCs/>
            <w:szCs w:val="24"/>
          </w:rPr>
          <w:t>9 kg</w:t>
        </w:r>
      </w:smartTag>
      <w:r w:rsidRPr="004E6412">
        <w:rPr>
          <w:rFonts w:ascii="Times New Roman" w:hAnsi="Times New Roman"/>
          <w:bCs/>
          <w:szCs w:val="24"/>
        </w:rPr>
        <w:t xml:space="preserve"> po stanovniku godišnje,</w:t>
      </w:r>
      <w:r w:rsidR="006A7CFE" w:rsidRPr="004E6412">
        <w:rPr>
          <w:rFonts w:ascii="Times New Roman" w:hAnsi="Times New Roman"/>
          <w:bCs/>
          <w:szCs w:val="24"/>
        </w:rPr>
        <w:t xml:space="preserve"> </w:t>
      </w:r>
      <w:r w:rsidRPr="004E6412">
        <w:rPr>
          <w:rFonts w:ascii="Times New Roman" w:hAnsi="Times New Roman"/>
          <w:bCs/>
          <w:szCs w:val="24"/>
        </w:rPr>
        <w:t>što je daleko ispod EU prosjeka. Mogućnost razvoja ribarstva u Hrvatskoj postoji, ali je potrebno orijentirati proizvodnju na izvoz, što se uvelike i događa zadnjih nekoliko godina</w:t>
      </w:r>
      <w:r w:rsidR="000254FC" w:rsidRPr="004E6412">
        <w:rPr>
          <w:rFonts w:ascii="Times New Roman" w:hAnsi="Times New Roman"/>
          <w:bCs/>
          <w:szCs w:val="24"/>
        </w:rPr>
        <w:t>.</w:t>
      </w:r>
    </w:p>
    <w:p w:rsidR="00A55C27" w:rsidRPr="004E6412" w:rsidRDefault="00A55C27" w:rsidP="00AE6164">
      <w:pPr>
        <w:rPr>
          <w:rFonts w:eastAsia="Times New Roman"/>
          <w:szCs w:val="24"/>
        </w:rPr>
      </w:pPr>
    </w:p>
    <w:p w:rsidR="0060556A" w:rsidRPr="004E6412" w:rsidRDefault="0060556A" w:rsidP="00AE6164">
      <w:pPr>
        <w:rPr>
          <w:rFonts w:eastAsia="Times New Roman"/>
          <w:szCs w:val="24"/>
        </w:rPr>
      </w:pPr>
    </w:p>
    <w:p w:rsidR="0060556A" w:rsidRPr="004E6412" w:rsidRDefault="0060556A"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1671CF" w:rsidRPr="004E6412" w:rsidRDefault="00A46987" w:rsidP="006556E0">
      <w:pPr>
        <w:pStyle w:val="Heading2"/>
        <w:rPr>
          <w:color w:val="365F91"/>
        </w:rPr>
      </w:pPr>
      <w:bookmarkStart w:id="185" w:name="_Toc366592989"/>
      <w:bookmarkStart w:id="186" w:name="_Toc372087945"/>
      <w:r w:rsidRPr="004E6412">
        <w:br w:type="page"/>
      </w:r>
      <w:bookmarkStart w:id="187" w:name="_Toc378069020"/>
      <w:r w:rsidR="001671CF" w:rsidRPr="004E6412">
        <w:lastRenderedPageBreak/>
        <w:t xml:space="preserve">Pregled strateških smjernica </w:t>
      </w:r>
      <w:bookmarkEnd w:id="185"/>
      <w:r w:rsidR="00C42A38" w:rsidRPr="004E6412">
        <w:t>Industrijske politike</w:t>
      </w:r>
      <w:r w:rsidR="001671CF" w:rsidRPr="004E6412">
        <w:t xml:space="preserve"> u Europskoj uniji</w:t>
      </w:r>
      <w:bookmarkEnd w:id="186"/>
      <w:bookmarkEnd w:id="187"/>
    </w:p>
    <w:p w:rsidR="001671CF" w:rsidRDefault="001671CF" w:rsidP="001671CF">
      <w:pPr>
        <w:contextualSpacing/>
        <w:rPr>
          <w:rFonts w:eastAsia="Times New Roman"/>
          <w:sz w:val="22"/>
          <w:lang w:eastAsia="hr-HR"/>
        </w:rPr>
      </w:pPr>
    </w:p>
    <w:p w:rsidR="00DA363A" w:rsidRPr="004E6412" w:rsidRDefault="00DA363A" w:rsidP="001671CF">
      <w:pPr>
        <w:contextualSpacing/>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Prvi koncept europske industrijske politike ustanovljen je 1990. </w:t>
      </w:r>
      <w:r w:rsidR="00E80719"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Realizacija </w:t>
      </w:r>
      <w:r w:rsidR="00E80719" w:rsidRPr="004E6412">
        <w:rPr>
          <w:rFonts w:ascii="Times New Roman" w:eastAsia="Times New Roman" w:hAnsi="Times New Roman"/>
          <w:lang w:eastAsia="hr-HR"/>
        </w:rPr>
        <w:t xml:space="preserve">industrijske politike </w:t>
      </w:r>
      <w:r w:rsidRPr="004E6412">
        <w:rPr>
          <w:rFonts w:ascii="Times New Roman" w:eastAsia="Times New Roman" w:hAnsi="Times New Roman"/>
          <w:lang w:eastAsia="hr-HR"/>
        </w:rPr>
        <w:t xml:space="preserve">prije svega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zasnivala na dogovaranju i sporazumijevanju, </w:t>
      </w:r>
      <w:r w:rsidR="00E80719" w:rsidRPr="004E6412">
        <w:rPr>
          <w:rFonts w:ascii="Times New Roman" w:eastAsia="Times New Roman" w:hAnsi="Times New Roman"/>
          <w:lang w:eastAsia="hr-HR"/>
        </w:rPr>
        <w:t xml:space="preserve">s </w:t>
      </w:r>
      <w:r w:rsidRPr="004E6412">
        <w:rPr>
          <w:rFonts w:ascii="Times New Roman" w:eastAsia="Times New Roman" w:hAnsi="Times New Roman"/>
          <w:lang w:eastAsia="hr-HR"/>
        </w:rPr>
        <w:t xml:space="preserve">obzirom </w:t>
      </w:r>
      <w:r w:rsidR="00E80719" w:rsidRPr="004E6412">
        <w:rPr>
          <w:rFonts w:ascii="Times New Roman" w:eastAsia="Times New Roman" w:hAnsi="Times New Roman"/>
          <w:lang w:eastAsia="hr-HR"/>
        </w:rPr>
        <w:t xml:space="preserve">na to </w:t>
      </w:r>
      <w:r w:rsidRPr="004E6412">
        <w:rPr>
          <w:rFonts w:ascii="Times New Roman" w:eastAsia="Times New Roman" w:hAnsi="Times New Roman"/>
          <w:lang w:eastAsia="hr-HR"/>
        </w:rPr>
        <w:t>da se oslanjala na inicijativ</w:t>
      </w:r>
      <w:r w:rsidR="00E80719" w:rsidRPr="004E6412">
        <w:rPr>
          <w:rFonts w:ascii="Times New Roman" w:eastAsia="Times New Roman" w:hAnsi="Times New Roman"/>
          <w:lang w:eastAsia="hr-HR"/>
        </w:rPr>
        <w:t>e za konzultacije i koordinaciju</w:t>
      </w:r>
      <w:r w:rsidRPr="004E6412">
        <w:rPr>
          <w:rFonts w:ascii="Times New Roman" w:eastAsia="Times New Roman" w:hAnsi="Times New Roman"/>
          <w:lang w:eastAsia="hr-HR"/>
        </w:rPr>
        <w:t xml:space="preserve"> te podršku specifičnim mjerama pojedinih država članica.</w:t>
      </w:r>
    </w:p>
    <w:p w:rsidR="0060556A" w:rsidRPr="004E6412" w:rsidRDefault="0060556A" w:rsidP="0060556A">
      <w:pPr>
        <w:pStyle w:val="ListParagraph"/>
        <w:spacing w:after="0"/>
        <w:jc w:val="both"/>
        <w:rPr>
          <w:rFonts w:ascii="Times New Roman" w:eastAsia="Times New Roman" w:hAnsi="Times New Roman"/>
          <w:lang w:eastAsia="hr-HR"/>
        </w:rPr>
      </w:pPr>
    </w:p>
    <w:p w:rsidR="001671CF" w:rsidRPr="004E6412" w:rsidRDefault="001671CF" w:rsidP="00B15A78">
      <w:pPr>
        <w:pStyle w:val="ListParagraph"/>
        <w:numPr>
          <w:ilvl w:val="0"/>
          <w:numId w:val="114"/>
        </w:numPr>
        <w:autoSpaceDE w:val="0"/>
        <w:autoSpaceDN w:val="0"/>
        <w:adjustRightInd w:val="0"/>
        <w:jc w:val="both"/>
        <w:rPr>
          <w:rFonts w:ascii="Times New Roman" w:hAnsi="Times New Roman"/>
        </w:rPr>
      </w:pPr>
      <w:r w:rsidRPr="004E6412">
        <w:rPr>
          <w:rFonts w:ascii="Times New Roman" w:hAnsi="Times New Roman"/>
        </w:rPr>
        <w:t>Europska unija nema zajedničk</w:t>
      </w:r>
      <w:r w:rsidR="00F607ED" w:rsidRPr="004E6412">
        <w:rPr>
          <w:rFonts w:ascii="Times New Roman" w:hAnsi="Times New Roman"/>
        </w:rPr>
        <w:t>u strategiju razvoja industrije</w:t>
      </w:r>
      <w:r w:rsidR="00E80719" w:rsidRPr="004E6412">
        <w:rPr>
          <w:rFonts w:ascii="Times New Roman" w:hAnsi="Times New Roman"/>
        </w:rPr>
        <w:t>,</w:t>
      </w:r>
      <w:r w:rsidRPr="004E6412">
        <w:rPr>
          <w:rFonts w:ascii="Times New Roman" w:hAnsi="Times New Roman"/>
        </w:rPr>
        <w:t xml:space="preserve"> već postoji samo EU koordinacija industrijskih politika koje provode države članice. EU daje strateške smjernice za javne politike koje će na horizontalnoj razini </w:t>
      </w:r>
      <w:r w:rsidR="0060556A" w:rsidRPr="004E6412">
        <w:rPr>
          <w:rFonts w:ascii="Times New Roman" w:hAnsi="Times New Roman"/>
        </w:rPr>
        <w:t>pridonositi</w:t>
      </w:r>
      <w:r w:rsidRPr="004E6412">
        <w:rPr>
          <w:rFonts w:ascii="Times New Roman" w:hAnsi="Times New Roman"/>
        </w:rPr>
        <w:t xml:space="preserve"> razvoju kvalitetnih uvjeta za poduzetničku klimu,</w:t>
      </w:r>
      <w:r w:rsidR="00E80719" w:rsidRPr="004E6412">
        <w:rPr>
          <w:rFonts w:ascii="Times New Roman" w:hAnsi="Times New Roman"/>
        </w:rPr>
        <w:t xml:space="preserve"> a </w:t>
      </w:r>
      <w:r w:rsidR="0060556A" w:rsidRPr="004E6412">
        <w:rPr>
          <w:rFonts w:ascii="Times New Roman" w:hAnsi="Times New Roman"/>
        </w:rPr>
        <w:t>to se odnosi</w:t>
      </w:r>
      <w:r w:rsidRPr="004E6412">
        <w:rPr>
          <w:rFonts w:ascii="Times New Roman" w:hAnsi="Times New Roman"/>
        </w:rPr>
        <w:t xml:space="preserve"> na sve industrije. Industrijske politike država članica u velikoj su se mjeri prilagodile pravilima tržišnog nat</w:t>
      </w:r>
      <w:r w:rsidR="0060556A" w:rsidRPr="004E6412">
        <w:rPr>
          <w:rFonts w:ascii="Times New Roman" w:hAnsi="Times New Roman"/>
        </w:rPr>
        <w:t>jecanja na jedinstvenom tržištu</w:t>
      </w:r>
      <w:r w:rsidRPr="004E6412">
        <w:rPr>
          <w:rFonts w:ascii="Times New Roman" w:hAnsi="Times New Roman"/>
        </w:rPr>
        <w:t xml:space="preserve"> koja ostavljaju vrlo malo prostora za sektorske državne potpore.</w:t>
      </w:r>
    </w:p>
    <w:p w:rsidR="00F607ED" w:rsidRPr="004E6412" w:rsidRDefault="00F607ED" w:rsidP="00F607ED">
      <w:pPr>
        <w:pStyle w:val="ListParagraph"/>
        <w:autoSpaceDE w:val="0"/>
        <w:autoSpaceDN w:val="0"/>
        <w:adjustRightInd w:val="0"/>
        <w:ind w:left="0"/>
        <w:jc w:val="both"/>
        <w:rPr>
          <w:rFonts w:ascii="Times New Roman" w:hAnsi="Times New Roman"/>
        </w:rPr>
      </w:pPr>
    </w:p>
    <w:p w:rsidR="001671CF" w:rsidRPr="004E6412" w:rsidRDefault="001671CF" w:rsidP="00D001B9">
      <w:pPr>
        <w:pStyle w:val="Heading4"/>
      </w:pPr>
      <w:bookmarkStart w:id="188" w:name="_Toc372087946"/>
      <w:bookmarkStart w:id="189" w:name="_Toc372308910"/>
      <w:r w:rsidRPr="004E6412">
        <w:t>Lisabonska strategija</w:t>
      </w:r>
      <w:bookmarkEnd w:id="188"/>
      <w:bookmarkEnd w:id="189"/>
    </w:p>
    <w:p w:rsidR="001671CF" w:rsidRPr="004E6412" w:rsidRDefault="001671CF" w:rsidP="00B15A78">
      <w:pPr>
        <w:pStyle w:val="ListParagraph"/>
        <w:numPr>
          <w:ilvl w:val="0"/>
          <w:numId w:val="124"/>
        </w:numPr>
        <w:autoSpaceDE w:val="0"/>
        <w:autoSpaceDN w:val="0"/>
        <w:adjustRightInd w:val="0"/>
        <w:spacing w:after="0"/>
        <w:jc w:val="both"/>
        <w:rPr>
          <w:rFonts w:ascii="Times New Roman" w:eastAsia="GillSansMTPro-Light" w:hAnsi="Times New Roman"/>
        </w:rPr>
      </w:pPr>
      <w:r w:rsidRPr="004E6412">
        <w:rPr>
          <w:rFonts w:ascii="Times New Roman" w:hAnsi="Times New Roman"/>
          <w:i/>
        </w:rPr>
        <w:t>Lisabonska strategija</w:t>
      </w:r>
      <w:r w:rsidR="00F607ED" w:rsidRPr="004E6412">
        <w:rPr>
          <w:rFonts w:ascii="Times New Roman" w:hAnsi="Times New Roman"/>
          <w:i/>
        </w:rPr>
        <w:t>,</w:t>
      </w:r>
      <w:r w:rsidR="00E80719" w:rsidRPr="004E6412">
        <w:rPr>
          <w:rFonts w:ascii="Times New Roman" w:hAnsi="Times New Roman"/>
        </w:rPr>
        <w:t xml:space="preserve"> usvojena</w:t>
      </w:r>
      <w:r w:rsidRPr="004E6412">
        <w:rPr>
          <w:rFonts w:ascii="Times New Roman" w:hAnsi="Times New Roman"/>
        </w:rPr>
        <w:t xml:space="preserve"> 2000.</w:t>
      </w:r>
      <w:r w:rsidR="0060556A" w:rsidRPr="004E6412">
        <w:rPr>
          <w:rFonts w:ascii="Times New Roman" w:hAnsi="Times New Roman"/>
        </w:rPr>
        <w:t xml:space="preserve"> godine</w:t>
      </w:r>
      <w:r w:rsidRPr="004E6412">
        <w:rPr>
          <w:rFonts w:ascii="Times New Roman" w:hAnsi="Times New Roman"/>
        </w:rPr>
        <w:t xml:space="preserve"> s ciljevima zacrtanim</w:t>
      </w:r>
      <w:r w:rsidR="00E80719" w:rsidRPr="004E6412">
        <w:rPr>
          <w:rFonts w:ascii="Times New Roman" w:hAnsi="Times New Roman"/>
        </w:rPr>
        <w:t>a</w:t>
      </w:r>
      <w:r w:rsidRPr="004E6412">
        <w:rPr>
          <w:rFonts w:ascii="Times New Roman" w:hAnsi="Times New Roman"/>
        </w:rPr>
        <w:t xml:space="preserve"> do 2010.</w:t>
      </w:r>
      <w:r w:rsidR="0060556A" w:rsidRPr="004E6412">
        <w:rPr>
          <w:rFonts w:ascii="Times New Roman" w:hAnsi="Times New Roman"/>
        </w:rPr>
        <w:t>,</w:t>
      </w:r>
      <w:r w:rsidRPr="004E6412">
        <w:rPr>
          <w:rFonts w:ascii="Times New Roman" w:hAnsi="Times New Roman"/>
        </w:rPr>
        <w:t xml:space="preserve"> imala je za cilj da EU postane najkonk</w:t>
      </w:r>
      <w:r w:rsidR="00E80719" w:rsidRPr="004E6412">
        <w:rPr>
          <w:rFonts w:ascii="Times New Roman" w:hAnsi="Times New Roman"/>
        </w:rPr>
        <w:t>urentnije svjetsko gospodarstvo</w:t>
      </w:r>
      <w:r w:rsidRPr="004E6412">
        <w:rPr>
          <w:rFonts w:ascii="Times New Roman" w:hAnsi="Times New Roman"/>
        </w:rPr>
        <w:t xml:space="preserve"> umjesto SAD-a, sa stopom zaposlenosti iznad 70%. </w:t>
      </w:r>
      <w:r w:rsidR="00E80719" w:rsidRPr="004E6412">
        <w:rPr>
          <w:rFonts w:ascii="Times New Roman" w:eastAsia="GillSansMTPro-Light" w:hAnsi="Times New Roman"/>
        </w:rPr>
        <w:t>Ova S</w:t>
      </w:r>
      <w:r w:rsidRPr="004E6412">
        <w:rPr>
          <w:rFonts w:ascii="Times New Roman" w:eastAsia="GillSansMTPro-Light" w:hAnsi="Times New Roman"/>
        </w:rPr>
        <w:t xml:space="preserve">trategija </w:t>
      </w:r>
      <w:r w:rsidR="00E80719" w:rsidRPr="004E6412">
        <w:rPr>
          <w:rFonts w:ascii="Times New Roman" w:hAnsi="Times New Roman"/>
        </w:rPr>
        <w:t>nastala je</w:t>
      </w:r>
      <w:r w:rsidRPr="004E6412">
        <w:rPr>
          <w:rFonts w:ascii="Times New Roman" w:hAnsi="Times New Roman"/>
        </w:rPr>
        <w:t xml:space="preserve"> u potrazi za zajedničkim gospodarskim okvirom EU</w:t>
      </w:r>
      <w:r w:rsidR="00E80719" w:rsidRPr="004E6412">
        <w:rPr>
          <w:rFonts w:ascii="Times New Roman" w:hAnsi="Times New Roman"/>
        </w:rPr>
        <w:t>-a</w:t>
      </w:r>
      <w:r w:rsidRPr="004E6412">
        <w:rPr>
          <w:rFonts w:ascii="Times New Roman" w:hAnsi="Times New Roman"/>
        </w:rPr>
        <w:t xml:space="preserve"> koji nudi smjernice za povećanje konkurentnosti i zaposlenosti gospodarstva koje su značajne i za razvoj industrije. </w:t>
      </w:r>
    </w:p>
    <w:p w:rsidR="001671CF" w:rsidRPr="004E6412" w:rsidRDefault="001671CF" w:rsidP="001671CF">
      <w:pPr>
        <w:rPr>
          <w:rFonts w:eastAsia="Times New Roman"/>
          <w:sz w:val="22"/>
          <w:lang w:eastAsia="hr-HR"/>
        </w:rPr>
      </w:pPr>
    </w:p>
    <w:p w:rsidR="001671CF" w:rsidRPr="004E6412" w:rsidRDefault="001671CF" w:rsidP="00D001B9">
      <w:pPr>
        <w:pStyle w:val="Heading4"/>
      </w:pPr>
      <w:bookmarkStart w:id="190" w:name="_Toc372087947"/>
      <w:bookmarkStart w:id="191" w:name="_Toc372308911"/>
      <w:r w:rsidRPr="004E6412">
        <w:t>Europa 2020</w:t>
      </w:r>
      <w:bookmarkEnd w:id="190"/>
      <w:bookmarkEnd w:id="191"/>
    </w:p>
    <w:p w:rsidR="001671CF" w:rsidRPr="004E6412" w:rsidRDefault="001671CF" w:rsidP="00B15A78">
      <w:pPr>
        <w:pStyle w:val="ListParagraph"/>
        <w:numPr>
          <w:ilvl w:val="0"/>
          <w:numId w:val="114"/>
        </w:numPr>
        <w:spacing w:after="0"/>
        <w:jc w:val="both"/>
        <w:rPr>
          <w:rFonts w:ascii="Times New Roman" w:eastAsia="Times New Roman" w:hAnsi="Times New Roman"/>
          <w:b/>
          <w:lang w:eastAsia="hr-HR"/>
        </w:rPr>
      </w:pPr>
      <w:r w:rsidRPr="004E6412">
        <w:rPr>
          <w:rFonts w:ascii="Times New Roman" w:eastAsia="Times New Roman" w:hAnsi="Times New Roman"/>
          <w:i/>
          <w:lang w:eastAsia="hr-HR"/>
        </w:rPr>
        <w:t>Europa 2020</w:t>
      </w:r>
      <w:r w:rsidR="00E80719" w:rsidRPr="004E6412">
        <w:rPr>
          <w:rFonts w:ascii="Times New Roman" w:eastAsia="Times New Roman" w:hAnsi="Times New Roman"/>
          <w:lang w:eastAsia="hr-HR"/>
        </w:rPr>
        <w:t xml:space="preserve"> </w:t>
      </w:r>
      <w:r w:rsidRPr="004E6412">
        <w:rPr>
          <w:rFonts w:ascii="Times New Roman" w:eastAsia="Times New Roman" w:hAnsi="Times New Roman"/>
          <w:lang w:eastAsia="hr-HR"/>
        </w:rPr>
        <w:t xml:space="preserve">nadovezuje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na Lisabonsku str</w:t>
      </w:r>
      <w:r w:rsidR="00E80719" w:rsidRPr="004E6412">
        <w:rPr>
          <w:rFonts w:ascii="Times New Roman" w:eastAsia="Times New Roman" w:hAnsi="Times New Roman"/>
          <w:lang w:eastAsia="hr-HR"/>
        </w:rPr>
        <w:t>ategiju 2010, zadržavajući usmjerenost</w:t>
      </w:r>
      <w:r w:rsidRPr="004E6412">
        <w:rPr>
          <w:rFonts w:ascii="Times New Roman" w:eastAsia="Times New Roman" w:hAnsi="Times New Roman"/>
          <w:lang w:eastAsia="hr-HR"/>
        </w:rPr>
        <w:t xml:space="preserve"> </w:t>
      </w:r>
      <w:r w:rsidR="00E80719" w:rsidRPr="004E6412">
        <w:rPr>
          <w:rFonts w:ascii="Times New Roman" w:eastAsia="GillSansMTPro-Light" w:hAnsi="Times New Roman"/>
          <w:lang w:eastAsia="hr-HR"/>
        </w:rPr>
        <w:t>prema</w:t>
      </w:r>
      <w:r w:rsidRPr="004E6412">
        <w:rPr>
          <w:rFonts w:ascii="Times New Roman" w:eastAsia="GillSansMTPro-Light" w:hAnsi="Times New Roman"/>
          <w:lang w:eastAsia="hr-HR"/>
        </w:rPr>
        <w:t xml:space="preserve"> konkurentnosti i zaposlenosti. </w:t>
      </w:r>
      <w:r w:rsidRPr="004E6412">
        <w:rPr>
          <w:rFonts w:ascii="Times New Roman" w:eastAsia="Times New Roman" w:hAnsi="Times New Roman"/>
          <w:i/>
          <w:lang w:eastAsia="hr-HR"/>
        </w:rPr>
        <w:t>Europa 2020</w:t>
      </w:r>
      <w:r w:rsidRPr="004E6412">
        <w:rPr>
          <w:rFonts w:ascii="Times New Roman" w:eastAsia="Times New Roman" w:hAnsi="Times New Roman"/>
          <w:lang w:eastAsia="hr-HR"/>
        </w:rPr>
        <w:t xml:space="preserve"> javlja se kao novi strateški okvir, </w:t>
      </w:r>
      <w:r w:rsidRPr="004E6412">
        <w:rPr>
          <w:rFonts w:ascii="Times New Roman" w:eastAsia="GillSansMTPro-Light" w:hAnsi="Times New Roman"/>
          <w:lang w:eastAsia="hr-HR"/>
        </w:rPr>
        <w:t>usmjeravajući se na rješavanje ključnih izazova kao što su znanje i inovacije, rast i zaposlenost te niskougljično gospodarstvo.</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Pr="004E6412">
        <w:rPr>
          <w:rFonts w:ascii="Times New Roman" w:eastAsia="GillSansMTPro-Light" w:hAnsi="Times New Roman"/>
        </w:rPr>
        <w:t xml:space="preserve"> i</w:t>
      </w:r>
      <w:r w:rsidR="00E80719" w:rsidRPr="004E6412">
        <w:rPr>
          <w:rFonts w:ascii="Times New Roman" w:eastAsia="GillSansMTPro-Light" w:hAnsi="Times New Roman"/>
        </w:rPr>
        <w:t>stiče važnost daljnjih napora vezanih uz pravilnu provedbu</w:t>
      </w:r>
      <w:r w:rsidRPr="004E6412">
        <w:rPr>
          <w:rFonts w:ascii="Times New Roman" w:eastAsia="GillSansMTPro-Light" w:hAnsi="Times New Roman"/>
        </w:rPr>
        <w:t xml:space="preserve"> politike tržišnog natjecanja</w:t>
      </w:r>
      <w:r w:rsidR="00E80719" w:rsidRPr="004E6412">
        <w:rPr>
          <w:rFonts w:ascii="Times New Roman" w:eastAsia="GillSansMTPro-Light" w:hAnsi="Times New Roman"/>
        </w:rPr>
        <w:t>,</w:t>
      </w:r>
      <w:r w:rsidRPr="004E6412">
        <w:rPr>
          <w:rFonts w:ascii="Times New Roman" w:eastAsia="GillSansMTPro-Light" w:hAnsi="Times New Roman"/>
        </w:rPr>
        <w:t xml:space="preserve"> što podrazumijeva odlučnu borbu protiv svih ponašanja poduzetnika koja mogu narušiti, ograničiti i spriječiti tržišno natjecanje. Nadalje, istaknuta je potreba za daljnjim smanjivanjem državnih potpora, odnosno pravilnim usmjeravanjem preostalih državnih potpora, vodeć</w:t>
      </w:r>
      <w:r w:rsidR="00E80719" w:rsidRPr="004E6412">
        <w:rPr>
          <w:rFonts w:ascii="Times New Roman" w:eastAsia="GillSansMTPro-Light" w:hAnsi="Times New Roman"/>
        </w:rPr>
        <w:t>i računa o privremenom obilježju</w:t>
      </w:r>
      <w:r w:rsidRPr="004E6412">
        <w:rPr>
          <w:rFonts w:ascii="Times New Roman" w:eastAsia="GillSansMTPro-Light" w:hAnsi="Times New Roman"/>
        </w:rPr>
        <w:t xml:space="preserve"> rješenja kojima se pokušalo odgovoriti na izazove financijske krize, što se naročito odnosi na potpore financijskom sektoru.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00E80719" w:rsidRPr="004E6412">
        <w:rPr>
          <w:rFonts w:ascii="Times New Roman" w:eastAsia="GillSansMTPro-Light" w:hAnsi="Times New Roman"/>
        </w:rPr>
        <w:t xml:space="preserve"> navodi</w:t>
      </w:r>
      <w:r w:rsidRPr="004E6412">
        <w:rPr>
          <w:rFonts w:ascii="Times New Roman" w:eastAsia="GillSansMTPro-Light" w:hAnsi="Times New Roman"/>
        </w:rPr>
        <w:t xml:space="preserve"> tri ključna elementa za pokretanje gospo</w:t>
      </w:r>
      <w:r w:rsidR="00E80719" w:rsidRPr="004E6412">
        <w:rPr>
          <w:rFonts w:ascii="Times New Roman" w:eastAsia="GillSansMTPro-Light" w:hAnsi="Times New Roman"/>
        </w:rPr>
        <w:t xml:space="preserve">darskog rasta koji se razrađuju </w:t>
      </w:r>
      <w:r w:rsidRPr="004E6412">
        <w:rPr>
          <w:rFonts w:ascii="Times New Roman" w:eastAsia="GillSansMTPro-Light" w:hAnsi="Times New Roman"/>
        </w:rPr>
        <w:t xml:space="preserve">kroz konkretna djelovanja na razini EU-a i na nacionalnoj razini: (1) pametan rast, koji potiče znanje, inovacije, obrazovanje i digitalno društvo; (2) održivi rast, koji istodobno potiče konkurentnost te proizvodnju koja se efikasnije odnosi prema resursima; te (3) uključivi rast, koji povećava uključenost u tržišta rada i stjecanje vještina, čime se sprječava siromaštvo.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Napredak prema </w:t>
      </w:r>
      <w:r w:rsidRPr="004E6412">
        <w:rPr>
          <w:rFonts w:ascii="Times New Roman" w:eastAsia="GillSansMTPro-Light" w:hAnsi="Times New Roman"/>
          <w:i/>
        </w:rPr>
        <w:t>Europa 2020</w:t>
      </w:r>
      <w:r w:rsidR="00E80719" w:rsidRPr="004E6412">
        <w:rPr>
          <w:rFonts w:ascii="Times New Roman" w:eastAsia="GillSansMTPro-Light" w:hAnsi="Times New Roman"/>
        </w:rPr>
        <w:t xml:space="preserve"> mjeri se preko</w:t>
      </w:r>
      <w:r w:rsidRPr="004E6412">
        <w:rPr>
          <w:rFonts w:ascii="Times New Roman" w:eastAsia="GillSansMTPro-Light" w:hAnsi="Times New Roman"/>
        </w:rPr>
        <w:t xml:space="preserve"> pet temeljnih ciljeva:</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porast stope zaposlenosti na 75%, </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porast investicija u istraživanje i razvoj na 3% BDP-a EU</w:t>
      </w:r>
      <w:r w:rsidR="00E80719" w:rsidRPr="004E6412">
        <w:rPr>
          <w:rFonts w:ascii="Times New Roman" w:eastAsia="GillSansMTPro-Light" w:hAnsi="Times New Roman"/>
        </w:rPr>
        <w:t>-a</w:t>
      </w:r>
      <w:r w:rsidRPr="004E6412">
        <w:rPr>
          <w:rFonts w:ascii="Times New Roman" w:eastAsia="GillSansMTPro-Light" w:hAnsi="Times New Roman"/>
        </w:rPr>
        <w:t>,</w:t>
      </w:r>
    </w:p>
    <w:p w:rsidR="001671CF" w:rsidRPr="004E6412" w:rsidRDefault="00E80719"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postizanje tzv. 20/20/20 postotnih</w:t>
      </w:r>
      <w:r w:rsidR="001671CF" w:rsidRPr="004E6412">
        <w:rPr>
          <w:rFonts w:ascii="Times New Roman" w:eastAsia="GillSansMTPro-Light" w:hAnsi="Times New Roman"/>
        </w:rPr>
        <w:t xml:space="preserve"> ciljeva u području ekologije i energetike,</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lastRenderedPageBreak/>
        <w:t>smanjenje udjela ranog napuštanja škole na manje od 10% i dostizanje udjela od 40% mladih s visokim obrazovanjem,</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smanjenje broja ljudi izloženih riziku od siromaštva za 20 milijuna. </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U </w:t>
      </w:r>
      <w:r w:rsidRPr="004E6412">
        <w:rPr>
          <w:rFonts w:ascii="Times New Roman" w:hAnsi="Times New Roman"/>
          <w:i/>
        </w:rPr>
        <w:t>Europi 2020</w:t>
      </w:r>
      <w:r w:rsidRPr="004E6412">
        <w:rPr>
          <w:rFonts w:ascii="Times New Roman" w:hAnsi="Times New Roman"/>
        </w:rPr>
        <w:t xml:space="preserve"> industrijski razvoj je usko vezan uz daljnje jačanje unutarnjeg tržišta EU</w:t>
      </w:r>
      <w:r w:rsidR="00E80719" w:rsidRPr="004E6412">
        <w:rPr>
          <w:rFonts w:ascii="Times New Roman" w:hAnsi="Times New Roman"/>
        </w:rPr>
        <w:t>-a</w:t>
      </w:r>
      <w:r w:rsidRPr="004E6412">
        <w:rPr>
          <w:rFonts w:ascii="Times New Roman" w:hAnsi="Times New Roman"/>
        </w:rPr>
        <w:t xml:space="preserve"> i deregulaciju poslovnog okruženja za poduzetnike. Industrija, pogotovo mala i srednja poduzeća, snažno su pogođena krizom te se svi sektori suočavaju s izazovima globalizacije i prilagođavanja proizvodnih procesa niskougljičnom i energetski učinkovitijem gospodarstvu. Potrebno je poticati internacionalizaciju malih i srednjih poduzeća, transportne i logističke mreže, konkurentnost turizma, korporativnu odg</w:t>
      </w:r>
      <w:r w:rsidR="006E122B" w:rsidRPr="004E6412">
        <w:rPr>
          <w:rFonts w:ascii="Times New Roman" w:hAnsi="Times New Roman"/>
        </w:rPr>
        <w:t>ovornost</w:t>
      </w:r>
      <w:r w:rsidRPr="004E6412">
        <w:rPr>
          <w:rFonts w:ascii="Times New Roman" w:hAnsi="Times New Roman"/>
        </w:rPr>
        <w:t xml:space="preserve"> te kvalitetu i jednostavnost zakonodavstva koje se odnosi na poslovanje.</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i/>
        </w:rPr>
        <w:t>Europa 2020</w:t>
      </w:r>
      <w:r w:rsidRPr="004E6412">
        <w:rPr>
          <w:rFonts w:ascii="Times New Roman" w:hAnsi="Times New Roman"/>
        </w:rPr>
        <w:t xml:space="preserve"> zagovara pametan gospodarski rast koji se temelji na znanju i inovacijama, uključujući poboljšanje kvalitete obrazovnih sustava, poticanje prijenosa znanja, zaštitu intelektualnog vlasništva i bolju iskoristivost informacijskih i komunikacijskih tehnologija. Po</w:t>
      </w:r>
      <w:r w:rsidR="006E122B" w:rsidRPr="004E6412">
        <w:rPr>
          <w:rFonts w:ascii="Times New Roman" w:hAnsi="Times New Roman"/>
        </w:rPr>
        <w:t xml:space="preserve">boljšanje obrazovnih sustava </w:t>
      </w:r>
      <w:r w:rsidRPr="004E6412">
        <w:rPr>
          <w:rFonts w:ascii="Times New Roman" w:hAnsi="Times New Roman"/>
        </w:rPr>
        <w:t xml:space="preserve">ključno </w:t>
      </w:r>
      <w:r w:rsidR="006E122B" w:rsidRPr="004E6412">
        <w:rPr>
          <w:rFonts w:ascii="Times New Roman" w:hAnsi="Times New Roman"/>
        </w:rPr>
        <w:t xml:space="preserve">je </w:t>
      </w:r>
      <w:r w:rsidRPr="004E6412">
        <w:rPr>
          <w:rFonts w:ascii="Times New Roman" w:hAnsi="Times New Roman"/>
        </w:rPr>
        <w:t>za ulazak mladih na tržište rada. Digitalno društvo traži primjenu informacijskih i komunikacijskih tehnologija na jedinstvenom tr</w:t>
      </w:r>
      <w:r w:rsidR="007757D7" w:rsidRPr="004E6412">
        <w:rPr>
          <w:rFonts w:ascii="Times New Roman" w:hAnsi="Times New Roman"/>
        </w:rPr>
        <w:t>žištu, uključujući brzi Internet</w:t>
      </w:r>
      <w:r w:rsidRPr="004E6412">
        <w:rPr>
          <w:rFonts w:ascii="Times New Roman" w:hAnsi="Times New Roman"/>
        </w:rPr>
        <w:t xml:space="preserve"> te elektroničku distribuciju roba i usluga.</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Održivi rast za </w:t>
      </w:r>
      <w:r w:rsidRPr="004E6412">
        <w:rPr>
          <w:rFonts w:ascii="Times New Roman" w:hAnsi="Times New Roman"/>
          <w:i/>
        </w:rPr>
        <w:t>Europu 2020</w:t>
      </w:r>
      <w:r w:rsidRPr="004E6412">
        <w:rPr>
          <w:rFonts w:ascii="Times New Roman" w:hAnsi="Times New Roman"/>
        </w:rPr>
        <w:t xml:space="preserve"> znači poticanje učinkovitog korištenja resursa, povećanu primjenu zelenih tehnologija i konkurentnije gospodarstvo. Učinkovito korištenje resursa znači smanjenje emisije ugljičnih dioksida, povećanje upotrebe obnovljivih energetskih izvora, modernizaciju prometnog sektora i energetsku učinkovitost.</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Europski obrazovni sustavi trebaju rješavati probleme ranog napuštanja škole. Znanja i vje</w:t>
      </w:r>
      <w:r w:rsidR="006E122B" w:rsidRPr="004E6412">
        <w:rPr>
          <w:rFonts w:ascii="Times New Roman" w:hAnsi="Times New Roman"/>
        </w:rPr>
        <w:t xml:space="preserve">štine </w:t>
      </w:r>
      <w:r w:rsidRPr="004E6412">
        <w:rPr>
          <w:rFonts w:ascii="Times New Roman" w:hAnsi="Times New Roman"/>
        </w:rPr>
        <w:t xml:space="preserve">ne poklapaju </w:t>
      </w:r>
      <w:r w:rsidR="006E122B" w:rsidRPr="004E6412">
        <w:rPr>
          <w:rFonts w:ascii="Times New Roman" w:hAnsi="Times New Roman"/>
        </w:rPr>
        <w:t xml:space="preserve">se </w:t>
      </w:r>
      <w:r w:rsidRPr="004E6412">
        <w:rPr>
          <w:rFonts w:ascii="Times New Roman" w:hAnsi="Times New Roman"/>
        </w:rPr>
        <w:t>u dovoljnoj mjeri s potrebama tržišta rada u industrijskim djelatnostima, što stvara neravnotežu između ponude i potražnje, odnosno strukturnu nezaposlenost. Naglasak je potrebno staviti na poduzetništvo i kreativnost, inovacije i industrijsko inženjerstvo. Cjeloživotno obrazovanje sve više postaje nužnos</w:t>
      </w:r>
      <w:r w:rsidR="006E122B" w:rsidRPr="004E6412">
        <w:rPr>
          <w:rFonts w:ascii="Times New Roman" w:hAnsi="Times New Roman"/>
        </w:rPr>
        <w:t>t ne samo za visokoobrazovane, već naročito</w:t>
      </w:r>
      <w:r w:rsidRPr="004E6412">
        <w:rPr>
          <w:rFonts w:ascii="Times New Roman" w:hAnsi="Times New Roman"/>
        </w:rPr>
        <w:t xml:space="preserve"> za mlade čija </w:t>
      </w:r>
      <w:r w:rsidR="00777D36" w:rsidRPr="004E6412">
        <w:rPr>
          <w:rFonts w:ascii="Times New Roman" w:hAnsi="Times New Roman"/>
        </w:rPr>
        <w:t xml:space="preserve">je stopa nezaposlenosti </w:t>
      </w:r>
      <w:r w:rsidRPr="004E6412">
        <w:rPr>
          <w:rFonts w:ascii="Times New Roman" w:hAnsi="Times New Roman"/>
        </w:rPr>
        <w:t>posebno visoka.</w:t>
      </w:r>
    </w:p>
    <w:p w:rsidR="001671CF" w:rsidRPr="004E6412" w:rsidRDefault="001671CF" w:rsidP="001671CF">
      <w:pPr>
        <w:rPr>
          <w:sz w:val="22"/>
        </w:rPr>
      </w:pPr>
    </w:p>
    <w:p w:rsidR="001671CF" w:rsidRPr="004E6412" w:rsidRDefault="00777D36"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rPr>
        <w:t>S o</w:t>
      </w:r>
      <w:r w:rsidR="001671CF" w:rsidRPr="004E6412">
        <w:rPr>
          <w:rFonts w:ascii="Times New Roman" w:hAnsi="Times New Roman"/>
        </w:rPr>
        <w:t xml:space="preserve">bzirom da </w:t>
      </w:r>
      <w:r w:rsidR="001671CF" w:rsidRPr="004E6412">
        <w:rPr>
          <w:rFonts w:ascii="Times New Roman" w:hAnsi="Times New Roman"/>
          <w:i/>
        </w:rPr>
        <w:t>Europa 2020</w:t>
      </w:r>
      <w:r w:rsidR="001671CF" w:rsidRPr="004E6412">
        <w:rPr>
          <w:rFonts w:ascii="Times New Roman" w:hAnsi="Times New Roman"/>
        </w:rPr>
        <w:t xml:space="preserve"> ističe važnost fiskalne konsolidacije kroz strukturne reforme ka</w:t>
      </w:r>
      <w:r w:rsidRPr="004E6412">
        <w:rPr>
          <w:rFonts w:ascii="Times New Roman" w:hAnsi="Times New Roman"/>
        </w:rPr>
        <w:t>o sredstva sniženja</w:t>
      </w:r>
      <w:r w:rsidR="001671CF" w:rsidRPr="004E6412">
        <w:rPr>
          <w:rFonts w:ascii="Times New Roman" w:hAnsi="Times New Roman"/>
        </w:rPr>
        <w:t xml:space="preserve"> proračunskih deficita, EU razvoj industrije</w:t>
      </w:r>
      <w:r w:rsidRPr="004E6412">
        <w:rPr>
          <w:rFonts w:ascii="Times New Roman" w:hAnsi="Times New Roman"/>
        </w:rPr>
        <w:t xml:space="preserve"> vidi kroz privatne investicije</w:t>
      </w:r>
      <w:r w:rsidR="001671CF" w:rsidRPr="004E6412">
        <w:rPr>
          <w:rFonts w:ascii="Times New Roman" w:hAnsi="Times New Roman"/>
        </w:rPr>
        <w:t xml:space="preserve"> umjesto javnih investicijskih planova u odabranim sektorima. Posebno se naglašava uloga porezne politike u poticanju rasta, odnosno smanjivanja troškova poslovanja, što prije svega uključuje smanjivanje poreznog opterećenja rada.</w:t>
      </w:r>
    </w:p>
    <w:p w:rsidR="001671CF" w:rsidRPr="004E6412" w:rsidRDefault="001671CF" w:rsidP="001671CF">
      <w:pPr>
        <w:rPr>
          <w:sz w:val="22"/>
        </w:rPr>
      </w:pPr>
    </w:p>
    <w:p w:rsidR="001671CF" w:rsidRPr="004E6412" w:rsidRDefault="001671CF" w:rsidP="00D001B9">
      <w:pPr>
        <w:pStyle w:val="Heading4"/>
      </w:pPr>
      <w:bookmarkStart w:id="192" w:name="_Toc372087948"/>
      <w:bookmarkStart w:id="193" w:name="_Toc372308912"/>
      <w:r w:rsidRPr="004E6412">
        <w:t>Jača europska industrija za rast i gospodarski oporavak 2012</w:t>
      </w:r>
      <w:bookmarkEnd w:id="192"/>
      <w:bookmarkEnd w:id="193"/>
    </w:p>
    <w:p w:rsidR="001671CF" w:rsidRPr="004E6412" w:rsidRDefault="001671CF"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i/>
        </w:rPr>
        <w:t>Jača europska industrija za rast i gospodarski oporavak 2012</w:t>
      </w:r>
      <w:r w:rsidRPr="004E6412">
        <w:rPr>
          <w:rFonts w:ascii="Times New Roman" w:hAnsi="Times New Roman"/>
          <w:b/>
        </w:rPr>
        <w:t xml:space="preserve"> </w:t>
      </w:r>
      <w:r w:rsidR="00777D36" w:rsidRPr="004E6412">
        <w:rPr>
          <w:rFonts w:ascii="Times New Roman" w:hAnsi="Times New Roman"/>
        </w:rPr>
        <w:t>je dokument koji definira</w:t>
      </w:r>
      <w:r w:rsidRPr="004E6412">
        <w:rPr>
          <w:rFonts w:ascii="Times New Roman" w:hAnsi="Times New Roman"/>
        </w:rPr>
        <w:t xml:space="preserve"> provedbu </w:t>
      </w:r>
      <w:r w:rsidRPr="004E6412">
        <w:rPr>
          <w:rFonts w:ascii="Times New Roman" w:hAnsi="Times New Roman"/>
          <w:i/>
        </w:rPr>
        <w:t>Europe 2020</w:t>
      </w:r>
      <w:r w:rsidRPr="004E6412">
        <w:rPr>
          <w:rFonts w:ascii="Times New Roman" w:hAnsi="Times New Roman"/>
        </w:rPr>
        <w:t xml:space="preserve"> u kontekstu četiri</w:t>
      </w:r>
      <w:r w:rsidR="00777D36" w:rsidRPr="004E6412">
        <w:rPr>
          <w:rFonts w:ascii="Times New Roman" w:hAnsi="Times New Roman"/>
        </w:rPr>
        <w:t>ju stupova</w:t>
      </w:r>
      <w:r w:rsidRPr="004E6412">
        <w:rPr>
          <w:rFonts w:ascii="Times New Roman" w:hAnsi="Times New Roman"/>
        </w:rPr>
        <w:t xml:space="preserve"> industrijske politike: 1. Investicije u inovacije; 2. Funkcionalnije unutarnje tržište i bolji pristup međunarodnim tržištima; 3. Bolji pristup financijama i tržištima kapitala; 4. Razvoj ljudskog kapitala.</w:t>
      </w:r>
    </w:p>
    <w:p w:rsidR="001671CF" w:rsidRPr="004E6412" w:rsidRDefault="001671CF" w:rsidP="001671CF">
      <w:pPr>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Jedinstveno tržište Europskog gospoda</w:t>
      </w:r>
      <w:r w:rsidR="00777D36" w:rsidRPr="004E6412">
        <w:rPr>
          <w:rFonts w:ascii="Times New Roman" w:eastAsia="Times New Roman" w:hAnsi="Times New Roman"/>
          <w:lang w:eastAsia="hr-HR"/>
        </w:rPr>
        <w:t xml:space="preserve">rskog prostora </w:t>
      </w:r>
      <w:r w:rsidRPr="004E6412">
        <w:rPr>
          <w:rFonts w:ascii="Times New Roman" w:eastAsia="Times New Roman" w:hAnsi="Times New Roman"/>
          <w:lang w:eastAsia="hr-HR"/>
        </w:rPr>
        <w:t xml:space="preserve">ključan </w:t>
      </w:r>
      <w:r w:rsidR="00777D36"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instrument stvaranja konkurentne europske industrije, pogotovo u malom i srednjem poduzetništvu koje ima potencijal rasta i internacionalizacije. Europska unija stoga traži:</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lastRenderedPageBreak/>
        <w:t>daljnji razvoj integriranog digitalnog jedinstvenog tržišta, snižavanjem prepreka i troškova prekograničnom slobodnom tržištu i elektroničkom poslovanju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ukidanje svih carinskih i necarinskih prepreka, odnosno nepoštenih trgovinskih postupaka koji narušavaju načelo slobodne trgovine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stvaranje jedinstvenog energetskog tržišta s tržišno konkurentnim cijenama energetskih usluga za industriju</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uklanjanje svih administrativnih prepreka i regulatornih opterećenja slobodi poslovanja poduzetnika kroz sustavnu deregulaciju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ubrzanje razvoja europskog sustava standardizacije u području roba i usluga</w:t>
      </w:r>
      <w:r w:rsidR="00777D36" w:rsidRPr="004E6412">
        <w:rPr>
          <w:sz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privatne inve</w:t>
      </w:r>
      <w:r w:rsidR="007757D7" w:rsidRPr="004E6412">
        <w:rPr>
          <w:sz w:val="22"/>
          <w:szCs w:val="22"/>
        </w:rPr>
        <w:t>sticije u mrežu širokopojasnog I</w:t>
      </w:r>
      <w:r w:rsidRPr="004E6412">
        <w:rPr>
          <w:sz w:val="22"/>
          <w:szCs w:val="22"/>
        </w:rPr>
        <w:t>nterneta kao podrška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razvoj klastera i mreža te pametne specijalizacije</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deregulacija cijena i tržišta rada, pogotovo sniženje bruto troškova radne snage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restrukturiranje kroz napuštanje radno-intenzivnog pristupa proizvodnji</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bolja koordinacija sustava obrazovanja te istraživanja i inovacija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razvoj višejezičnog europskog sustava vještina potrebnih za industriju</w:t>
      </w:r>
      <w:r w:rsidR="00777D36" w:rsidRPr="004E6412">
        <w:rPr>
          <w:sz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poboljšanje kvalifikacijske strukture radne snage kroz specijalizacije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učinkovitije prometne, energetske i komunikacijske infrastrukture i usluge kao podrška europskoj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održiva opskrba i upravljanje sirovinama koje su potrebne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prijelaz prema industrijama s niskim stupnjem zagađenja okoliša, kao što je</w:t>
      </w:r>
      <w:r w:rsidR="00777D36" w:rsidRPr="004E6412">
        <w:rPr>
          <w:sz w:val="22"/>
          <w:szCs w:val="22"/>
        </w:rPr>
        <w:t xml:space="preserve"> čista i biološki utemeljena</w:t>
      </w:r>
      <w:r w:rsidRPr="004E6412">
        <w:rPr>
          <w:sz w:val="22"/>
          <w:szCs w:val="22"/>
        </w:rPr>
        <w:t xml:space="preserve"> industrijska proizvodnja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investicije u povećanje energetske učinkovitosti i obnovljive izvore energije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intelektualnog vlasništva od krivotvorenja marki i dizajna</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porijekla robe</w:t>
      </w:r>
      <w:r w:rsidR="00777D36" w:rsidRPr="004E6412">
        <w:rPr>
          <w:sz w:val="22"/>
          <w:lang w:eastAsia="hr-HR"/>
        </w:rPr>
        <w:t>;</w:t>
      </w:r>
    </w:p>
    <w:p w:rsidR="001671CF" w:rsidRPr="004E6412" w:rsidRDefault="001671CF" w:rsidP="00B15A78">
      <w:pPr>
        <w:numPr>
          <w:ilvl w:val="0"/>
          <w:numId w:val="131"/>
        </w:numPr>
        <w:autoSpaceDE w:val="0"/>
        <w:autoSpaceDN w:val="0"/>
        <w:adjustRightInd w:val="0"/>
        <w:ind w:left="1068"/>
        <w:rPr>
          <w:sz w:val="22"/>
          <w:lang w:eastAsia="hr-HR"/>
        </w:rPr>
      </w:pPr>
      <w:r w:rsidRPr="004E6412">
        <w:rPr>
          <w:sz w:val="22"/>
          <w:lang w:eastAsia="hr-HR"/>
        </w:rPr>
        <w:t>skraćivanje vremena isporuke putem automatizacije</w:t>
      </w:r>
      <w:r w:rsidR="00777D36" w:rsidRPr="004E6412">
        <w:rPr>
          <w:sz w:val="22"/>
          <w:lang w:eastAsia="hr-HR"/>
        </w:rPr>
        <w:t>;</w:t>
      </w:r>
    </w:p>
    <w:p w:rsidR="001671CF" w:rsidRPr="004E6412" w:rsidRDefault="001671CF" w:rsidP="00B15A78">
      <w:pPr>
        <w:pStyle w:val="NormalWeb"/>
        <w:numPr>
          <w:ilvl w:val="0"/>
          <w:numId w:val="131"/>
        </w:numPr>
        <w:spacing w:before="0" w:beforeAutospacing="0" w:after="0" w:afterAutospacing="0" w:line="276" w:lineRule="auto"/>
        <w:ind w:left="1068"/>
        <w:jc w:val="both"/>
        <w:rPr>
          <w:sz w:val="22"/>
          <w:szCs w:val="22"/>
        </w:rPr>
      </w:pPr>
      <w:r w:rsidRPr="004E6412">
        <w:rPr>
          <w:sz w:val="22"/>
          <w:szCs w:val="22"/>
        </w:rPr>
        <w:t>veće sudjelovanje financijskih tržišta u poticanju industrijske proizvodnje povećanjem ponude privatnog kapitala za investicije, pogotovo fondova rizičnog kapitala za financiranje početnika</w:t>
      </w:r>
      <w:r w:rsidR="00777D36" w:rsidRPr="004E6412">
        <w:rPr>
          <w:sz w:val="22"/>
          <w:szCs w:val="22"/>
        </w:rPr>
        <w:t>;</w:t>
      </w:r>
    </w:p>
    <w:p w:rsidR="001671CF" w:rsidRPr="004E6412" w:rsidRDefault="001671CF" w:rsidP="00B15A78">
      <w:pPr>
        <w:numPr>
          <w:ilvl w:val="0"/>
          <w:numId w:val="130"/>
        </w:numPr>
        <w:autoSpaceDE w:val="0"/>
        <w:autoSpaceDN w:val="0"/>
        <w:adjustRightInd w:val="0"/>
        <w:ind w:left="1068"/>
        <w:rPr>
          <w:sz w:val="22"/>
        </w:rPr>
      </w:pPr>
      <w:r w:rsidRPr="004E6412">
        <w:rPr>
          <w:sz w:val="22"/>
          <w:lang w:eastAsia="hr-HR"/>
        </w:rPr>
        <w:t xml:space="preserve">jačanje orijentacije prema kupcima i </w:t>
      </w:r>
      <w:r w:rsidRPr="004E6412">
        <w:rPr>
          <w:sz w:val="22"/>
        </w:rPr>
        <w:t>razvoj tzv. ekonomike doživljaja kao koncepta u potrošnji</w:t>
      </w:r>
      <w:r w:rsidR="00777D36" w:rsidRPr="004E6412">
        <w:rPr>
          <w:sz w:val="22"/>
        </w:rPr>
        <w:t>.</w:t>
      </w:r>
    </w:p>
    <w:p w:rsidR="001671CF" w:rsidRPr="004E6412" w:rsidRDefault="001671CF" w:rsidP="001671CF">
      <w:pPr>
        <w:shd w:val="clear" w:color="auto" w:fill="FFFFFF"/>
        <w:rPr>
          <w:rFonts w:eastAsia="Times New Roman"/>
          <w:sz w:val="22"/>
          <w:lang w:eastAsia="hr-HR"/>
        </w:rPr>
      </w:pPr>
    </w:p>
    <w:p w:rsidR="001671CF" w:rsidRPr="004E6412" w:rsidRDefault="001671CF" w:rsidP="00B15A78">
      <w:pPr>
        <w:pStyle w:val="ListParagraph"/>
        <w:numPr>
          <w:ilvl w:val="0"/>
          <w:numId w:val="114"/>
        </w:numPr>
        <w:shd w:val="clear" w:color="auto" w:fill="FFFFFF"/>
        <w:spacing w:after="0"/>
        <w:jc w:val="both"/>
        <w:rPr>
          <w:rFonts w:ascii="Times New Roman" w:eastAsia="Times New Roman" w:hAnsi="Times New Roman"/>
          <w:lang w:eastAsia="hr-HR"/>
        </w:rPr>
      </w:pPr>
      <w:r w:rsidRPr="004E6412">
        <w:rPr>
          <w:rFonts w:ascii="Times New Roman" w:eastAsia="Times New Roman" w:hAnsi="Times New Roman"/>
          <w:lang w:eastAsia="hr-HR"/>
        </w:rPr>
        <w:t>Nekadašnje razlike između indus</w:t>
      </w:r>
      <w:r w:rsidR="00777D36" w:rsidRPr="004E6412">
        <w:rPr>
          <w:rFonts w:ascii="Times New Roman" w:eastAsia="Times New Roman" w:hAnsi="Times New Roman"/>
          <w:lang w:eastAsia="hr-HR"/>
        </w:rPr>
        <w:t xml:space="preserve">trijske proizvodnje i usluga </w:t>
      </w:r>
      <w:r w:rsidRPr="004E6412">
        <w:rPr>
          <w:rFonts w:ascii="Times New Roman" w:eastAsia="Times New Roman" w:hAnsi="Times New Roman"/>
          <w:lang w:eastAsia="hr-HR"/>
        </w:rPr>
        <w:t xml:space="preserve">sve </w:t>
      </w:r>
      <w:r w:rsidR="00777D36"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više smanjuju te oba sektora imaju interaktivnu ulogu u stvaranju gospodarske konkurentnosti. Europska unija sve više naglašava cjeloviti i horizontalni pristup industrijskoj strategiji koji uzima </w:t>
      </w:r>
      <w:r w:rsidR="00777D36" w:rsidRPr="004E6412">
        <w:rPr>
          <w:rFonts w:ascii="Times New Roman" w:eastAsia="Times New Roman" w:hAnsi="Times New Roman"/>
          <w:lang w:eastAsia="hr-HR"/>
        </w:rPr>
        <w:t xml:space="preserve">u </w:t>
      </w:r>
      <w:r w:rsidRPr="004E6412">
        <w:rPr>
          <w:rFonts w:ascii="Times New Roman" w:eastAsia="Times New Roman" w:hAnsi="Times New Roman"/>
          <w:lang w:eastAsia="hr-HR"/>
        </w:rPr>
        <w:t xml:space="preserve">obzir horizontalne (sektorski nediskriminativne) potpore. Nova industrijska politika polazi od važnosti interaktivnosti između moderne visokotehnološke industrije i rastućeg uslužnog sektora, industrije i okoliša. </w:t>
      </w:r>
      <w:r w:rsidRPr="004E6412">
        <w:rPr>
          <w:rFonts w:ascii="Times New Roman" w:eastAsia="Times New Roman" w:hAnsi="Times New Roman"/>
          <w:bCs/>
          <w:lang w:eastAsia="hr-HR"/>
        </w:rPr>
        <w:t>Europska industrij</w:t>
      </w:r>
      <w:r w:rsidR="00777D36" w:rsidRPr="004E6412">
        <w:rPr>
          <w:rFonts w:ascii="Times New Roman" w:eastAsia="Times New Roman" w:hAnsi="Times New Roman"/>
          <w:bCs/>
          <w:lang w:eastAsia="hr-HR"/>
        </w:rPr>
        <w:t>ska politika treba se neprestano</w:t>
      </w:r>
      <w:r w:rsidRPr="004E6412">
        <w:rPr>
          <w:rFonts w:ascii="Times New Roman" w:eastAsia="Times New Roman" w:hAnsi="Times New Roman"/>
          <w:bCs/>
          <w:lang w:eastAsia="hr-HR"/>
        </w:rPr>
        <w:t xml:space="preserve"> koordinirati i integrirati s ostalim javnim politikama, kao što su pitanja makroekonomske stabilnosti, tržišnog natjecanja, jedinstvenog tržišta, inovacija, intelektualnog vlasništva, investicija</w:t>
      </w:r>
      <w:r w:rsidR="00777D36" w:rsidRPr="004E6412">
        <w:rPr>
          <w:rFonts w:ascii="Times New Roman" w:eastAsia="Times New Roman" w:hAnsi="Times New Roman"/>
          <w:bCs/>
          <w:lang w:eastAsia="hr-HR"/>
        </w:rPr>
        <w:t>, izvoza, privatizacije</w:t>
      </w:r>
      <w:r w:rsidRPr="004E6412">
        <w:rPr>
          <w:rFonts w:ascii="Times New Roman" w:eastAsia="Times New Roman" w:hAnsi="Times New Roman"/>
          <w:bCs/>
          <w:lang w:eastAsia="hr-HR"/>
        </w:rPr>
        <w:t>, poreza, energetike, infrastrukture, fleksibilnost</w:t>
      </w:r>
      <w:r w:rsidR="00777D36" w:rsidRPr="004E6412">
        <w:rPr>
          <w:rFonts w:ascii="Times New Roman" w:eastAsia="Times New Roman" w:hAnsi="Times New Roman"/>
          <w:bCs/>
          <w:lang w:eastAsia="hr-HR"/>
        </w:rPr>
        <w:t>i</w:t>
      </w:r>
      <w:r w:rsidRPr="004E6412">
        <w:rPr>
          <w:rFonts w:ascii="Times New Roman" w:eastAsia="Times New Roman" w:hAnsi="Times New Roman"/>
          <w:bCs/>
          <w:lang w:eastAsia="hr-HR"/>
        </w:rPr>
        <w:t xml:space="preserve"> plaća, tržišta usluga, poljoprivrede i ribarstva, upravljanja zemljištima i drugo.</w:t>
      </w:r>
    </w:p>
    <w:p w:rsidR="001671CF" w:rsidRPr="004E6412" w:rsidRDefault="001671CF" w:rsidP="001671CF">
      <w:pPr>
        <w:shd w:val="clear" w:color="auto" w:fill="FFFFFF"/>
        <w:rPr>
          <w:rFonts w:eastAsia="Times New Roman"/>
          <w:sz w:val="22"/>
          <w:lang w:eastAsia="hr-HR"/>
        </w:rPr>
      </w:pPr>
    </w:p>
    <w:p w:rsidR="001671CF" w:rsidRPr="004E6412" w:rsidRDefault="001671CF" w:rsidP="00D001B9">
      <w:pPr>
        <w:pStyle w:val="Heading4"/>
        <w:rPr>
          <w:rFonts w:eastAsia="GillSansMTPro-Light"/>
          <w:i/>
        </w:rPr>
      </w:pPr>
      <w:bookmarkStart w:id="194" w:name="_Toc372087950"/>
      <w:bookmarkStart w:id="195" w:name="_Toc372308914"/>
      <w:r w:rsidRPr="004E6412">
        <w:rPr>
          <w:rFonts w:eastAsia="GillSansMTPro-Light"/>
        </w:rPr>
        <w:t>Poduzetništvo 2020</w:t>
      </w:r>
      <w:bookmarkEnd w:id="194"/>
      <w:bookmarkEnd w:id="195"/>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hAnsi="Times New Roman"/>
          <w:i/>
        </w:rPr>
        <w:t>Poduzetništvo 2020</w:t>
      </w:r>
      <w:r w:rsidRPr="004E6412">
        <w:rPr>
          <w:rFonts w:ascii="Times New Roman" w:hAnsi="Times New Roman"/>
          <w:b/>
        </w:rPr>
        <w:t xml:space="preserve"> </w:t>
      </w:r>
      <w:r w:rsidR="00777D36" w:rsidRPr="004E6412">
        <w:rPr>
          <w:rFonts w:ascii="Times New Roman" w:hAnsi="Times New Roman"/>
        </w:rPr>
        <w:t xml:space="preserve">predstavlja </w:t>
      </w:r>
      <w:r w:rsidRPr="004E6412">
        <w:rPr>
          <w:rFonts w:ascii="Times New Roman" w:hAnsi="Times New Roman"/>
        </w:rPr>
        <w:t xml:space="preserve">akcijski plan </w:t>
      </w:r>
      <w:r w:rsidR="00777D36" w:rsidRPr="004E6412">
        <w:rPr>
          <w:rFonts w:ascii="Times New Roman" w:hAnsi="Times New Roman"/>
        </w:rPr>
        <w:t xml:space="preserve">EU-a </w:t>
      </w:r>
      <w:r w:rsidRPr="004E6412">
        <w:rPr>
          <w:rFonts w:ascii="Times New Roman" w:hAnsi="Times New Roman"/>
        </w:rPr>
        <w:t xml:space="preserve">kojime se državama članicama predlažu smjernice za javne politike vezane uz razvoj poduzetništva na jedinstvenom tržištu Europskog gospodarskog prostora. </w:t>
      </w:r>
      <w:r w:rsidRPr="004E6412">
        <w:rPr>
          <w:rFonts w:ascii="Times New Roman" w:eastAsia="Times New Roman" w:hAnsi="Times New Roman"/>
        </w:rPr>
        <w:t>Europska komisija u dokumentu naglašava kako strukturni izazovi za konku</w:t>
      </w:r>
      <w:r w:rsidR="00777D36" w:rsidRPr="004E6412">
        <w:rPr>
          <w:rFonts w:ascii="Times New Roman" w:eastAsia="Times New Roman" w:hAnsi="Times New Roman"/>
        </w:rPr>
        <w:t>rentnost i rast postoje već dosta</w:t>
      </w:r>
      <w:r w:rsidRPr="004E6412">
        <w:rPr>
          <w:rFonts w:ascii="Times New Roman" w:eastAsia="Times New Roman" w:hAnsi="Times New Roman"/>
        </w:rPr>
        <w:t xml:space="preserve"> vremena</w:t>
      </w:r>
      <w:r w:rsidR="00777D36" w:rsidRPr="004E6412">
        <w:rPr>
          <w:rFonts w:ascii="Times New Roman" w:eastAsia="Times New Roman" w:hAnsi="Times New Roman"/>
        </w:rPr>
        <w:t xml:space="preserve"> </w:t>
      </w:r>
      <w:r w:rsidRPr="004E6412">
        <w:rPr>
          <w:rFonts w:ascii="Times New Roman" w:eastAsia="Times New Roman" w:hAnsi="Times New Roman"/>
        </w:rPr>
        <w:t xml:space="preserve">u obliku različitih prepreka poduzetništva. </w:t>
      </w:r>
    </w:p>
    <w:p w:rsidR="001671CF" w:rsidRPr="004E6412" w:rsidRDefault="001671CF" w:rsidP="001671CF">
      <w:pPr>
        <w:pStyle w:val="ListParagraph"/>
        <w:spacing w:after="0"/>
        <w:jc w:val="both"/>
        <w:rPr>
          <w:rFonts w:ascii="Times New Roman" w:eastAsia="Times New Roman" w:hAnsi="Times New Roman"/>
        </w:rPr>
      </w:pPr>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eastAsia="Times New Roman" w:hAnsi="Times New Roman"/>
        </w:rPr>
        <w:t>U navedenom</w:t>
      </w:r>
      <w:r w:rsidR="00777D36" w:rsidRPr="004E6412">
        <w:rPr>
          <w:rFonts w:ascii="Times New Roman" w:eastAsia="Times New Roman" w:hAnsi="Times New Roman"/>
        </w:rPr>
        <w:t>e</w:t>
      </w:r>
      <w:r w:rsidRPr="004E6412">
        <w:rPr>
          <w:rFonts w:ascii="Times New Roman" w:eastAsia="Times New Roman" w:hAnsi="Times New Roman"/>
        </w:rPr>
        <w:t xml:space="preserve"> akcijskom planu mogu se istaknuti tri ključna područja za razvoj poduzetništva:</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 xml:space="preserve">Razvoj poduzetničkog obrazovanja i kulture: </w:t>
      </w:r>
      <w:r w:rsidRPr="004E6412">
        <w:rPr>
          <w:rFonts w:ascii="Times New Roman" w:hAnsi="Times New Roman"/>
        </w:rPr>
        <w:t xml:space="preserve">reforme u europskim obrazovnim sustavima trebaju se usmjeriti na razvoj znanja o poslovanju i poduzetništvu. Obrazovni programi trebaju težiti stjecanju praktičnih vještina kao što su kreativnost, inicijativa, razumijevanje rizika, smisao za odgovornost i timski rad. </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Razvoj digitalnog jedinstvenog tržišta: digitalno jedinstve</w:t>
      </w:r>
      <w:r w:rsidR="00777D36" w:rsidRPr="004E6412">
        <w:rPr>
          <w:rFonts w:ascii="Times New Roman" w:eastAsia="Times New Roman" w:hAnsi="Times New Roman"/>
        </w:rPr>
        <w:t xml:space="preserve">no tržište </w:t>
      </w:r>
      <w:r w:rsidRPr="004E6412">
        <w:rPr>
          <w:rFonts w:ascii="Times New Roman" w:eastAsia="Times New Roman" w:hAnsi="Times New Roman"/>
        </w:rPr>
        <w:t xml:space="preserve">važan </w:t>
      </w:r>
      <w:r w:rsidR="00777D36" w:rsidRPr="004E6412">
        <w:rPr>
          <w:rFonts w:ascii="Times New Roman" w:eastAsia="Times New Roman" w:hAnsi="Times New Roman"/>
        </w:rPr>
        <w:t xml:space="preserve">je </w:t>
      </w:r>
      <w:r w:rsidRPr="004E6412">
        <w:rPr>
          <w:rFonts w:ascii="Times New Roman" w:eastAsia="Times New Roman" w:hAnsi="Times New Roman"/>
        </w:rPr>
        <w:t xml:space="preserve">segment strategije </w:t>
      </w:r>
      <w:r w:rsidRPr="004E6412">
        <w:rPr>
          <w:rFonts w:ascii="Times New Roman" w:eastAsia="Times New Roman" w:hAnsi="Times New Roman"/>
          <w:i/>
        </w:rPr>
        <w:t>Europa 2020</w:t>
      </w:r>
      <w:r w:rsidR="00777D36" w:rsidRPr="004E6412">
        <w:rPr>
          <w:rFonts w:ascii="Times New Roman" w:eastAsia="Times New Roman" w:hAnsi="Times New Roman"/>
        </w:rPr>
        <w:t xml:space="preserve"> i svih</w:t>
      </w:r>
      <w:r w:rsidRPr="004E6412">
        <w:rPr>
          <w:rFonts w:ascii="Times New Roman" w:eastAsia="Times New Roman" w:hAnsi="Times New Roman"/>
        </w:rPr>
        <w:t xml:space="preserve"> relevantnih EU dokumenata o rastu i konkurentnosti. Euro</w:t>
      </w:r>
      <w:r w:rsidR="00777D36" w:rsidRPr="004E6412">
        <w:rPr>
          <w:rFonts w:ascii="Times New Roman" w:eastAsia="Times New Roman" w:hAnsi="Times New Roman"/>
        </w:rPr>
        <w:t xml:space="preserve">psko jedinstveno tržište može </w:t>
      </w:r>
      <w:r w:rsidRPr="004E6412">
        <w:rPr>
          <w:rFonts w:ascii="Times New Roman" w:eastAsia="Times New Roman" w:hAnsi="Times New Roman"/>
        </w:rPr>
        <w:t xml:space="preserve">biti u cijelosti funkcionalno i fleksibilno samo uz razvoj elektroničkog poslovanja. </w:t>
      </w:r>
    </w:p>
    <w:p w:rsidR="001671CF" w:rsidRPr="004E6412" w:rsidRDefault="001671CF" w:rsidP="00B15A78">
      <w:pPr>
        <w:numPr>
          <w:ilvl w:val="0"/>
          <w:numId w:val="116"/>
        </w:numPr>
        <w:contextualSpacing/>
        <w:rPr>
          <w:rFonts w:eastAsia="Times New Roman"/>
          <w:sz w:val="22"/>
        </w:rPr>
      </w:pPr>
      <w:r w:rsidRPr="004E6412">
        <w:rPr>
          <w:rFonts w:eastAsia="Times New Roman"/>
          <w:sz w:val="22"/>
        </w:rPr>
        <w:t>Uklanjanje regulatornih opterećenja poduzetništvu: traži se jednostavan regulatorni okvir s jasno postavljenim i horizontalno primjenjivim pravilima koja će štiti</w:t>
      </w:r>
      <w:r w:rsidR="00777D36" w:rsidRPr="004E6412">
        <w:rPr>
          <w:rFonts w:eastAsia="Times New Roman"/>
          <w:sz w:val="22"/>
        </w:rPr>
        <w:t>ti</w:t>
      </w:r>
      <w:r w:rsidRPr="004E6412">
        <w:rPr>
          <w:rFonts w:eastAsia="Times New Roman"/>
          <w:sz w:val="22"/>
        </w:rPr>
        <w:t xml:space="preserve"> tržišno natjecanje u cjelini.</w:t>
      </w:r>
    </w:p>
    <w:p w:rsidR="00B15D85" w:rsidRPr="004E6412" w:rsidRDefault="00B15D85" w:rsidP="002F10E9">
      <w:pPr>
        <w:rPr>
          <w:lang w:eastAsia="hr-HR"/>
        </w:rPr>
      </w:pPr>
      <w:bookmarkStart w:id="196" w:name="_Toc366592990"/>
    </w:p>
    <w:bookmarkEnd w:id="196"/>
    <w:p w:rsidR="001671CF" w:rsidRPr="004E6412" w:rsidRDefault="001671CF" w:rsidP="00D001B9">
      <w:pPr>
        <w:pStyle w:val="Heading4"/>
      </w:pPr>
      <w:r w:rsidRPr="004E6412">
        <w:t>Industrijske polit</w:t>
      </w:r>
      <w:r w:rsidR="004823E2" w:rsidRPr="004E6412">
        <w:t>i</w:t>
      </w:r>
      <w:r w:rsidRPr="004E6412">
        <w:t>ke u državama članicama EU</w:t>
      </w:r>
      <w:r w:rsidR="00777D36" w:rsidRPr="004E6412">
        <w:t>-a</w:t>
      </w:r>
    </w:p>
    <w:p w:rsidR="001671CF" w:rsidRPr="004E6412" w:rsidRDefault="00B15D85" w:rsidP="00B15A78">
      <w:pPr>
        <w:numPr>
          <w:ilvl w:val="0"/>
          <w:numId w:val="168"/>
        </w:numPr>
        <w:rPr>
          <w:sz w:val="22"/>
          <w:lang w:eastAsia="hr-HR"/>
        </w:rPr>
      </w:pPr>
      <w:r w:rsidRPr="004E6412">
        <w:rPr>
          <w:sz w:val="22"/>
        </w:rPr>
        <w:t>Sažetak analize područja i primjeri mjera koje su države članice EU</w:t>
      </w:r>
      <w:r w:rsidR="00777D36" w:rsidRPr="004E6412">
        <w:rPr>
          <w:sz w:val="22"/>
        </w:rPr>
        <w:t>-a</w:t>
      </w:r>
      <w:r w:rsidRPr="004E6412">
        <w:rPr>
          <w:sz w:val="22"/>
        </w:rPr>
        <w:t xml:space="preserve"> koristile kako bi unaprijedile konkurentnost i ocijenile svoj učinak</w:t>
      </w:r>
      <w:r w:rsidR="00777D36" w:rsidRPr="004E6412">
        <w:rPr>
          <w:sz w:val="22"/>
        </w:rPr>
        <w:t>,</w:t>
      </w:r>
      <w:r w:rsidRPr="004E6412">
        <w:rPr>
          <w:sz w:val="22"/>
        </w:rPr>
        <w:t xml:space="preserve"> prikazan je u Tablici </w:t>
      </w:r>
      <w:r w:rsidR="004823E2" w:rsidRPr="004E6412">
        <w:rPr>
          <w:sz w:val="22"/>
        </w:rPr>
        <w:t>26</w:t>
      </w:r>
      <w:r w:rsidRPr="004E6412">
        <w:rPr>
          <w:sz w:val="22"/>
        </w:rPr>
        <w:t>. Ključna područja pokrivena politikama su: inovativna industrijska politika, održiva industrija, poslovno okruženje i poboljšanje kvalitete državne administracije.</w:t>
      </w: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sectPr w:rsidR="00B15D85" w:rsidRPr="004E6412" w:rsidSect="00F81C4C">
          <w:pgSz w:w="11906" w:h="16838"/>
          <w:pgMar w:top="1418" w:right="1418" w:bottom="1418" w:left="1418" w:header="709" w:footer="709" w:gutter="0"/>
          <w:cols w:space="708"/>
          <w:docGrid w:linePitch="360"/>
        </w:sectPr>
      </w:pPr>
    </w:p>
    <w:p w:rsidR="00B15D85" w:rsidRPr="007D0CFD" w:rsidRDefault="00B15D85" w:rsidP="007D0CFD">
      <w:pPr>
        <w:pStyle w:val="Heading5"/>
        <w:rPr>
          <w:rStyle w:val="IntenseEmphasis"/>
          <w:b/>
          <w:bCs w:val="0"/>
          <w:iCs w:val="0"/>
          <w:color w:val="548DD4" w:themeColor="text2" w:themeTint="99"/>
          <w:sz w:val="20"/>
        </w:rPr>
      </w:pPr>
      <w:bookmarkStart w:id="197" w:name="_Toc377551040"/>
      <w:bookmarkStart w:id="198" w:name="_Toc377635229"/>
      <w:r w:rsidRPr="007D0CFD">
        <w:rPr>
          <w:rStyle w:val="IntenseEmphasis"/>
          <w:b/>
          <w:bCs w:val="0"/>
          <w:iCs w:val="0"/>
          <w:color w:val="548DD4" w:themeColor="text2" w:themeTint="99"/>
          <w:sz w:val="20"/>
        </w:rPr>
        <w:lastRenderedPageBreak/>
        <w:t>Tablica</w:t>
      </w:r>
      <w:r w:rsidR="00035C7B" w:rsidRPr="007D0CFD">
        <w:rPr>
          <w:rStyle w:val="IntenseEmphasis"/>
          <w:b/>
          <w:bCs w:val="0"/>
          <w:iCs w:val="0"/>
          <w:color w:val="548DD4" w:themeColor="text2" w:themeTint="99"/>
          <w:sz w:val="20"/>
        </w:rPr>
        <w:t xml:space="preserve"> 28</w:t>
      </w:r>
      <w:r w:rsidR="00DC21FD"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Područja i mjere industrijskih politika zemalja članica Europske unije</w:t>
      </w:r>
      <w:bookmarkEnd w:id="197"/>
      <w:bookmarkEnd w:id="1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1072"/>
        <w:gridCol w:w="1426"/>
        <w:gridCol w:w="6333"/>
        <w:gridCol w:w="6521"/>
      </w:tblGrid>
      <w:tr w:rsidR="00B15D85" w:rsidRPr="004E6412" w:rsidTr="0097195F">
        <w:tc>
          <w:tcPr>
            <w:tcW w:w="0" w:type="auto"/>
            <w:shd w:val="clear" w:color="auto" w:fill="D9D9D9"/>
          </w:tcPr>
          <w:p w:rsidR="00B15D85" w:rsidRPr="004E6412" w:rsidRDefault="00B15D85" w:rsidP="0097195F">
            <w:pPr>
              <w:spacing w:line="240" w:lineRule="auto"/>
              <w:rPr>
                <w:b/>
                <w:sz w:val="22"/>
              </w:rPr>
            </w:pPr>
            <w:r w:rsidRPr="004E6412">
              <w:rPr>
                <w:b/>
                <w:sz w:val="22"/>
              </w:rPr>
              <w:t>Područje</w:t>
            </w:r>
          </w:p>
        </w:tc>
        <w:tc>
          <w:tcPr>
            <w:tcW w:w="0" w:type="auto"/>
            <w:shd w:val="clear" w:color="auto" w:fill="D9D9D9"/>
          </w:tcPr>
          <w:p w:rsidR="00B15D85" w:rsidRPr="004E6412" w:rsidRDefault="0075455E" w:rsidP="0097195F">
            <w:pPr>
              <w:spacing w:line="240" w:lineRule="auto"/>
              <w:rPr>
                <w:b/>
                <w:sz w:val="22"/>
              </w:rPr>
            </w:pPr>
            <w:r w:rsidRPr="004E6412">
              <w:rPr>
                <w:b/>
                <w:sz w:val="22"/>
              </w:rPr>
              <w:t>Pod</w:t>
            </w:r>
            <w:r w:rsidR="00B15D85" w:rsidRPr="004E6412">
              <w:rPr>
                <w:b/>
                <w:sz w:val="22"/>
              </w:rPr>
              <w:t xml:space="preserve">područje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Svrha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Primjer </w:t>
            </w: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Inovativna industrijska politika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 xml:space="preserve">Istraživanje i razvoj (R&amp;D) i inovacije </w:t>
            </w:r>
            <w:r w:rsidR="0075455E" w:rsidRPr="004E6412">
              <w:rPr>
                <w:i/>
                <w:sz w:val="22"/>
              </w:rPr>
              <w:t xml:space="preserve">srednjoročno </w:t>
            </w:r>
            <w:r w:rsidRPr="004E6412">
              <w:rPr>
                <w:i/>
                <w:sz w:val="22"/>
              </w:rPr>
              <w:t>su ključni izvori ekonomskog rasta i rast</w:t>
            </w:r>
            <w:r w:rsidR="0075455E" w:rsidRPr="004E6412">
              <w:rPr>
                <w:i/>
                <w:sz w:val="22"/>
              </w:rPr>
              <w:t>a produktivnosti</w:t>
            </w:r>
            <w:r w:rsidRPr="004E6412">
              <w:rPr>
                <w:i/>
                <w:sz w:val="22"/>
              </w:rPr>
              <w:t xml:space="preserve">. EU </w:t>
            </w:r>
            <w:r w:rsidR="00FA7287" w:rsidRPr="004E6412">
              <w:rPr>
                <w:i/>
                <w:sz w:val="22"/>
              </w:rPr>
              <w:t xml:space="preserve">cilja </w:t>
            </w:r>
            <w:r w:rsidR="0075455E" w:rsidRPr="004E6412">
              <w:rPr>
                <w:i/>
                <w:sz w:val="22"/>
              </w:rPr>
              <w:t xml:space="preserve">na </w:t>
            </w:r>
            <w:r w:rsidR="00FA7287" w:rsidRPr="004E6412">
              <w:rPr>
                <w:i/>
                <w:sz w:val="22"/>
              </w:rPr>
              <w:t>razinu</w:t>
            </w:r>
            <w:r w:rsidRPr="004E6412">
              <w:rPr>
                <w:i/>
                <w:sz w:val="22"/>
              </w:rPr>
              <w:t xml:space="preserve"> izdvajanja</w:t>
            </w:r>
            <w:r w:rsidR="00FA7287" w:rsidRPr="004E6412">
              <w:rPr>
                <w:i/>
                <w:sz w:val="22"/>
              </w:rPr>
              <w:t xml:space="preserve"> od</w:t>
            </w:r>
            <w:r w:rsidRPr="004E6412">
              <w:rPr>
                <w:i/>
                <w:sz w:val="22"/>
              </w:rPr>
              <w:t xml:space="preserve"> 3% BDP-a na istraživanje i razvoj do 2020. Uspješna ulaganja u istraži</w:t>
            </w:r>
            <w:r w:rsidR="0075455E" w:rsidRPr="004E6412">
              <w:rPr>
                <w:i/>
                <w:sz w:val="22"/>
              </w:rPr>
              <w:t>vanje i inovacije mogu povećati</w:t>
            </w:r>
            <w:r w:rsidRPr="004E6412">
              <w:rPr>
                <w:i/>
                <w:sz w:val="22"/>
              </w:rPr>
              <w:t xml:space="preserve"> produktivnost i konkurentnost europskih tvrtki. U isto vrijeme, poboljšana inovativnost ubrzava  strukturne promjene u zemljama članicama EU</w:t>
            </w:r>
            <w:r w:rsidR="0075455E" w:rsidRPr="004E6412">
              <w:rPr>
                <w:i/>
                <w:sz w:val="22"/>
              </w:rPr>
              <w:t>-a prema</w:t>
            </w:r>
            <w:r w:rsidRPr="004E6412">
              <w:rPr>
                <w:i/>
                <w:sz w:val="22"/>
              </w:rPr>
              <w:t xml:space="preserve"> ekonomskim aktivnostima s većom dodanom vrijednosti.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privatnih istraživanja</w:t>
            </w:r>
          </w:p>
        </w:tc>
        <w:tc>
          <w:tcPr>
            <w:tcW w:w="0" w:type="auto"/>
            <w:shd w:val="clear" w:color="auto" w:fill="auto"/>
          </w:tcPr>
          <w:p w:rsidR="00B15D85" w:rsidRPr="004E6412" w:rsidRDefault="00B15D85" w:rsidP="0097195F">
            <w:pPr>
              <w:spacing w:line="240" w:lineRule="auto"/>
              <w:rPr>
                <w:sz w:val="22"/>
              </w:rPr>
            </w:pPr>
            <w:r w:rsidRPr="004E6412">
              <w:rPr>
                <w:sz w:val="22"/>
              </w:rPr>
              <w:t>Mnoge zemlje članice EU</w:t>
            </w:r>
            <w:r w:rsidR="0075455E" w:rsidRPr="004E6412">
              <w:rPr>
                <w:sz w:val="22"/>
              </w:rPr>
              <w:t>-a</w:t>
            </w:r>
            <w:r w:rsidRPr="004E6412">
              <w:rPr>
                <w:sz w:val="22"/>
              </w:rPr>
              <w:t xml:space="preserve"> koriste različite porezne i druge mjere kako bi potaknule istraživanja </w:t>
            </w:r>
            <w:r w:rsidR="00FA7287" w:rsidRPr="004E6412">
              <w:rPr>
                <w:sz w:val="22"/>
              </w:rPr>
              <w:t>u poslovnom sektoru</w:t>
            </w:r>
            <w:r w:rsidRPr="004E6412">
              <w:rPr>
                <w:sz w:val="22"/>
              </w:rPr>
              <w:t>. Međutim, porezne olakšice predstavljaju skup instrument poticanja pa se zemlje često okreću drugim mjerama, kao što je primjerice olakšavanje dostupnosti rizičnog kapitala (eng</w:t>
            </w:r>
            <w:r w:rsidR="004823E2" w:rsidRPr="004E6412">
              <w:rPr>
                <w:sz w:val="22"/>
              </w:rPr>
              <w:t>l</w:t>
            </w:r>
            <w:r w:rsidRPr="004E6412">
              <w:rPr>
                <w:sz w:val="22"/>
              </w:rPr>
              <w:t xml:space="preserve">. </w:t>
            </w:r>
            <w:r w:rsidRPr="004E6412">
              <w:rPr>
                <w:i/>
                <w:sz w:val="22"/>
              </w:rPr>
              <w:t>Venture capital</w:t>
            </w:r>
            <w:r w:rsidRPr="004E6412">
              <w:rPr>
                <w:sz w:val="22"/>
              </w:rPr>
              <w:t xml:space="preserve">). Također se potiče i kooperacija između akademske zajednice i poslovnih subjekata. </w:t>
            </w:r>
          </w:p>
        </w:tc>
        <w:tc>
          <w:tcPr>
            <w:tcW w:w="0" w:type="auto"/>
            <w:shd w:val="clear" w:color="auto" w:fill="auto"/>
          </w:tcPr>
          <w:p w:rsidR="00B15D85" w:rsidRPr="004E6412" w:rsidRDefault="00B15D85" w:rsidP="0097195F">
            <w:pPr>
              <w:numPr>
                <w:ilvl w:val="0"/>
                <w:numId w:val="169"/>
              </w:numPr>
              <w:spacing w:line="240" w:lineRule="auto"/>
              <w:ind w:left="360"/>
              <w:rPr>
                <w:sz w:val="22"/>
              </w:rPr>
            </w:pPr>
            <w:r w:rsidRPr="004E6412">
              <w:rPr>
                <w:sz w:val="22"/>
              </w:rPr>
              <w:t xml:space="preserve">Slovenski „poziv za dostavu prijedloga“ kojim se želi </w:t>
            </w:r>
            <w:r w:rsidR="004823E2" w:rsidRPr="004E6412">
              <w:rPr>
                <w:sz w:val="22"/>
              </w:rPr>
              <w:t>osigurati efektivna među</w:t>
            </w:r>
            <w:r w:rsidRPr="004E6412">
              <w:rPr>
                <w:sz w:val="22"/>
              </w:rPr>
              <w:t>institucionalna mobilnost istraživača, potaknuti zapošljavanje istraživača u gospodarstvu, povećati broj doktora znanosti i „mlad</w:t>
            </w:r>
            <w:r w:rsidR="0075455E" w:rsidRPr="004E6412">
              <w:rPr>
                <w:sz w:val="22"/>
              </w:rPr>
              <w:t>ih istraživača“ u poduzećima</w:t>
            </w:r>
            <w:r w:rsidRPr="004E6412">
              <w:rPr>
                <w:sz w:val="22"/>
              </w:rPr>
              <w:t xml:space="preserve"> te povećati broj interdisciplinarnih odjela istraživanja u poslovnom sektoru. Dostupna sredstva za „poziv za dost</w:t>
            </w:r>
            <w:r w:rsidR="0075455E" w:rsidRPr="004E6412">
              <w:rPr>
                <w:sz w:val="22"/>
              </w:rPr>
              <w:t xml:space="preserve">avu prijedloga“ iznosila su </w:t>
            </w:r>
            <w:r w:rsidRPr="004E6412">
              <w:rPr>
                <w:sz w:val="22"/>
              </w:rPr>
              <w:t>20 milijuna</w:t>
            </w:r>
            <w:r w:rsidR="0075455E" w:rsidRPr="004E6412">
              <w:rPr>
                <w:sz w:val="22"/>
              </w:rPr>
              <w:t xml:space="preserve"> eura</w:t>
            </w:r>
            <w:r w:rsidRPr="004E6412">
              <w:rPr>
                <w:sz w:val="22"/>
              </w:rPr>
              <w:t>.</w:t>
            </w:r>
          </w:p>
          <w:p w:rsidR="00B15D85" w:rsidRPr="004E6412" w:rsidRDefault="00B15D85" w:rsidP="0097195F">
            <w:pPr>
              <w:spacing w:line="240" w:lineRule="auto"/>
              <w:rPr>
                <w:sz w:val="22"/>
              </w:rPr>
            </w:pPr>
          </w:p>
          <w:p w:rsidR="00B15D85" w:rsidRPr="004E6412" w:rsidRDefault="0075455E" w:rsidP="0097195F">
            <w:pPr>
              <w:numPr>
                <w:ilvl w:val="0"/>
                <w:numId w:val="169"/>
              </w:numPr>
              <w:spacing w:line="240" w:lineRule="auto"/>
              <w:ind w:left="360"/>
              <w:rPr>
                <w:sz w:val="22"/>
              </w:rPr>
            </w:pPr>
            <w:r w:rsidRPr="004E6412">
              <w:rPr>
                <w:sz w:val="22"/>
              </w:rPr>
              <w:t>P</w:t>
            </w:r>
            <w:r w:rsidR="00B15D85" w:rsidRPr="004E6412">
              <w:rPr>
                <w:sz w:val="22"/>
              </w:rPr>
              <w:t xml:space="preserve">rogram </w:t>
            </w:r>
            <w:r w:rsidRPr="004E6412">
              <w:rPr>
                <w:sz w:val="22"/>
              </w:rPr>
              <w:t>Ujedinjenog Kraljevstva za partnerski transfer</w:t>
            </w:r>
            <w:r w:rsidR="00B15D85" w:rsidRPr="004E6412">
              <w:rPr>
                <w:sz w:val="22"/>
              </w:rPr>
              <w:t xml:space="preserve"> znanja u kojem</w:t>
            </w:r>
            <w:r w:rsidRPr="004E6412">
              <w:rPr>
                <w:sz w:val="22"/>
              </w:rPr>
              <w:t xml:space="preserve"> sudjeluju tvrtka, jedna</w:t>
            </w:r>
            <w:r w:rsidR="00B15D85" w:rsidRPr="004E6412">
              <w:rPr>
                <w:sz w:val="22"/>
              </w:rPr>
              <w:t xml:space="preserve"> ili više nedavno diplomiranih osoba koje djeluju pod mentorstvom osobe iz akademske zajednice.</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Internacionalizacija istraživanja i razvoja</w:t>
            </w:r>
          </w:p>
        </w:tc>
        <w:tc>
          <w:tcPr>
            <w:tcW w:w="0" w:type="auto"/>
            <w:shd w:val="clear" w:color="auto" w:fill="auto"/>
          </w:tcPr>
          <w:p w:rsidR="00B15D85" w:rsidRPr="004E6412" w:rsidRDefault="00B15D85" w:rsidP="0097195F">
            <w:pPr>
              <w:spacing w:line="240" w:lineRule="auto"/>
              <w:rPr>
                <w:sz w:val="22"/>
              </w:rPr>
            </w:pPr>
            <w:r w:rsidRPr="004E6412">
              <w:rPr>
                <w:sz w:val="22"/>
              </w:rPr>
              <w:t>Veliki dio istraživanja i razvoja u svijetu obavlja mala skupina multinacionalnih tvrtki. Neke od njih već su investirale u istraživanje i razvoj izvan svojih domicilnih zemalja što, iako predstavlja određeni rizik, pruža nove mogućnosti zemljama članicama EU</w:t>
            </w:r>
            <w:r w:rsidR="0075455E" w:rsidRPr="004E6412">
              <w:rPr>
                <w:sz w:val="22"/>
              </w:rPr>
              <w:t>-a</w:t>
            </w:r>
            <w:r w:rsidRPr="004E6412">
              <w:rPr>
                <w:sz w:val="22"/>
              </w:rPr>
              <w:t xml:space="preserve"> koje pokušavaju uhvatiti korak s vodećim inovatorima u Europi. Aktivnosti istraživanja i razvoja u inozemstvu pomažu tvrtkama da lakše uđu na nova tržišta te prošire svoje poslovanje,</w:t>
            </w:r>
            <w:r w:rsidR="0075455E" w:rsidRPr="004E6412">
              <w:rPr>
                <w:sz w:val="22"/>
              </w:rPr>
              <w:t xml:space="preserve"> i ne zamjenjuju</w:t>
            </w:r>
            <w:r w:rsidRPr="004E6412">
              <w:rPr>
                <w:sz w:val="22"/>
              </w:rPr>
              <w:t xml:space="preserve"> R&amp;D u domicilnoj zemlji.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1"/>
              </w:numPr>
              <w:spacing w:line="240" w:lineRule="auto"/>
              <w:rPr>
                <w:sz w:val="22"/>
              </w:rPr>
            </w:pPr>
            <w:r w:rsidRPr="004E6412">
              <w:rPr>
                <w:sz w:val="22"/>
              </w:rPr>
              <w:t>Finska strategija internacionalizacije istraživanja i razvoja koja omogućava stranim tvrtkama pristup financiranju inovacija, međunarodnim istraživač</w:t>
            </w:r>
            <w:r w:rsidR="0075455E" w:rsidRPr="004E6412">
              <w:rPr>
                <w:sz w:val="22"/>
              </w:rPr>
              <w:t>ima suradnju s najboljim finskim</w:t>
            </w:r>
            <w:r w:rsidRPr="004E6412">
              <w:rPr>
                <w:sz w:val="22"/>
              </w:rPr>
              <w:t xml:space="preserve"> akademskim istraživačima, a promijenjen je i pravni status sveučilišta kako bi se potaknula njihova internacionalizacija. </w:t>
            </w:r>
          </w:p>
          <w:p w:rsidR="00B15D85" w:rsidRPr="004E6412" w:rsidRDefault="00B15D85" w:rsidP="0097195F">
            <w:pPr>
              <w:spacing w:line="240" w:lineRule="auto"/>
              <w:rPr>
                <w:sz w:val="22"/>
              </w:rPr>
            </w:pPr>
          </w:p>
          <w:p w:rsidR="00B15D85" w:rsidRPr="004E6412" w:rsidRDefault="00B15D85" w:rsidP="0097195F">
            <w:pPr>
              <w:autoSpaceDE w:val="0"/>
              <w:autoSpaceDN w:val="0"/>
              <w:adjustRightInd w:val="0"/>
              <w:spacing w:line="240" w:lineRule="auto"/>
              <w:jc w:val="left"/>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w:t>
            </w:r>
            <w:r w:rsidRPr="004E6412">
              <w:rPr>
                <w:b/>
                <w:i/>
                <w:sz w:val="22"/>
              </w:rPr>
              <w:t>Key enabling techologies</w:t>
            </w:r>
            <w:r w:rsidRPr="004E6412">
              <w:rPr>
                <w:b/>
                <w:sz w:val="22"/>
              </w:rPr>
              <w:t>“</w:t>
            </w:r>
          </w:p>
        </w:tc>
        <w:tc>
          <w:tcPr>
            <w:tcW w:w="0" w:type="auto"/>
            <w:shd w:val="clear" w:color="auto" w:fill="auto"/>
          </w:tcPr>
          <w:p w:rsidR="00B15D85" w:rsidRPr="004E6412" w:rsidRDefault="00B15D85" w:rsidP="0097195F">
            <w:pPr>
              <w:spacing w:line="240" w:lineRule="auto"/>
              <w:rPr>
                <w:sz w:val="22"/>
              </w:rPr>
            </w:pPr>
            <w:r w:rsidRPr="004E6412">
              <w:rPr>
                <w:sz w:val="22"/>
              </w:rPr>
              <w:t>„</w:t>
            </w:r>
            <w:r w:rsidRPr="004E6412">
              <w:rPr>
                <w:i/>
                <w:sz w:val="22"/>
              </w:rPr>
              <w:t>Key enabling technologies</w:t>
            </w:r>
            <w:r w:rsidRPr="004E6412">
              <w:rPr>
                <w:sz w:val="22"/>
              </w:rPr>
              <w:t xml:space="preserve">“ (KET) uključuju 6 osnovnih tehnologija: mikro-/nanoelektroniku, nanotehnologiju, fotoniku, napredne materijale, industrijsku biotehnologiju i napredne proizvodne tehnologije. KET su ključni izvor inovacija, čineći neophodni sastavni dio tehnologije koji omogućava širok raspon korištenja proizvoda.  KET su također instrument modernizacije europske industrijske baze i pokretači razvoja potpuno novih industrija.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0"/>
              </w:numPr>
              <w:spacing w:line="240" w:lineRule="auto"/>
              <w:ind w:left="360"/>
              <w:rPr>
                <w:sz w:val="22"/>
              </w:rPr>
            </w:pPr>
            <w:r w:rsidRPr="004E6412">
              <w:rPr>
                <w:sz w:val="22"/>
              </w:rPr>
              <w:t xml:space="preserve">Inovacijski savezi u Njemačkoj okupljeni oko posebnih područja primjene ili budućih tržišta. Osigurava se financiranje za stratešku suradnju između industrije i javnog istraživanja u ključnim tehnološkim područjima koja zahtijevaju velika sredstva i dugo vremensko razdoblje, ali obećavaju značajne inovacije i ekonomski utjecaj. </w:t>
            </w:r>
          </w:p>
          <w:p w:rsidR="00B15D85" w:rsidRPr="004E6412" w:rsidRDefault="00B15D85" w:rsidP="0097195F">
            <w:pPr>
              <w:spacing w:line="240" w:lineRule="auto"/>
              <w:rPr>
                <w:sz w:val="22"/>
              </w:rPr>
            </w:pPr>
          </w:p>
          <w:p w:rsidR="00B15D85" w:rsidRPr="004E6412" w:rsidRDefault="00B15D85" w:rsidP="0097195F">
            <w:pPr>
              <w:numPr>
                <w:ilvl w:val="0"/>
                <w:numId w:val="170"/>
              </w:numPr>
              <w:spacing w:line="240" w:lineRule="auto"/>
              <w:ind w:left="360"/>
              <w:rPr>
                <w:sz w:val="22"/>
              </w:rPr>
            </w:pPr>
            <w:r w:rsidRPr="004E6412">
              <w:rPr>
                <w:sz w:val="22"/>
              </w:rPr>
              <w:t>Francuski investicijski fond namijenjen poticanju korištenja patenata. Zadatak mu je da omogući sveučilištima i drugim tijelima javnog istraživanja,</w:t>
            </w:r>
            <w:r w:rsidR="00FA7287" w:rsidRPr="004E6412">
              <w:rPr>
                <w:sz w:val="22"/>
              </w:rPr>
              <w:t xml:space="preserve"> kao i privatnim tvrtkama, bolju</w:t>
            </w:r>
            <w:r w:rsidRPr="004E6412">
              <w:rPr>
                <w:sz w:val="22"/>
              </w:rPr>
              <w:t xml:space="preserve"> eksploataciju njihovih patenata na međunarodnoj sceni. Navedeno bi se trebalo postići kreiranjem patent klastera čija bi svrha bila licenciranje, te upravljanjem i stvaranjem </w:t>
            </w:r>
            <w:r w:rsidRPr="004E6412">
              <w:rPr>
                <w:i/>
                <w:sz w:val="22"/>
              </w:rPr>
              <w:t>poola</w:t>
            </w:r>
            <w:r w:rsidRPr="004E6412">
              <w:rPr>
                <w:sz w:val="22"/>
              </w:rPr>
              <w:t xml:space="preserve"> javnih i privatnih patenata.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0"/>
              </w:numPr>
              <w:spacing w:line="240" w:lineRule="auto"/>
              <w:ind w:left="360"/>
              <w:rPr>
                <w:sz w:val="22"/>
              </w:rPr>
            </w:pPr>
            <w:r w:rsidRPr="004E6412">
              <w:rPr>
                <w:sz w:val="22"/>
              </w:rPr>
              <w:t xml:space="preserve">Nizozemski program koji omogućava tijelima državne uprave </w:t>
            </w:r>
            <w:r w:rsidR="00FA7287" w:rsidRPr="004E6412">
              <w:rPr>
                <w:sz w:val="22"/>
              </w:rPr>
              <w:t>raspisivanje natječaja</w:t>
            </w:r>
            <w:r w:rsidRPr="004E6412">
              <w:rPr>
                <w:sz w:val="22"/>
              </w:rPr>
              <w:t xml:space="preserve"> za nabavu inovativnih proizvoda koji se tek trebaju razviti.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Korištenje strukturnih fondova za inovacije</w:t>
            </w:r>
          </w:p>
        </w:tc>
        <w:tc>
          <w:tcPr>
            <w:tcW w:w="0" w:type="auto"/>
            <w:shd w:val="clear" w:color="auto" w:fill="auto"/>
          </w:tcPr>
          <w:p w:rsidR="00B15D85" w:rsidRPr="004E6412" w:rsidRDefault="00B15D85" w:rsidP="0097195F">
            <w:pPr>
              <w:spacing w:line="240" w:lineRule="auto"/>
              <w:rPr>
                <w:sz w:val="22"/>
              </w:rPr>
            </w:pPr>
            <w:r w:rsidRPr="004E6412">
              <w:rPr>
                <w:sz w:val="22"/>
              </w:rPr>
              <w:t>U nekim zemljama, strukturni fondovi predstavljaju osnovni izvor financiranja istraživanja i razvoja te politike inovacija. Osnovno p</w:t>
            </w:r>
            <w:r w:rsidR="0075455E" w:rsidRPr="004E6412">
              <w:rPr>
                <w:sz w:val="22"/>
              </w:rPr>
              <w:t>itanje koje im se postavlja</w:t>
            </w:r>
            <w:r w:rsidRPr="004E6412">
              <w:rPr>
                <w:sz w:val="22"/>
              </w:rPr>
              <w:t xml:space="preserve"> je kako korisno utrošiti dostupna sredstva i povećati apsorpcijski kapacitet. Strukturni fondovi najčešće se koriste kako bi se razvila istraživa</w:t>
            </w:r>
            <w:r w:rsidR="00FA7287" w:rsidRPr="004E6412">
              <w:rPr>
                <w:sz w:val="22"/>
              </w:rPr>
              <w:t>čka i inovacijska infrastruktura</w:t>
            </w:r>
            <w:r w:rsidRPr="004E6412">
              <w:rPr>
                <w:sz w:val="22"/>
              </w:rPr>
              <w:t xml:space="preserve">. EU strukturni fondovi mogu se koristiti kao poluga javnom financiranju za poticanje industrijskih inovacija, ali se investicije u inovacije mogu potaknuti u sklopu javno-privatnog partnerstva. </w:t>
            </w:r>
          </w:p>
          <w:p w:rsidR="00B15D85" w:rsidRPr="004E6412" w:rsidRDefault="00B15D85" w:rsidP="0097195F">
            <w:pPr>
              <w:spacing w:line="240" w:lineRule="auto"/>
              <w:rPr>
                <w:sz w:val="22"/>
              </w:rPr>
            </w:pPr>
          </w:p>
        </w:tc>
        <w:tc>
          <w:tcPr>
            <w:tcW w:w="0" w:type="auto"/>
            <w:shd w:val="clear" w:color="auto" w:fill="auto"/>
          </w:tcPr>
          <w:p w:rsidR="00B15D85" w:rsidRPr="004E6412" w:rsidRDefault="0075455E" w:rsidP="0097195F">
            <w:pPr>
              <w:numPr>
                <w:ilvl w:val="0"/>
                <w:numId w:val="172"/>
              </w:numPr>
              <w:spacing w:line="240" w:lineRule="auto"/>
              <w:rPr>
                <w:sz w:val="22"/>
              </w:rPr>
            </w:pPr>
            <w:r w:rsidRPr="004E6412">
              <w:rPr>
                <w:sz w:val="22"/>
              </w:rPr>
              <w:t>Češki program kao</w:t>
            </w:r>
            <w:r w:rsidR="00B15D85" w:rsidRPr="004E6412">
              <w:rPr>
                <w:sz w:val="22"/>
              </w:rPr>
              <w:t xml:space="preserve"> dio </w:t>
            </w:r>
            <w:r w:rsidRPr="004E6412">
              <w:rPr>
                <w:sz w:val="22"/>
              </w:rPr>
              <w:t>Operativnog programa za poduzeća i inovacije</w:t>
            </w:r>
            <w:r w:rsidR="00B15D85" w:rsidRPr="004E6412">
              <w:rPr>
                <w:sz w:val="22"/>
              </w:rPr>
              <w:t xml:space="preserve"> omogućava tvrtkama koje posluju u području informacija i komunikacija, čistih tehnologija, biotehnologija, znanosti, novih materijala i nanotehnologije, bo</w:t>
            </w:r>
            <w:r w:rsidR="004823E2" w:rsidRPr="004E6412">
              <w:rPr>
                <w:sz w:val="22"/>
              </w:rPr>
              <w:t>ravak u SAD-u, Izraelu, Singapur</w:t>
            </w:r>
            <w:r w:rsidR="00B15D85" w:rsidRPr="004E6412">
              <w:rPr>
                <w:sz w:val="22"/>
              </w:rPr>
              <w:t>u i Švicarskoj, ured u poslovnim inkubatorima, ko</w:t>
            </w:r>
            <w:r w:rsidR="004823E2" w:rsidRPr="004E6412">
              <w:rPr>
                <w:sz w:val="22"/>
              </w:rPr>
              <w:t>nzultantske usluge, mentorstvo</w:t>
            </w:r>
            <w:r w:rsidRPr="004E6412">
              <w:rPr>
                <w:sz w:val="22"/>
              </w:rPr>
              <w:t>, obuku</w:t>
            </w:r>
            <w:r w:rsidR="00B15D85" w:rsidRPr="004E6412">
              <w:rPr>
                <w:sz w:val="22"/>
              </w:rPr>
              <w:t xml:space="preserve"> te sudjelovanje u raznim događajima koji im olakšavaju pronalazak strateških partnera.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vještina za inovacije</w:t>
            </w:r>
          </w:p>
        </w:tc>
        <w:tc>
          <w:tcPr>
            <w:tcW w:w="0" w:type="auto"/>
            <w:shd w:val="clear" w:color="auto" w:fill="auto"/>
          </w:tcPr>
          <w:p w:rsidR="00B15D85" w:rsidRPr="004E6412" w:rsidRDefault="00B15D85" w:rsidP="0097195F">
            <w:pPr>
              <w:spacing w:line="240" w:lineRule="auto"/>
              <w:rPr>
                <w:sz w:val="22"/>
              </w:rPr>
            </w:pPr>
            <w:r w:rsidRPr="004E6412">
              <w:rPr>
                <w:sz w:val="22"/>
              </w:rPr>
              <w:t>Tehnološke i industrijske promjene povećavaju potražnju za radnom snagom visoke i srednje razine vještina i znanja. Nadalje, u znanjem intenzivnom gospodarstvu, izvrsnost u istraživanju, inženjeringu i znanosti mora biti potkrijepljena i drugim vještinama, osobito u menadžmentu, timskom radu, krea</w:t>
            </w:r>
            <w:r w:rsidR="00FA7287" w:rsidRPr="004E6412">
              <w:rPr>
                <w:sz w:val="22"/>
              </w:rPr>
              <w:t>tivnosti i dizajnu. Privlačenje</w:t>
            </w:r>
            <w:r w:rsidRPr="004E6412">
              <w:rPr>
                <w:sz w:val="22"/>
              </w:rPr>
              <w:t xml:space="preserve">  vrhunskih talenata </w:t>
            </w:r>
            <w:r w:rsidR="0075455E" w:rsidRPr="004E6412">
              <w:rPr>
                <w:sz w:val="22"/>
              </w:rPr>
              <w:t>iz inozemstva može biti učinkovit</w:t>
            </w:r>
            <w:r w:rsidRPr="004E6412">
              <w:rPr>
                <w:sz w:val="22"/>
              </w:rPr>
              <w:t xml:space="preserve">a strategija za brzu nadogradnju izvrsnosti i stjecanje neposrednijih konkurentskih prednosti.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Dobro upravljanje i evaluacija u području inovacijske politike</w:t>
            </w:r>
          </w:p>
        </w:tc>
        <w:tc>
          <w:tcPr>
            <w:tcW w:w="0" w:type="auto"/>
            <w:shd w:val="clear" w:color="auto" w:fill="auto"/>
          </w:tcPr>
          <w:p w:rsidR="00B15D85" w:rsidRPr="004E6412" w:rsidRDefault="00B15D85" w:rsidP="0097195F">
            <w:pPr>
              <w:spacing w:line="240" w:lineRule="auto"/>
              <w:rPr>
                <w:sz w:val="22"/>
              </w:rPr>
            </w:pPr>
            <w:r w:rsidRPr="004E6412">
              <w:rPr>
                <w:sz w:val="22"/>
              </w:rPr>
              <w:t>Rascjepkanost politike zbog preklapanja programa, nejasne nadležnosti državnih tijela te općenito nedostatak strategije promicanja inovacija, smat</w:t>
            </w:r>
            <w:r w:rsidR="0075455E" w:rsidRPr="004E6412">
              <w:rPr>
                <w:sz w:val="22"/>
              </w:rPr>
              <w:t>raju se</w:t>
            </w:r>
            <w:r w:rsidRPr="004E6412">
              <w:rPr>
                <w:sz w:val="22"/>
              </w:rPr>
              <w:t xml:space="preserve"> ključnim izazovima u mnogim zemljama članicama EU</w:t>
            </w:r>
            <w:r w:rsidR="0075455E" w:rsidRPr="004E6412">
              <w:rPr>
                <w:sz w:val="22"/>
              </w:rPr>
              <w:t>-a</w:t>
            </w:r>
            <w:r w:rsidRPr="004E6412">
              <w:rPr>
                <w:sz w:val="22"/>
              </w:rPr>
              <w:t xml:space="preserve"> tijekom proteklih pet godina. Međutim, većina zemalja članica EU</w:t>
            </w:r>
            <w:r w:rsidR="0075455E" w:rsidRPr="004E6412">
              <w:rPr>
                <w:sz w:val="22"/>
              </w:rPr>
              <w:t>-a</w:t>
            </w:r>
            <w:r w:rsidRPr="004E6412">
              <w:rPr>
                <w:sz w:val="22"/>
              </w:rPr>
              <w:t xml:space="preserve"> prepoznala</w:t>
            </w:r>
            <w:r w:rsidR="0075455E" w:rsidRPr="004E6412">
              <w:rPr>
                <w:sz w:val="22"/>
              </w:rPr>
              <w:t xml:space="preserve"> je</w:t>
            </w:r>
            <w:r w:rsidRPr="004E6412">
              <w:rPr>
                <w:sz w:val="22"/>
              </w:rPr>
              <w:t xml:space="preserve"> navedene probleme i pod</w:t>
            </w:r>
            <w:r w:rsidR="0075455E" w:rsidRPr="004E6412">
              <w:rPr>
                <w:sz w:val="22"/>
              </w:rPr>
              <w:t>uzima određene korake kako bi ih riješila. Prvi logičan korak jest</w:t>
            </w:r>
            <w:r w:rsidRPr="004E6412">
              <w:rPr>
                <w:sz w:val="22"/>
              </w:rPr>
              <w:t xml:space="preserve"> evaluacija postojećih politika. Sve istaknutije pitanje koje će se postavljati u budućnosti je u kojoj mjeri se povećanje investicija u istraživanje i razvoj te inovacije odražava na uspjeh tvrtki, rast i zaposlenost. </w:t>
            </w:r>
            <w:r w:rsidR="0075455E" w:rsidRPr="004E6412">
              <w:rPr>
                <w:sz w:val="22"/>
              </w:rPr>
              <w:t xml:space="preserve">Jedan čimbenik koji utječe </w:t>
            </w:r>
            <w:r w:rsidRPr="004E6412">
              <w:rPr>
                <w:sz w:val="22"/>
              </w:rPr>
              <w:t>na navedeno je poslovno okruženje, uključujući poboljšanja poslovnog okruženja za „</w:t>
            </w:r>
            <w:r w:rsidRPr="004E6412">
              <w:rPr>
                <w:i/>
                <w:sz w:val="22"/>
              </w:rPr>
              <w:t>start-up</w:t>
            </w:r>
            <w:r w:rsidRPr="004E6412">
              <w:rPr>
                <w:sz w:val="22"/>
              </w:rPr>
              <w:t>“ tvrtke, smanjenje administrativnog opterećenja te provođenje aktivnih politika za mala i srednja poduzeća te poduzetništvo. Takve mjere su preduvjet za poticanje inovacija i komercijalizacij</w:t>
            </w:r>
            <w:r w:rsidR="0075455E" w:rsidRPr="004E6412">
              <w:rPr>
                <w:sz w:val="22"/>
              </w:rPr>
              <w:t>u istraživanja i</w:t>
            </w:r>
            <w:r w:rsidRPr="004E6412">
              <w:rPr>
                <w:sz w:val="22"/>
              </w:rPr>
              <w:t xml:space="preserve"> čine osnovnu dopunu politikama koje potiču istraživanja.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Evaluacija njemačkog programa inovacija malih i srednjih poduzeća pokazala je jednostavnost i brzinu primjene procedura, visoku stopu odobravanja, dostatne iznose, veliku fleksibilnost i relativno niske administrativne troškove</w:t>
            </w:r>
            <w:r w:rsidR="00FA7287" w:rsidRPr="004E6412">
              <w:rPr>
                <w:sz w:val="22"/>
              </w:rPr>
              <w:t>.</w:t>
            </w: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lastRenderedPageBreak/>
              <w:t>Održiva industrija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Održiva konkurentnost odnosi se na poticanje ekonomskog rasta i razvoja uz</w:t>
            </w:r>
            <w:r w:rsidR="00E36939" w:rsidRPr="004E6412">
              <w:rPr>
                <w:i/>
                <w:sz w:val="22"/>
              </w:rPr>
              <w:t xml:space="preserve"> istodobno povećanje učinkovitosti</w:t>
            </w:r>
            <w:r w:rsidRPr="004E6412">
              <w:rPr>
                <w:i/>
                <w:sz w:val="22"/>
              </w:rPr>
              <w:t xml:space="preserve"> resursa, minimiziranje otpada i jačanje energetske s</w:t>
            </w:r>
            <w:r w:rsidR="00E36939" w:rsidRPr="004E6412">
              <w:rPr>
                <w:i/>
                <w:sz w:val="22"/>
              </w:rPr>
              <w:t>igurnosti. Sve se više ističe</w:t>
            </w:r>
            <w:r w:rsidRPr="004E6412">
              <w:rPr>
                <w:i/>
                <w:sz w:val="22"/>
              </w:rPr>
              <w:t xml:space="preserve"> važnost potencijalnog zelenog rasta kroz poticanje strukt</w:t>
            </w:r>
            <w:r w:rsidR="00E36939" w:rsidRPr="004E6412">
              <w:rPr>
                <w:i/>
                <w:sz w:val="22"/>
              </w:rPr>
              <w:t>urnih reformi kako bi se stvorio</w:t>
            </w:r>
            <w:r w:rsidRPr="004E6412">
              <w:rPr>
                <w:i/>
                <w:sz w:val="22"/>
              </w:rPr>
              <w:t xml:space="preserve"> novi skup regulatornih, tržišnih i ostalih mjera za promoviranje ulaganja u „zeleno“ europsko gospodarstvo.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Potrošnja energije, energetska i ugljična intenzivnost</w:t>
            </w:r>
          </w:p>
        </w:tc>
        <w:tc>
          <w:tcPr>
            <w:tcW w:w="0" w:type="auto"/>
            <w:shd w:val="clear" w:color="auto" w:fill="auto"/>
          </w:tcPr>
          <w:p w:rsidR="00B15D85" w:rsidRPr="004E6412" w:rsidRDefault="00B15D85" w:rsidP="0097195F">
            <w:pPr>
              <w:spacing w:line="240" w:lineRule="auto"/>
              <w:rPr>
                <w:sz w:val="22"/>
              </w:rPr>
            </w:pPr>
            <w:r w:rsidRPr="004E6412">
              <w:rPr>
                <w:sz w:val="22"/>
              </w:rPr>
              <w:t>Unutar nacionalnih programa reformi, države članice EU</w:t>
            </w:r>
            <w:r w:rsidR="00E36939" w:rsidRPr="004E6412">
              <w:rPr>
                <w:sz w:val="22"/>
              </w:rPr>
              <w:t>-a</w:t>
            </w:r>
            <w:r w:rsidRPr="004E6412">
              <w:rPr>
                <w:sz w:val="22"/>
              </w:rPr>
              <w:t xml:space="preserve"> složile su se oko brojnih ciljeva, u</w:t>
            </w:r>
            <w:r w:rsidR="00E36939" w:rsidRPr="004E6412">
              <w:rPr>
                <w:sz w:val="22"/>
              </w:rPr>
              <w:t>ključujući energetsku učinkovitost</w:t>
            </w:r>
            <w:r w:rsidRPr="004E6412">
              <w:rPr>
                <w:sz w:val="22"/>
              </w:rPr>
              <w:t xml:space="preserve"> i ciljeve za obnovljive izvore energije. Od njih se također zahtijevalo da predaju svoj drugi Akcijski plan n</w:t>
            </w:r>
            <w:r w:rsidR="00E36939" w:rsidRPr="004E6412">
              <w:rPr>
                <w:sz w:val="22"/>
              </w:rPr>
              <w:t xml:space="preserve">acionalne energetske učinkovitosti te da objave </w:t>
            </w:r>
            <w:r w:rsidRPr="004E6412">
              <w:rPr>
                <w:sz w:val="22"/>
              </w:rPr>
              <w:t>akcijske planove</w:t>
            </w:r>
            <w:r w:rsidR="00FA7287" w:rsidRPr="004E6412">
              <w:rPr>
                <w:sz w:val="22"/>
              </w:rPr>
              <w:t xml:space="preserve"> vezano u</w:t>
            </w:r>
            <w:r w:rsidRPr="004E6412">
              <w:rPr>
                <w:sz w:val="22"/>
              </w:rPr>
              <w:t>z područja obnovljivih izvora. U raz</w:t>
            </w:r>
            <w:r w:rsidR="00E36939" w:rsidRPr="004E6412">
              <w:rPr>
                <w:sz w:val="22"/>
              </w:rPr>
              <w:t xml:space="preserve">doblju od 2000. do 2010. godine smanjile su se </w:t>
            </w:r>
            <w:r w:rsidRPr="004E6412">
              <w:rPr>
                <w:sz w:val="22"/>
              </w:rPr>
              <w:t xml:space="preserve">konačna </w:t>
            </w:r>
            <w:r w:rsidR="00E36939" w:rsidRPr="004E6412">
              <w:rPr>
                <w:sz w:val="22"/>
              </w:rPr>
              <w:t xml:space="preserve">potrošnja energije u industriji, </w:t>
            </w:r>
            <w:r w:rsidRPr="004E6412">
              <w:rPr>
                <w:sz w:val="22"/>
              </w:rPr>
              <w:t>energetska intenzivnost industrije i ugljična intenzivnost ind</w:t>
            </w:r>
            <w:r w:rsidR="004823E2" w:rsidRPr="004E6412">
              <w:rPr>
                <w:sz w:val="22"/>
              </w:rPr>
              <w:t>us</w:t>
            </w:r>
            <w:r w:rsidRPr="004E6412">
              <w:rPr>
                <w:sz w:val="22"/>
              </w:rPr>
              <w:t xml:space="preserve">trije.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Učinkovitost resursa</w:t>
            </w:r>
          </w:p>
        </w:tc>
        <w:tc>
          <w:tcPr>
            <w:tcW w:w="0" w:type="auto"/>
            <w:shd w:val="clear" w:color="auto" w:fill="auto"/>
          </w:tcPr>
          <w:p w:rsidR="00B15D85" w:rsidRPr="004E6412" w:rsidRDefault="00E36939" w:rsidP="0097195F">
            <w:pPr>
              <w:spacing w:line="240" w:lineRule="auto"/>
              <w:rPr>
                <w:sz w:val="22"/>
              </w:rPr>
            </w:pPr>
            <w:r w:rsidRPr="004E6412">
              <w:rPr>
                <w:sz w:val="22"/>
              </w:rPr>
              <w:t xml:space="preserve">Iako je učinkovitost resursa </w:t>
            </w:r>
            <w:r w:rsidR="00B15D85" w:rsidRPr="004E6412">
              <w:rPr>
                <w:sz w:val="22"/>
              </w:rPr>
              <w:t>jedan od ključn</w:t>
            </w:r>
            <w:r w:rsidR="004823E2" w:rsidRPr="004E6412">
              <w:rPr>
                <w:sz w:val="22"/>
              </w:rPr>
              <w:t>ih izazova/problema EU</w:t>
            </w:r>
            <w:r w:rsidRPr="004E6412">
              <w:rPr>
                <w:sz w:val="22"/>
              </w:rPr>
              <w:t>-a</w:t>
            </w:r>
            <w:r w:rsidR="004823E2" w:rsidRPr="004E6412">
              <w:rPr>
                <w:sz w:val="22"/>
              </w:rPr>
              <w:t>, ona ist</w:t>
            </w:r>
            <w:r w:rsidR="00B15D85" w:rsidRPr="004E6412">
              <w:rPr>
                <w:sz w:val="22"/>
              </w:rPr>
              <w:t>ovremeno pruža veliki potencijal europskim tvrtkama</w:t>
            </w:r>
            <w:r w:rsidRPr="004E6412">
              <w:rPr>
                <w:sz w:val="22"/>
              </w:rPr>
              <w:t>. Povećanje te učinkovitosti</w:t>
            </w:r>
            <w:r w:rsidR="00B15D85" w:rsidRPr="004E6412">
              <w:rPr>
                <w:sz w:val="22"/>
              </w:rPr>
              <w:t xml:space="preserve"> može dovesti do smanjenja troškova poslovanja. Poboljšanja u ovom području moguće je ostvariti npr. korištenjem čistih tehnologija, poboljšanjima u korištenju nusproizvoda i otpada, te </w:t>
            </w:r>
            <w:r w:rsidR="004823E2" w:rsidRPr="004E6412">
              <w:rPr>
                <w:sz w:val="22"/>
              </w:rPr>
              <w:t>usvajanjem</w:t>
            </w:r>
            <w:r w:rsidR="00B15D85" w:rsidRPr="004E6412">
              <w:rPr>
                <w:sz w:val="22"/>
              </w:rPr>
              <w:t xml:space="preserve"> eko-dizajn rješenja. </w:t>
            </w:r>
            <w:r w:rsidRPr="004E6412">
              <w:rPr>
                <w:sz w:val="22"/>
              </w:rPr>
              <w:t>Promatrajući učinkovitost resursa</w:t>
            </w:r>
            <w:r w:rsidR="00B15D85" w:rsidRPr="004E6412">
              <w:rPr>
                <w:sz w:val="22"/>
              </w:rPr>
              <w:t xml:space="preserve"> u kontekstu zbrinjavanja otpada, otpad iz proizvodnog procesa više se ne smatra samo teretom već je prepoznat</w:t>
            </w:r>
            <w:r w:rsidRPr="004E6412">
              <w:rPr>
                <w:sz w:val="22"/>
              </w:rPr>
              <w:t xml:space="preserve"> kao važna, ponovno iskoristiva</w:t>
            </w:r>
            <w:r w:rsidR="00B15D85" w:rsidRPr="004E6412">
              <w:rPr>
                <w:sz w:val="22"/>
              </w:rPr>
              <w:t xml:space="preserve"> sirovina. </w:t>
            </w: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 xml:space="preserve">U Austriji je </w:t>
            </w:r>
            <w:r w:rsidR="00FA7287" w:rsidRPr="004E6412">
              <w:rPr>
                <w:sz w:val="22"/>
              </w:rPr>
              <w:t>osiguran iznos</w:t>
            </w:r>
            <w:r w:rsidR="00E36939" w:rsidRPr="004E6412">
              <w:rPr>
                <w:sz w:val="22"/>
              </w:rPr>
              <w:t xml:space="preserve"> u vrijednosti od</w:t>
            </w:r>
            <w:r w:rsidRPr="004E6412">
              <w:rPr>
                <w:sz w:val="22"/>
              </w:rPr>
              <w:t xml:space="preserve"> 100 milijuna </w:t>
            </w:r>
            <w:r w:rsidR="00E36939" w:rsidRPr="004E6412">
              <w:rPr>
                <w:sz w:val="22"/>
              </w:rPr>
              <w:t xml:space="preserve">eura </w:t>
            </w:r>
            <w:r w:rsidRPr="004E6412">
              <w:rPr>
                <w:sz w:val="22"/>
              </w:rPr>
              <w:t>za toplinsku izolaciju postojećih zgrada. Dodij</w:t>
            </w:r>
            <w:r w:rsidR="00E36939" w:rsidRPr="004E6412">
              <w:rPr>
                <w:sz w:val="22"/>
              </w:rPr>
              <w:t xml:space="preserve">eljene su posebne potpore </w:t>
            </w:r>
            <w:r w:rsidRPr="004E6412">
              <w:rPr>
                <w:sz w:val="22"/>
              </w:rPr>
              <w:t>građanstvu i tvrtkama za izolaciju vanjskih zidova, zamjenu prozora i starih sustava grijanja.</w:t>
            </w:r>
          </w:p>
          <w:p w:rsidR="00B15D85" w:rsidRPr="004E6412" w:rsidRDefault="00B15D85" w:rsidP="0097195F">
            <w:pPr>
              <w:spacing w:line="240" w:lineRule="auto"/>
              <w:rPr>
                <w:sz w:val="22"/>
              </w:rPr>
            </w:pPr>
          </w:p>
          <w:p w:rsidR="00B15D85" w:rsidRPr="004E6412" w:rsidRDefault="00B15D85" w:rsidP="0097195F">
            <w:pPr>
              <w:numPr>
                <w:ilvl w:val="0"/>
                <w:numId w:val="172"/>
              </w:numPr>
              <w:spacing w:line="240" w:lineRule="auto"/>
              <w:rPr>
                <w:sz w:val="22"/>
              </w:rPr>
            </w:pPr>
            <w:r w:rsidRPr="004E6412">
              <w:rPr>
                <w:sz w:val="22"/>
              </w:rPr>
              <w:t>Irski program koji pomaže tvrtkama uvesti jednostavni sustav upravljanja okolišem. Program je dizajniran kako bi potaknuo svijest o okolišu u</w:t>
            </w:r>
            <w:r w:rsidR="00E36939" w:rsidRPr="004E6412">
              <w:rPr>
                <w:sz w:val="22"/>
              </w:rPr>
              <w:t xml:space="preserve"> tvrtkama koje nemaju vlastite stručnjake ni</w:t>
            </w:r>
            <w:r w:rsidRPr="004E6412">
              <w:rPr>
                <w:sz w:val="22"/>
              </w:rPr>
              <w:t xml:space="preserve"> doticaja s pitanjima okoliša. </w:t>
            </w:r>
          </w:p>
          <w:p w:rsidR="00B15D85" w:rsidRPr="004E6412" w:rsidRDefault="00B15D85" w:rsidP="0097195F">
            <w:pPr>
              <w:spacing w:line="240" w:lineRule="auto"/>
              <w:rPr>
                <w:sz w:val="22"/>
              </w:rPr>
            </w:pPr>
            <w:r w:rsidRPr="004E6412">
              <w:rPr>
                <w:sz w:val="22"/>
              </w:rPr>
              <w:t xml:space="preserv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Razvoj eko</w:t>
            </w:r>
            <w:r w:rsidR="00B15D85" w:rsidRPr="004E6412">
              <w:rPr>
                <w:b/>
                <w:sz w:val="22"/>
              </w:rPr>
              <w:t xml:space="preserve"> industrija</w:t>
            </w:r>
          </w:p>
        </w:tc>
        <w:tc>
          <w:tcPr>
            <w:tcW w:w="0" w:type="auto"/>
            <w:shd w:val="clear" w:color="auto" w:fill="auto"/>
          </w:tcPr>
          <w:p w:rsidR="00B15D85" w:rsidRPr="004E6412" w:rsidRDefault="00B15D85" w:rsidP="0097195F">
            <w:pPr>
              <w:spacing w:line="240" w:lineRule="auto"/>
              <w:rPr>
                <w:sz w:val="22"/>
              </w:rPr>
            </w:pPr>
            <w:r w:rsidRPr="004E6412">
              <w:rPr>
                <w:sz w:val="22"/>
              </w:rPr>
              <w:t>Eko industrija odnosi se na proizvodnju proizvoda i usluga za mjerenje, sprječavanje, ograničavanje, minimiziranje i popravak šteta nastalih</w:t>
            </w:r>
            <w:r w:rsidR="00E36939" w:rsidRPr="004E6412">
              <w:rPr>
                <w:sz w:val="22"/>
              </w:rPr>
              <w:t xml:space="preserve"> u području voda, zraka, tla</w:t>
            </w:r>
            <w:r w:rsidRPr="004E6412">
              <w:rPr>
                <w:sz w:val="22"/>
              </w:rPr>
              <w:t xml:space="preserve"> te problema povezanih s otpadom, bukom i ekosustavima. Globalno tržište za proizvode i usluge u području zaštite oko</w:t>
            </w:r>
            <w:r w:rsidR="00E36939" w:rsidRPr="004E6412">
              <w:rPr>
                <w:sz w:val="22"/>
              </w:rPr>
              <w:t>liša, koje se procjenjuje na</w:t>
            </w:r>
            <w:r w:rsidRPr="004E6412">
              <w:rPr>
                <w:sz w:val="22"/>
              </w:rPr>
              <w:t xml:space="preserve"> 1,15 bilijuna </w:t>
            </w:r>
            <w:r w:rsidR="00E36939" w:rsidRPr="004E6412">
              <w:rPr>
                <w:sz w:val="22"/>
              </w:rPr>
              <w:t xml:space="preserve">eura </w:t>
            </w:r>
            <w:r w:rsidRPr="004E6412">
              <w:rPr>
                <w:sz w:val="22"/>
              </w:rPr>
              <w:t xml:space="preserve">godišnje, predstavlja priliku za europske tvrtke. </w:t>
            </w:r>
          </w:p>
        </w:tc>
        <w:tc>
          <w:tcPr>
            <w:tcW w:w="0" w:type="auto"/>
            <w:shd w:val="clear" w:color="auto" w:fill="auto"/>
          </w:tcPr>
          <w:p w:rsidR="00B15D85" w:rsidRPr="004E6412" w:rsidRDefault="00E36939" w:rsidP="0097195F">
            <w:pPr>
              <w:numPr>
                <w:ilvl w:val="0"/>
                <w:numId w:val="173"/>
              </w:numPr>
              <w:spacing w:line="240" w:lineRule="auto"/>
              <w:ind w:left="360"/>
              <w:rPr>
                <w:sz w:val="22"/>
              </w:rPr>
            </w:pPr>
            <w:r w:rsidRPr="004E6412">
              <w:rPr>
                <w:sz w:val="22"/>
              </w:rPr>
              <w:t xml:space="preserve">Nizozemska Vlada </w:t>
            </w:r>
            <w:r w:rsidR="00B15D85" w:rsidRPr="004E6412">
              <w:rPr>
                <w:sz w:val="22"/>
              </w:rPr>
              <w:t xml:space="preserve">zatražila </w:t>
            </w:r>
            <w:r w:rsidRPr="004E6412">
              <w:rPr>
                <w:sz w:val="22"/>
              </w:rPr>
              <w:t xml:space="preserve">je </w:t>
            </w:r>
            <w:r w:rsidR="00B15D85" w:rsidRPr="004E6412">
              <w:rPr>
                <w:sz w:val="22"/>
              </w:rPr>
              <w:t xml:space="preserve">od svojih tvrtki, </w:t>
            </w:r>
            <w:r w:rsidRPr="004E6412">
              <w:rPr>
                <w:sz w:val="22"/>
              </w:rPr>
              <w:t>građana, civilnih organizacija te</w:t>
            </w:r>
            <w:r w:rsidR="00B15D85" w:rsidRPr="004E6412">
              <w:rPr>
                <w:sz w:val="22"/>
              </w:rPr>
              <w:t xml:space="preserve"> lokalnih i regi</w:t>
            </w:r>
            <w:r w:rsidRPr="004E6412">
              <w:rPr>
                <w:sz w:val="22"/>
              </w:rPr>
              <w:t>onalnih uprava da definiraju</w:t>
            </w:r>
            <w:r w:rsidR="00B15D85" w:rsidRPr="004E6412">
              <w:rPr>
                <w:sz w:val="22"/>
              </w:rPr>
              <w:t xml:space="preserve"> zelene projekte koje nisu uspjeli pokrenuti</w:t>
            </w:r>
            <w:r w:rsidRPr="004E6412">
              <w:rPr>
                <w:sz w:val="22"/>
              </w:rPr>
              <w:t>,</w:t>
            </w:r>
            <w:r w:rsidR="00B15D85" w:rsidRPr="004E6412">
              <w:rPr>
                <w:sz w:val="22"/>
              </w:rPr>
              <w:t xml:space="preserve"> i </w:t>
            </w:r>
            <w:r w:rsidRPr="004E6412">
              <w:rPr>
                <w:sz w:val="22"/>
              </w:rPr>
              <w:t xml:space="preserve">da navedu kako im Vlada može pomoći da ti </w:t>
            </w:r>
            <w:r w:rsidR="00B15D85" w:rsidRPr="004E6412">
              <w:rPr>
                <w:sz w:val="22"/>
              </w:rPr>
              <w:t>projekti postanu izvedivi. Navedeno se očitovalo u st</w:t>
            </w:r>
            <w:r w:rsidRPr="004E6412">
              <w:rPr>
                <w:sz w:val="22"/>
              </w:rPr>
              <w:t>varanju savjetodavnih i</w:t>
            </w:r>
            <w:r w:rsidR="00B15D85" w:rsidRPr="004E6412">
              <w:rPr>
                <w:sz w:val="22"/>
              </w:rPr>
              <w:t xml:space="preserve"> organizacijskih kapaciteta, uklanjanju pravnih i regulatornih</w:t>
            </w:r>
            <w:r w:rsidRPr="004E6412">
              <w:rPr>
                <w:sz w:val="22"/>
              </w:rPr>
              <w:t xml:space="preserve"> ograničenja te osnivanju javno-</w:t>
            </w:r>
            <w:r w:rsidR="00B15D85" w:rsidRPr="004E6412">
              <w:rPr>
                <w:sz w:val="22"/>
              </w:rPr>
              <w:t xml:space="preserve">privatnih financijskih struktura.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3"/>
              </w:numPr>
              <w:spacing w:line="240" w:lineRule="auto"/>
              <w:ind w:left="360"/>
              <w:rPr>
                <w:sz w:val="22"/>
              </w:rPr>
            </w:pPr>
            <w:r w:rsidRPr="004E6412">
              <w:rPr>
                <w:sz w:val="22"/>
              </w:rPr>
              <w:t>Primjer najbolje pra</w:t>
            </w:r>
            <w:r w:rsidR="00E36939" w:rsidRPr="004E6412">
              <w:rPr>
                <w:sz w:val="22"/>
              </w:rPr>
              <w:t>kse u području zelene i učinkovite javne uprave</w:t>
            </w:r>
            <w:r w:rsidRPr="004E6412">
              <w:rPr>
                <w:sz w:val="22"/>
              </w:rPr>
              <w:t xml:space="preserve"> je bečka inicijativa zelene nabave. Radi se o programu za održivu javnu nabav</w:t>
            </w:r>
            <w:r w:rsidR="00E36939" w:rsidRPr="004E6412">
              <w:rPr>
                <w:sz w:val="22"/>
              </w:rPr>
              <w:t>u cjelokupne uprave</w:t>
            </w:r>
            <w:r w:rsidRPr="004E6412">
              <w:rPr>
                <w:sz w:val="22"/>
              </w:rPr>
              <w:t xml:space="preserve"> grada Beča. Razvijeno je stotinjak kataloga proizvoda i zelenih kriterija za nabavu, izgradnju i druge usluge koje se nabavljaju, čime su ostvarene značajne financijske i uštede u emisijama CO</w:t>
            </w:r>
            <w:r w:rsidRPr="004E6412">
              <w:rPr>
                <w:sz w:val="22"/>
                <w:vertAlign w:val="subscript"/>
              </w:rPr>
              <w:t>2</w:t>
            </w:r>
            <w:r w:rsidRPr="004E6412">
              <w:rPr>
                <w:sz w:val="22"/>
              </w:rPr>
              <w:t>.</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Poslovno okruženje</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Poslovno okruženje može se opisati kao skup uvjeta koji utječu na poslovanje tvrtki, a uključuju kupce, konkurenciju, dobavljače, pravne, ekonomske i političke čimbenike. Dobro poslovno okruženje treba osigurati učinkovita i transparentna pravila te</w:t>
            </w:r>
            <w:r w:rsidR="00E36939" w:rsidRPr="004E6412">
              <w:rPr>
                <w:i/>
                <w:sz w:val="22"/>
              </w:rPr>
              <w:t xml:space="preserve"> sigurnost. Regulatorni okvir</w:t>
            </w:r>
            <w:r w:rsidRPr="004E6412">
              <w:rPr>
                <w:i/>
                <w:sz w:val="22"/>
              </w:rPr>
              <w:t xml:space="preserve"> trebao</w:t>
            </w:r>
            <w:r w:rsidR="00E36939" w:rsidRPr="004E6412">
              <w:rPr>
                <w:i/>
                <w:sz w:val="22"/>
              </w:rPr>
              <w:t xml:space="preserve"> bi</w:t>
            </w:r>
            <w:r w:rsidRPr="004E6412">
              <w:rPr>
                <w:i/>
                <w:sz w:val="22"/>
              </w:rPr>
              <w:t xml:space="preserve"> pridonij</w:t>
            </w:r>
            <w:r w:rsidR="00E36939" w:rsidRPr="004E6412">
              <w:rPr>
                <w:i/>
                <w:sz w:val="22"/>
              </w:rPr>
              <w:t>eti postizanju rasta i stvaranju radnih mjesta, uzimajući pri</w:t>
            </w:r>
            <w:r w:rsidRPr="004E6412">
              <w:rPr>
                <w:i/>
                <w:sz w:val="22"/>
              </w:rPr>
              <w:t xml:space="preserve">tom u obzir socijalne ciljeve i ciljeve u </w:t>
            </w:r>
            <w:r w:rsidR="004823E2" w:rsidRPr="004E6412">
              <w:rPr>
                <w:i/>
                <w:sz w:val="22"/>
              </w:rPr>
              <w:t>području</w:t>
            </w:r>
            <w:r w:rsidRPr="004E6412">
              <w:rPr>
                <w:i/>
                <w:sz w:val="22"/>
              </w:rPr>
              <w:t xml:space="preserve"> zaštite okoliša.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Pristup financiranju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Od početka </w:t>
            </w:r>
            <w:r w:rsidR="004823E2" w:rsidRPr="004E6412">
              <w:rPr>
                <w:sz w:val="22"/>
              </w:rPr>
              <w:t>financijske</w:t>
            </w:r>
            <w:r w:rsidRPr="004E6412">
              <w:rPr>
                <w:sz w:val="22"/>
              </w:rPr>
              <w:t xml:space="preserve"> krize, mala i srednja poduzeća suočavaju se s postroženim uvjetima kreditiranja i poteškoćama u pristupu financiranju. Kao rezultat usporavanja rasta, financiranje duga postalo je skuplje i teže dostupno, dok ostali instrumenti financiranja u zemljama članicama EU</w:t>
            </w:r>
            <w:r w:rsidR="00E36939" w:rsidRPr="004E6412">
              <w:rPr>
                <w:sz w:val="22"/>
              </w:rPr>
              <w:t>-a</w:t>
            </w:r>
            <w:r w:rsidRPr="004E6412">
              <w:rPr>
                <w:sz w:val="22"/>
              </w:rPr>
              <w:t xml:space="preserve"> često nisu potpuno razvijeni. Zemlje članice imaju različite programe za cijeli spektar financijskih jazova, što otežava njihovu usporedbu osobito jer tvrtke variraju od onih koje tek započinju s poslovanjem do dobro ustrojenih, rastući</w:t>
            </w:r>
            <w:r w:rsidR="00B23457" w:rsidRPr="004E6412">
              <w:rPr>
                <w:sz w:val="22"/>
              </w:rPr>
              <w:t>h</w:t>
            </w:r>
            <w:r w:rsidRPr="004E6412">
              <w:rPr>
                <w:sz w:val="22"/>
              </w:rPr>
              <w:t xml:space="preserve"> tvrtki. </w:t>
            </w: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i/>
                <w:sz w:val="22"/>
              </w:rPr>
              <w:t>Equity</w:t>
            </w:r>
            <w:r w:rsidRPr="004E6412">
              <w:rPr>
                <w:sz w:val="22"/>
              </w:rPr>
              <w:t xml:space="preserve"> fond za visokotehnološke tvrtke koje započinju s poslovanjem u Nje</w:t>
            </w:r>
            <w:r w:rsidR="00FA7287" w:rsidRPr="004E6412">
              <w:rPr>
                <w:sz w:val="22"/>
              </w:rPr>
              <w:t xml:space="preserve">mačkoj. Fond osigurava kapital </w:t>
            </w:r>
            <w:r w:rsidR="00E36939" w:rsidRPr="004E6412">
              <w:rPr>
                <w:sz w:val="22"/>
              </w:rPr>
              <w:t>„</w:t>
            </w:r>
            <w:r w:rsidR="00FA7287" w:rsidRPr="004E6412">
              <w:rPr>
                <w:i/>
                <w:sz w:val="22"/>
              </w:rPr>
              <w:t>s</w:t>
            </w:r>
            <w:r w:rsidRPr="004E6412">
              <w:rPr>
                <w:i/>
                <w:sz w:val="22"/>
              </w:rPr>
              <w:t>tart-up</w:t>
            </w:r>
            <w:r w:rsidR="00E36939" w:rsidRPr="004E6412">
              <w:rPr>
                <w:i/>
                <w:sz w:val="22"/>
              </w:rPr>
              <w:t>“</w:t>
            </w:r>
            <w:r w:rsidRPr="004E6412">
              <w:rPr>
                <w:sz w:val="22"/>
              </w:rPr>
              <w:t xml:space="preserve"> tvrtkama s visokim potencijalom rasta koje najčešće imaju problema s financiranjem jer se investicija smatra prerizičnom. Fond ne samo da osigurava financiranje, nego pruža i usluge obuke tvrtkama iz svog portfolija. Navedeno predstavlja dobar primjer javno-privatnog partnerstva</w:t>
            </w:r>
            <w:r w:rsidR="00E36939" w:rsidRPr="004E6412">
              <w:rPr>
                <w:sz w:val="22"/>
              </w:rPr>
              <w:t xml:space="preserve"> jer financiranju pridonose i federalna Vlada</w:t>
            </w:r>
            <w:r w:rsidRPr="004E6412">
              <w:rPr>
                <w:sz w:val="22"/>
              </w:rPr>
              <w:t xml:space="preserve"> i privatne tvrtke.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Potpora malim i sredn</w:t>
            </w:r>
            <w:r w:rsidR="00E36939" w:rsidRPr="004E6412">
              <w:rPr>
                <w:b/>
                <w:sz w:val="22"/>
              </w:rPr>
              <w:t xml:space="preserve">jim poduzećima i provedba </w:t>
            </w:r>
            <w:r w:rsidRPr="004E6412">
              <w:rPr>
                <w:b/>
                <w:sz w:val="22"/>
              </w:rPr>
              <w:t>zakona o malim poduzećima za  Europu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S ciljem zadržavanja konkurentnosti, rasta i stvaranja radnih </w:t>
            </w:r>
            <w:r w:rsidR="004823E2" w:rsidRPr="004E6412">
              <w:rPr>
                <w:sz w:val="22"/>
              </w:rPr>
              <w:t>mjesta</w:t>
            </w:r>
            <w:r w:rsidRPr="004E6412">
              <w:rPr>
                <w:sz w:val="22"/>
              </w:rPr>
              <w:t>, srednja i mala poduzeća treba poticati i podržavati u njihovom nastojanju ulaska na nova tržišta.</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sz w:val="22"/>
              </w:rPr>
              <w:t xml:space="preserve">Poduzetnički statut u Francuskoj omogućava poduzetnicima odgodu plaćanja bilo kakvih poreza dok se ne generira prihod. Ovaj statut također omogućava poduzetnicima da razgraniče svoj osobni od kapitala tvrtke te na taj način izbjegnu </w:t>
            </w:r>
            <w:r w:rsidR="004823E2" w:rsidRPr="004E6412">
              <w:rPr>
                <w:sz w:val="22"/>
              </w:rPr>
              <w:t>situaciju</w:t>
            </w:r>
            <w:r w:rsidRPr="004E6412">
              <w:rPr>
                <w:sz w:val="22"/>
              </w:rPr>
              <w:t xml:space="preserve"> da bankrot tvrtke dovede do osobne nesolventnosti. </w:t>
            </w:r>
          </w:p>
          <w:p w:rsidR="00B15D85" w:rsidRPr="004E6412" w:rsidRDefault="00B15D85" w:rsidP="0097195F">
            <w:pPr>
              <w:spacing w:line="240" w:lineRule="auto"/>
              <w:rPr>
                <w:sz w:val="22"/>
              </w:rPr>
            </w:pPr>
          </w:p>
          <w:p w:rsidR="00B15D85" w:rsidRPr="004E6412" w:rsidRDefault="00B15D85" w:rsidP="0097195F">
            <w:pPr>
              <w:numPr>
                <w:ilvl w:val="0"/>
                <w:numId w:val="174"/>
              </w:numPr>
              <w:spacing w:line="240" w:lineRule="auto"/>
              <w:rPr>
                <w:sz w:val="22"/>
              </w:rPr>
            </w:pPr>
            <w:r w:rsidRPr="004E6412">
              <w:rPr>
                <w:sz w:val="22"/>
              </w:rPr>
              <w:t>Portal „</w:t>
            </w:r>
            <w:r w:rsidRPr="004E6412">
              <w:rPr>
                <w:i/>
                <w:sz w:val="22"/>
              </w:rPr>
              <w:t>Made in</w:t>
            </w:r>
            <w:r w:rsidR="00FA7287" w:rsidRPr="004E6412">
              <w:rPr>
                <w:i/>
                <w:sz w:val="22"/>
              </w:rPr>
              <w:t xml:space="preserve"> </w:t>
            </w:r>
            <w:r w:rsidRPr="004E6412">
              <w:rPr>
                <w:i/>
                <w:sz w:val="22"/>
              </w:rPr>
              <w:t>I</w:t>
            </w:r>
            <w:r w:rsidR="00FA7287" w:rsidRPr="004E6412">
              <w:rPr>
                <w:i/>
                <w:sz w:val="22"/>
              </w:rPr>
              <w:t>taly</w:t>
            </w:r>
            <w:r w:rsidRPr="004E6412">
              <w:rPr>
                <w:sz w:val="22"/>
              </w:rPr>
              <w:t>“ koji predstavlja interaktivnu platformu čiji je cilj pomoć talijanskim tvrtkama prilik</w:t>
            </w:r>
            <w:r w:rsidR="001144C0" w:rsidRPr="004E6412">
              <w:rPr>
                <w:sz w:val="22"/>
              </w:rPr>
              <w:t xml:space="preserve">om promocije i prodaje vlastitih </w:t>
            </w:r>
            <w:r w:rsidRPr="004E6412">
              <w:rPr>
                <w:sz w:val="22"/>
              </w:rPr>
              <w:t xml:space="preserve">proizvoda u inozemstvu. </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1144C0" w:rsidP="0097195F">
            <w:pPr>
              <w:spacing w:line="240" w:lineRule="auto"/>
              <w:ind w:left="113" w:right="113"/>
              <w:jc w:val="center"/>
              <w:rPr>
                <w:b/>
                <w:sz w:val="22"/>
              </w:rPr>
            </w:pPr>
            <w:r w:rsidRPr="004E6412">
              <w:rPr>
                <w:b/>
                <w:sz w:val="22"/>
              </w:rPr>
              <w:t>Smanjenje</w:t>
            </w:r>
            <w:r w:rsidR="00B15D85" w:rsidRPr="004E6412">
              <w:rPr>
                <w:b/>
                <w:sz w:val="22"/>
              </w:rPr>
              <w:t xml:space="preserve"> administrativnog opterećenja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Europska politika </w:t>
            </w:r>
            <w:r w:rsidR="001144C0" w:rsidRPr="004E6412">
              <w:rPr>
                <w:sz w:val="22"/>
              </w:rPr>
              <w:t>boljih propisa</w:t>
            </w:r>
            <w:r w:rsidRPr="004E6412">
              <w:rPr>
                <w:sz w:val="22"/>
              </w:rPr>
              <w:t xml:space="preserve"> ima </w:t>
            </w:r>
            <w:r w:rsidR="001144C0" w:rsidRPr="004E6412">
              <w:rPr>
                <w:sz w:val="22"/>
              </w:rPr>
              <w:t xml:space="preserve">za </w:t>
            </w:r>
            <w:r w:rsidRPr="004E6412">
              <w:rPr>
                <w:sz w:val="22"/>
              </w:rPr>
              <w:t xml:space="preserve">cilj pojednostavniti i unaprijediti postojeće propise, unaprijediti dizajn novih propisa te povećati učinkovitost primjenjivih pravila i propisa kako bi zakonodavstvo koje utječe na poslovanje poslužilo svojoj svrsi te kako bi zakonodavna vlast u potpunosti razumjela troškove i utjecaje povezane s </w:t>
            </w:r>
            <w:r w:rsidR="001144C0" w:rsidRPr="004E6412">
              <w:rPr>
                <w:sz w:val="22"/>
              </w:rPr>
              <w:t>is</w:t>
            </w:r>
            <w:r w:rsidRPr="004E6412">
              <w:rPr>
                <w:sz w:val="22"/>
              </w:rPr>
              <w:t xml:space="preserve">tim.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5"/>
              </w:numPr>
              <w:spacing w:line="240" w:lineRule="auto"/>
              <w:ind w:left="360"/>
              <w:rPr>
                <w:sz w:val="22"/>
              </w:rPr>
            </w:pPr>
            <w:r w:rsidRPr="004E6412">
              <w:rPr>
                <w:sz w:val="22"/>
              </w:rPr>
              <w:t xml:space="preserve">Švedski </w:t>
            </w:r>
            <w:r w:rsidR="004823E2" w:rsidRPr="004E6412">
              <w:rPr>
                <w:sz w:val="22"/>
              </w:rPr>
              <w:t>sveobuhvatni</w:t>
            </w:r>
            <w:r w:rsidRPr="004E6412">
              <w:rPr>
                <w:sz w:val="22"/>
              </w:rPr>
              <w:t xml:space="preserve"> program za smanjenje troškova malih tvr</w:t>
            </w:r>
            <w:r w:rsidR="001144C0" w:rsidRPr="004E6412">
              <w:rPr>
                <w:sz w:val="22"/>
              </w:rPr>
              <w:t>tki. Program sadržava propise prema kojima se</w:t>
            </w:r>
            <w:r w:rsidRPr="004E6412">
              <w:rPr>
                <w:sz w:val="22"/>
              </w:rPr>
              <w:t xml:space="preserve"> svaka odredba predložena od st</w:t>
            </w:r>
            <w:r w:rsidR="001144C0" w:rsidRPr="004E6412">
              <w:rPr>
                <w:sz w:val="22"/>
              </w:rPr>
              <w:t>rane državne agencije mora analizirati</w:t>
            </w:r>
            <w:r w:rsidRPr="004E6412">
              <w:rPr>
                <w:sz w:val="22"/>
              </w:rPr>
              <w:t xml:space="preserve"> s posl</w:t>
            </w:r>
            <w:r w:rsidR="001144C0" w:rsidRPr="004E6412">
              <w:rPr>
                <w:sz w:val="22"/>
              </w:rPr>
              <w:t>ovnog aspekta kako bi se osiguralo da ista</w:t>
            </w:r>
            <w:r w:rsidRPr="004E6412">
              <w:rPr>
                <w:sz w:val="22"/>
              </w:rPr>
              <w:t xml:space="preserve"> ne uzrokuje bilo kakvo dodatno administrativno opterećenje.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Inicijative španjolske V</w:t>
            </w:r>
            <w:r w:rsidR="00B15D85" w:rsidRPr="004E6412">
              <w:rPr>
                <w:sz w:val="22"/>
              </w:rPr>
              <w:t>lade vezane uz zakon o poduzetništvu koje se odnose na raciona</w:t>
            </w:r>
            <w:r w:rsidRPr="004E6412">
              <w:rPr>
                <w:sz w:val="22"/>
              </w:rPr>
              <w:t>lizaciju i poticanje učinkovitosti</w:t>
            </w:r>
            <w:r w:rsidR="00B15D85" w:rsidRPr="004E6412">
              <w:rPr>
                <w:sz w:val="22"/>
              </w:rPr>
              <w:t xml:space="preserve"> brojnih </w:t>
            </w:r>
            <w:r w:rsidR="00B15D85" w:rsidRPr="004E6412">
              <w:rPr>
                <w:i/>
                <w:sz w:val="22"/>
              </w:rPr>
              <w:t>one-stop</w:t>
            </w:r>
            <w:r w:rsidR="00B15D85" w:rsidRPr="004E6412">
              <w:rPr>
                <w:sz w:val="22"/>
              </w:rPr>
              <w:t xml:space="preserve"> </w:t>
            </w:r>
            <w:r w:rsidR="00B15D85" w:rsidRPr="004E6412">
              <w:rPr>
                <w:i/>
                <w:sz w:val="22"/>
              </w:rPr>
              <w:t>shop</w:t>
            </w:r>
            <w:r w:rsidR="00B15D85" w:rsidRPr="004E6412">
              <w:rPr>
                <w:sz w:val="22"/>
              </w:rPr>
              <w:t xml:space="preserve"> sustava i prešutnih suglasnosti u procedurama izdavanja dozvola. Inače, pravni i regulatorni okvir</w:t>
            </w:r>
            <w:r w:rsidRPr="004E6412">
              <w:rPr>
                <w:sz w:val="22"/>
              </w:rPr>
              <w:t xml:space="preserve"> za poslovanje u Španjolskoj </w:t>
            </w:r>
            <w:r w:rsidR="00B15D85" w:rsidRPr="004E6412">
              <w:rPr>
                <w:sz w:val="22"/>
              </w:rPr>
              <w:t xml:space="preserve">jedan </w:t>
            </w:r>
            <w:r w:rsidRPr="004E6412">
              <w:rPr>
                <w:sz w:val="22"/>
              </w:rPr>
              <w:t>je od najopterećenijih</w:t>
            </w:r>
            <w:r w:rsidR="00B15D85" w:rsidRPr="004E6412">
              <w:rPr>
                <w:sz w:val="22"/>
              </w:rPr>
              <w:t xml:space="preserve"> u EU.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Brojne mjere talijanske V</w:t>
            </w:r>
            <w:r w:rsidR="00B15D85" w:rsidRPr="004E6412">
              <w:rPr>
                <w:sz w:val="22"/>
              </w:rPr>
              <w:t>lade kojima se potiče rast reformama regulacije tržišta i jačanjem konkurentnosti u sektoru usluga, kao što su liberalizacija profesionalnih djelatnost</w:t>
            </w:r>
            <w:r w:rsidRPr="004E6412">
              <w:rPr>
                <w:sz w:val="22"/>
              </w:rPr>
              <w:t>i, smanjenje ulaznih prepreka</w:t>
            </w:r>
            <w:r w:rsidR="00B15D85" w:rsidRPr="004E6412">
              <w:rPr>
                <w:sz w:val="22"/>
              </w:rPr>
              <w:t xml:space="preserve"> za pojedina tržišta (distribucija goriva, osiguranje, farmaceutika) te povećanje konkurencije u energetici i transportu. Vlada je također osnažila ulogu tijela za zaštitu tržišnog natjecanja.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lastRenderedPageBreak/>
              <w:t xml:space="preserve">Poboljšanje </w:t>
            </w:r>
            <w:r w:rsidR="001144C0" w:rsidRPr="004E6412">
              <w:rPr>
                <w:b/>
                <w:sz w:val="28"/>
                <w:szCs w:val="28"/>
              </w:rPr>
              <w:t>kvalitete državne uprave</w:t>
            </w:r>
            <w:r w:rsidRPr="004E6412">
              <w:rPr>
                <w:b/>
                <w:sz w:val="28"/>
                <w:szCs w:val="28"/>
              </w:rPr>
              <w:t xml:space="preserve"> </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Kvaliteta državne uprave i institucija koje upravljaju ekonomskim i socijalnim odnosima unutar zemlje ključni je čimbenik poboljšanja konkurentnosti i socijalnog blagostanja. U vrijeme kada se vlade država suočavaju s brojnim izazovima, uključujući fiskalne namete i gubitak povjerenja, administracija država članica EU</w:t>
            </w:r>
            <w:r w:rsidR="001144C0" w:rsidRPr="004E6412">
              <w:rPr>
                <w:i/>
                <w:sz w:val="22"/>
              </w:rPr>
              <w:t>-a</w:t>
            </w:r>
            <w:r w:rsidRPr="004E6412">
              <w:rPr>
                <w:i/>
                <w:sz w:val="22"/>
              </w:rPr>
              <w:t xml:space="preserve"> se također mora uhvatiti u koštac s brzom ekonomskom promjenom, složenim regulatornim pitanjima, novim tehnologijama i uslugama, te otvorenošću, transparentnošću i povećanim sudjelovanjem građana.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politika</w:t>
            </w:r>
          </w:p>
        </w:tc>
        <w:tc>
          <w:tcPr>
            <w:tcW w:w="0" w:type="auto"/>
            <w:shd w:val="clear" w:color="auto" w:fill="auto"/>
          </w:tcPr>
          <w:p w:rsidR="00B15D85" w:rsidRPr="004E6412" w:rsidRDefault="001144C0" w:rsidP="0097195F">
            <w:pPr>
              <w:spacing w:line="240" w:lineRule="auto"/>
              <w:rPr>
                <w:sz w:val="22"/>
              </w:rPr>
            </w:pPr>
            <w:r w:rsidRPr="004E6412">
              <w:rPr>
                <w:sz w:val="22"/>
              </w:rPr>
              <w:t>Reforma državne uprave</w:t>
            </w:r>
            <w:r w:rsidR="00B15D85" w:rsidRPr="004E6412">
              <w:rPr>
                <w:sz w:val="22"/>
              </w:rPr>
              <w:t xml:space="preserve"> ključno je područje u nekoliko zemalja članica EU</w:t>
            </w:r>
            <w:r w:rsidRPr="004E6412">
              <w:rPr>
                <w:sz w:val="22"/>
              </w:rPr>
              <w:t>-a. U tim zemljama</w:t>
            </w:r>
            <w:r w:rsidR="00B15D85" w:rsidRPr="004E6412">
              <w:rPr>
                <w:sz w:val="22"/>
              </w:rPr>
              <w:t xml:space="preserve"> loš administrativni i pravni apa</w:t>
            </w:r>
            <w:r w:rsidRPr="004E6412">
              <w:rPr>
                <w:sz w:val="22"/>
              </w:rPr>
              <w:t>rat te pravna nesigurnost</w:t>
            </w:r>
            <w:r w:rsidR="00B15D85" w:rsidRPr="004E6412">
              <w:rPr>
                <w:sz w:val="22"/>
              </w:rPr>
              <w:t xml:space="preserve"> osnovne su prepreke </w:t>
            </w:r>
            <w:r w:rsidR="004823E2" w:rsidRPr="004E6412">
              <w:rPr>
                <w:sz w:val="22"/>
              </w:rPr>
              <w:t>ekonomskog</w:t>
            </w:r>
            <w:r w:rsidR="00B15D85" w:rsidRPr="004E6412">
              <w:rPr>
                <w:sz w:val="22"/>
              </w:rPr>
              <w:t xml:space="preserve"> razvoja. Međutim, nakon krize skoro sve zemlje članice EU</w:t>
            </w:r>
            <w:r w:rsidRPr="004E6412">
              <w:rPr>
                <w:sz w:val="22"/>
              </w:rPr>
              <w:t>-a provele</w:t>
            </w:r>
            <w:r w:rsidR="00B15D85" w:rsidRPr="004E6412">
              <w:rPr>
                <w:sz w:val="22"/>
              </w:rPr>
              <w:t xml:space="preserve"> su temeljne promjene koje su utjecale na funkc</w:t>
            </w:r>
            <w:r w:rsidRPr="004E6412">
              <w:rPr>
                <w:sz w:val="22"/>
              </w:rPr>
              <w:t>ioniranje državne uprave</w:t>
            </w:r>
            <w:r w:rsidR="00B15D85" w:rsidRPr="004E6412">
              <w:rPr>
                <w:sz w:val="22"/>
              </w:rPr>
              <w:t xml:space="preserve"> i inst</w:t>
            </w:r>
            <w:r w:rsidR="004823E2" w:rsidRPr="004E6412">
              <w:rPr>
                <w:sz w:val="22"/>
              </w:rPr>
              <w:t>itu</w:t>
            </w:r>
            <w:r w:rsidR="00B15D85" w:rsidRPr="004E6412">
              <w:rPr>
                <w:sz w:val="22"/>
              </w:rPr>
              <w:t>cija. Dok su se neke države orijentirale na smanjenje broja zaposlenih i plaća u javnom sektoru, druge su ovu situaciju iskoristile kako bi ubrz</w:t>
            </w:r>
            <w:r w:rsidRPr="004E6412">
              <w:rPr>
                <w:sz w:val="22"/>
              </w:rPr>
              <w:t>ale modernizaciju uprave</w:t>
            </w:r>
            <w:r w:rsidR="00B15D85" w:rsidRPr="004E6412">
              <w:rPr>
                <w:sz w:val="22"/>
              </w:rPr>
              <w:t>. U isto vrijeme, u nekim državama članicama EU uloženi su napori u borbu protiv kor</w:t>
            </w:r>
            <w:r w:rsidRPr="004E6412">
              <w:rPr>
                <w:sz w:val="22"/>
              </w:rPr>
              <w:t>upcije te u poboljšanje učinkovitosti</w:t>
            </w:r>
            <w:r w:rsidR="00B15D85" w:rsidRPr="004E6412">
              <w:rPr>
                <w:sz w:val="22"/>
              </w:rPr>
              <w:t xml:space="preserve"> pravosuđa.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Administrativna modernizacija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Modernizacija javnog sektora usmjerena je na alate povećanja kapaciteta javne uprave kako bi se pružila visokokvalitetna usluga. Iako se rješenja razlikuju od države do države, većina instrumenata usmjerena je na korištenje </w:t>
            </w:r>
            <w:r w:rsidR="004823E2" w:rsidRPr="004E6412">
              <w:rPr>
                <w:sz w:val="22"/>
              </w:rPr>
              <w:t>informacijske</w:t>
            </w:r>
            <w:r w:rsidRPr="004E6412">
              <w:rPr>
                <w:sz w:val="22"/>
              </w:rPr>
              <w:t xml:space="preserve"> i komunikacijske tehnologije, primjenu strateškog pristup</w:t>
            </w:r>
            <w:r w:rsidR="001144C0" w:rsidRPr="004E6412">
              <w:rPr>
                <w:sz w:val="22"/>
              </w:rPr>
              <w:t>a upravljanja ljudskim potencijalima</w:t>
            </w:r>
            <w:r w:rsidRPr="004E6412">
              <w:rPr>
                <w:sz w:val="22"/>
              </w:rPr>
              <w:t xml:space="preserve">, organizaciju i upravljanje javnim uslugama na temelju učinaka, stavljajući potrebe </w:t>
            </w:r>
            <w:r w:rsidR="001144C0" w:rsidRPr="004E6412">
              <w:rPr>
                <w:sz w:val="22"/>
              </w:rPr>
              <w:t>klijenata u središte pozornosti</w:t>
            </w:r>
            <w:r w:rsidRPr="004E6412">
              <w:rPr>
                <w:sz w:val="22"/>
              </w:rPr>
              <w:t xml:space="preserve"> te reorgani</w:t>
            </w:r>
            <w:r w:rsidR="001144C0" w:rsidRPr="004E6412">
              <w:rPr>
                <w:sz w:val="22"/>
              </w:rPr>
              <w:t>zaciju međudjelovanja</w:t>
            </w:r>
            <w:r w:rsidRPr="004E6412">
              <w:rPr>
                <w:sz w:val="22"/>
              </w:rPr>
              <w:t xml:space="preserve"> javnog i privatnog sektora.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6"/>
              </w:numPr>
              <w:spacing w:line="240" w:lineRule="auto"/>
              <w:ind w:left="360"/>
              <w:rPr>
                <w:sz w:val="22"/>
              </w:rPr>
            </w:pPr>
            <w:r w:rsidRPr="004E6412">
              <w:rPr>
                <w:sz w:val="22"/>
              </w:rPr>
              <w:t xml:space="preserve">Estonsko uvođenje elektroničkog sustava prijenosa podataka za predaju godišnjih izvještaja. Državne i lokalne institucije više ne mogu zahtijevati od poduzeća da im </w:t>
            </w:r>
            <w:r w:rsidR="001144C0" w:rsidRPr="004E6412">
              <w:rPr>
                <w:sz w:val="22"/>
              </w:rPr>
              <w:t xml:space="preserve">dostavljaju podatke koje su </w:t>
            </w:r>
            <w:r w:rsidRPr="004E6412">
              <w:rPr>
                <w:sz w:val="22"/>
              </w:rPr>
              <w:t xml:space="preserve">već dostavila putem navedenog sustava u svojim godišnjim izvještajima. </w:t>
            </w:r>
          </w:p>
          <w:p w:rsidR="00B15D85" w:rsidRPr="004E6412" w:rsidRDefault="00B15D85" w:rsidP="0097195F">
            <w:pPr>
              <w:numPr>
                <w:ilvl w:val="0"/>
                <w:numId w:val="176"/>
              </w:numPr>
              <w:spacing w:line="240" w:lineRule="auto"/>
              <w:ind w:left="360"/>
              <w:rPr>
                <w:sz w:val="22"/>
              </w:rPr>
            </w:pPr>
            <w:r w:rsidRPr="004E6412">
              <w:rPr>
                <w:sz w:val="22"/>
              </w:rPr>
              <w:t>Luksemburška</w:t>
            </w:r>
            <w:r w:rsidR="001144C0" w:rsidRPr="004E6412">
              <w:rPr>
                <w:sz w:val="22"/>
              </w:rPr>
              <w:t xml:space="preserve"> internetska</w:t>
            </w:r>
            <w:r w:rsidRPr="004E6412">
              <w:rPr>
                <w:sz w:val="22"/>
              </w:rPr>
              <w:t xml:space="preserve"> stranica napravljena s ciljem pojednostavljivanja kontakata s državom putem brzog i jednostavnog pristupa svim i</w:t>
            </w:r>
            <w:r w:rsidR="001144C0" w:rsidRPr="004E6412">
              <w:rPr>
                <w:sz w:val="22"/>
              </w:rPr>
              <w:t>nformacijama i uslugama pruženim</w:t>
            </w:r>
            <w:r w:rsidRPr="004E6412">
              <w:rPr>
                <w:sz w:val="22"/>
              </w:rPr>
              <w:t xml:space="preserve"> od strane javnih institucija.</w:t>
            </w:r>
            <w:r w:rsidR="001144C0" w:rsidRPr="004E6412">
              <w:rPr>
                <w:sz w:val="22"/>
              </w:rPr>
              <w:t xml:space="preserve"> S</w:t>
            </w:r>
            <w:r w:rsidRPr="004E6412">
              <w:rPr>
                <w:sz w:val="22"/>
              </w:rPr>
              <w:t xml:space="preserve">tranica je podijeljena na dva dijela: jedan za građane, a drugi za poslovni sektor. </w:t>
            </w:r>
          </w:p>
          <w:p w:rsidR="00B15D85" w:rsidRPr="004E6412" w:rsidRDefault="001144C0" w:rsidP="0097195F">
            <w:pPr>
              <w:numPr>
                <w:ilvl w:val="0"/>
                <w:numId w:val="176"/>
              </w:numPr>
              <w:spacing w:line="240" w:lineRule="auto"/>
              <w:ind w:left="360"/>
              <w:rPr>
                <w:sz w:val="22"/>
              </w:rPr>
            </w:pPr>
            <w:r w:rsidRPr="004E6412">
              <w:rPr>
                <w:sz w:val="22"/>
              </w:rPr>
              <w:t>Ujedinjeno Kraljevstvo među prvima uvelo ocjenu učinka propisa te je u kasnim devedesetima promijenilo</w:t>
            </w:r>
            <w:r w:rsidR="00B15D85" w:rsidRPr="004E6412">
              <w:rPr>
                <w:sz w:val="22"/>
              </w:rPr>
              <w:t xml:space="preserve"> naglasak s de</w:t>
            </w:r>
            <w:r w:rsidRPr="004E6412">
              <w:rPr>
                <w:sz w:val="22"/>
              </w:rPr>
              <w:t>regulacije na bolju regulaciju.</w:t>
            </w:r>
            <w:r w:rsidR="00B15D85" w:rsidRPr="004E6412">
              <w:rPr>
                <w:sz w:val="22"/>
              </w:rPr>
              <w:t xml:space="preserve"> Osnovano je tijelo koje će sustavno primijeniti navedeni alat s ciljem informiranja o političkim odlukama te kako bi se stvorio okvir za prethodnu analizu troškova, koristi i rizika propisa. Ocjena učinka propisa temelji se na 5 načela: (1) proporcionalnost (interv</w:t>
            </w:r>
            <w:r w:rsidRPr="004E6412">
              <w:rPr>
                <w:sz w:val="22"/>
              </w:rPr>
              <w:t>encija samo ukoliko</w:t>
            </w:r>
            <w:r w:rsidR="00B15D85" w:rsidRPr="004E6412">
              <w:rPr>
                <w:sz w:val="22"/>
              </w:rPr>
              <w:t xml:space="preserve"> je neophodno, minimizacija troškova), (2) odgovornost (odluka mora biti opravdana), (3) dosljednost (svih državnih pravila</w:t>
            </w:r>
            <w:r w:rsidRPr="004E6412">
              <w:rPr>
                <w:sz w:val="22"/>
              </w:rPr>
              <w:t xml:space="preserve"> i standarda, pravedna provedba</w:t>
            </w:r>
            <w:r w:rsidR="00B15D85" w:rsidRPr="004E6412">
              <w:rPr>
                <w:sz w:val="22"/>
              </w:rPr>
              <w:t>), (4) transparentnost (jasna komunikacija i konzultacija sa svim interesnim skupinama</w:t>
            </w:r>
            <w:r w:rsidRPr="004E6412">
              <w:rPr>
                <w:sz w:val="22"/>
              </w:rPr>
              <w:t>, olakšana</w:t>
            </w:r>
            <w:r w:rsidR="00B15D85" w:rsidRPr="004E6412">
              <w:rPr>
                <w:sz w:val="22"/>
              </w:rPr>
              <w:t xml:space="preserve"> razumljiv</w:t>
            </w:r>
            <w:r w:rsidRPr="004E6412">
              <w:rPr>
                <w:sz w:val="22"/>
              </w:rPr>
              <w:t>ost) i (5) ciljanje (usmjerenost</w:t>
            </w:r>
            <w:r w:rsidR="00B15D85" w:rsidRPr="004E6412">
              <w:rPr>
                <w:sz w:val="22"/>
              </w:rPr>
              <w:t xml:space="preserve"> na problem, minimiziranje nuspojava).</w:t>
            </w:r>
          </w:p>
          <w:p w:rsidR="00B15D85" w:rsidRPr="004E6412" w:rsidRDefault="00B15D85" w:rsidP="0097195F">
            <w:pPr>
              <w:numPr>
                <w:ilvl w:val="0"/>
                <w:numId w:val="176"/>
              </w:numPr>
              <w:spacing w:line="240" w:lineRule="auto"/>
              <w:ind w:left="360"/>
              <w:rPr>
                <w:sz w:val="22"/>
              </w:rPr>
            </w:pPr>
            <w:r w:rsidRPr="004E6412">
              <w:rPr>
                <w:sz w:val="22"/>
              </w:rPr>
              <w:t>Nizozemski institut kvalitete osnovan je od strane lokalne uprave s ciljem održivog povećanja djelotvorno</w:t>
            </w:r>
            <w:r w:rsidR="001144C0" w:rsidRPr="004E6412">
              <w:rPr>
                <w:sz w:val="22"/>
              </w:rPr>
              <w:t>sti lokalne vlasti i stalnog</w:t>
            </w:r>
            <w:r w:rsidRPr="004E6412">
              <w:rPr>
                <w:sz w:val="22"/>
              </w:rPr>
              <w:t xml:space="preserve"> poboljšanja kvalitete usluga. Slogan „kvalitetne usluge lokalne uprave„ u odnosu s poslovnim sektorom mogu poslužiti kao model za gradove i izvan Nizozemske. </w:t>
            </w:r>
          </w:p>
          <w:p w:rsidR="00B15D85" w:rsidRPr="004E6412" w:rsidRDefault="00B15D85" w:rsidP="0097195F">
            <w:pPr>
              <w:numPr>
                <w:ilvl w:val="0"/>
                <w:numId w:val="176"/>
              </w:numPr>
              <w:spacing w:line="240" w:lineRule="auto"/>
              <w:ind w:left="360"/>
              <w:rPr>
                <w:sz w:val="22"/>
              </w:rPr>
            </w:pPr>
            <w:r w:rsidRPr="004E6412">
              <w:rPr>
                <w:sz w:val="22"/>
              </w:rPr>
              <w:t>Slovački sre</w:t>
            </w:r>
            <w:r w:rsidR="001144C0" w:rsidRPr="004E6412">
              <w:rPr>
                <w:sz w:val="22"/>
              </w:rPr>
              <w:t>dišnji registar ugovora i račun</w:t>
            </w:r>
            <w:r w:rsidRPr="004E6412">
              <w:rPr>
                <w:sz w:val="22"/>
              </w:rPr>
              <w:t>a. S</w:t>
            </w:r>
            <w:r w:rsidR="001144C0" w:rsidRPr="004E6412">
              <w:rPr>
                <w:sz w:val="22"/>
              </w:rPr>
              <w:t>vi ugovori i pripadajući računi plaćeni</w:t>
            </w:r>
            <w:r w:rsidRPr="004E6412">
              <w:rPr>
                <w:sz w:val="22"/>
              </w:rPr>
              <w:t xml:space="preserve"> od strane javne uprave, uključujući i one na regionalnim razinama i razinama općina, moraju biti objavljeni u</w:t>
            </w:r>
            <w:r w:rsidR="00D47360" w:rsidRPr="004E6412">
              <w:rPr>
                <w:sz w:val="22"/>
              </w:rPr>
              <w:t xml:space="preserve"> internetski dostupnom </w:t>
            </w:r>
            <w:r w:rsidRPr="004E6412">
              <w:rPr>
                <w:sz w:val="22"/>
              </w:rPr>
              <w:t>registru. Štoviše, ugov</w:t>
            </w:r>
            <w:r w:rsidR="00D47360" w:rsidRPr="004E6412">
              <w:rPr>
                <w:sz w:val="22"/>
              </w:rPr>
              <w:t>ori</w:t>
            </w:r>
            <w:r w:rsidRPr="004E6412">
              <w:rPr>
                <w:sz w:val="22"/>
              </w:rPr>
              <w:t xml:space="preserve"> postaju pravno valj</w:t>
            </w:r>
            <w:r w:rsidR="007757D7" w:rsidRPr="004E6412">
              <w:rPr>
                <w:sz w:val="22"/>
              </w:rPr>
              <w:t>ani tek nakon što se objave na I</w:t>
            </w:r>
            <w:r w:rsidRPr="004E6412">
              <w:rPr>
                <w:sz w:val="22"/>
              </w:rPr>
              <w:t>nternetu.</w:t>
            </w:r>
          </w:p>
        </w:tc>
      </w:tr>
    </w:tbl>
    <w:p w:rsidR="00B15D85" w:rsidRPr="004E6412" w:rsidRDefault="00032ED0" w:rsidP="00B15D85">
      <w:pPr>
        <w:rPr>
          <w:sz w:val="20"/>
          <w:szCs w:val="20"/>
        </w:rPr>
      </w:pPr>
      <w:r w:rsidRPr="004E6412">
        <w:rPr>
          <w:sz w:val="20"/>
          <w:szCs w:val="20"/>
        </w:rPr>
        <w:t>Izvor: Europ</w:t>
      </w:r>
      <w:r w:rsidR="006D035F" w:rsidRPr="004E6412">
        <w:rPr>
          <w:sz w:val="20"/>
          <w:szCs w:val="20"/>
        </w:rPr>
        <w:t>ean Commission</w:t>
      </w:r>
      <w:r w:rsidRPr="004E6412">
        <w:rPr>
          <w:sz w:val="20"/>
          <w:szCs w:val="20"/>
        </w:rPr>
        <w:t xml:space="preserve"> (</w:t>
      </w:r>
      <w:r w:rsidR="00D47360" w:rsidRPr="004E6412">
        <w:rPr>
          <w:sz w:val="20"/>
          <w:szCs w:val="20"/>
        </w:rPr>
        <w:t>2012</w:t>
      </w:r>
      <w:r w:rsidR="006D035F" w:rsidRPr="004E6412">
        <w:rPr>
          <w:sz w:val="20"/>
          <w:szCs w:val="20"/>
        </w:rPr>
        <w:t>) Member States' Competitiveness, Performance and policies, Industrial performance scorebord, A Europe 2020 Initiative, 2012 edition</w:t>
      </w:r>
      <w:r w:rsidR="00C75D6E" w:rsidRPr="004E6412">
        <w:rPr>
          <w:sz w:val="20"/>
          <w:szCs w:val="20"/>
        </w:rPr>
        <w:t>. Obrada autora</w:t>
      </w:r>
      <w:r w:rsidR="00D47360" w:rsidRPr="004E6412">
        <w:rPr>
          <w:sz w:val="20"/>
          <w:szCs w:val="20"/>
        </w:rPr>
        <w:t>.</w:t>
      </w:r>
    </w:p>
    <w:p w:rsidR="00B15D85" w:rsidRPr="004E6412" w:rsidRDefault="00B15D85" w:rsidP="00B15D85">
      <w:pPr>
        <w:rPr>
          <w:sz w:val="22"/>
        </w:rPr>
      </w:pPr>
    </w:p>
    <w:p w:rsidR="00B15D85" w:rsidRPr="004E6412" w:rsidRDefault="00B15D85" w:rsidP="00B15D85">
      <w:pPr>
        <w:rPr>
          <w:sz w:val="22"/>
          <w:lang w:eastAsia="hr-HR"/>
        </w:rPr>
        <w:sectPr w:rsidR="00B15D85" w:rsidRPr="004E6412" w:rsidSect="00B15D85">
          <w:pgSz w:w="16838" w:h="11906" w:orient="landscape"/>
          <w:pgMar w:top="851" w:right="851" w:bottom="851" w:left="851" w:header="709" w:footer="709" w:gutter="0"/>
          <w:cols w:space="708"/>
          <w:docGrid w:linePitch="360"/>
        </w:sectPr>
      </w:pPr>
    </w:p>
    <w:p w:rsidR="001671CF" w:rsidRPr="004E6412" w:rsidRDefault="001671CF" w:rsidP="00D001B9">
      <w:pPr>
        <w:pStyle w:val="Heading4"/>
      </w:pPr>
      <w:r w:rsidRPr="004E6412">
        <w:lastRenderedPageBreak/>
        <w:t xml:space="preserve">Smjerovi razvoja industrijskih </w:t>
      </w:r>
      <w:r w:rsidR="004823E2" w:rsidRPr="004E6412">
        <w:t>politika Europske unije</w:t>
      </w:r>
    </w:p>
    <w:p w:rsidR="001671CF" w:rsidRPr="004E6412" w:rsidRDefault="001671CF" w:rsidP="00B15A78">
      <w:pPr>
        <w:pStyle w:val="ListParagraph"/>
        <w:numPr>
          <w:ilvl w:val="0"/>
          <w:numId w:val="132"/>
        </w:numPr>
        <w:shd w:val="clear" w:color="auto" w:fill="FFFFFF"/>
        <w:outlineLvl w:val="1"/>
        <w:rPr>
          <w:rFonts w:ascii="Times New Roman" w:hAnsi="Times New Roman"/>
          <w:kern w:val="36"/>
          <w:lang w:eastAsia="hr-HR"/>
        </w:rPr>
      </w:pPr>
      <w:r w:rsidRPr="004E6412">
        <w:rPr>
          <w:rFonts w:ascii="Times New Roman" w:hAnsi="Times New Roman"/>
        </w:rPr>
        <w:t xml:space="preserve">Definiran je Model </w:t>
      </w:r>
      <w:smartTag w:uri="urn:schemas-microsoft-com:office:smarttags" w:element="metricconverter">
        <w:smartTagPr>
          <w:attr w:name="ProductID" w:val="4C"/>
        </w:smartTagPr>
        <w:r w:rsidRPr="004E6412">
          <w:rPr>
            <w:rFonts w:ascii="Times New Roman" w:hAnsi="Times New Roman"/>
          </w:rPr>
          <w:t>4C</w:t>
        </w:r>
      </w:smartTag>
      <w:r w:rsidRPr="004E6412">
        <w:rPr>
          <w:rFonts w:ascii="Times New Roman" w:hAnsi="Times New Roman"/>
        </w:rPr>
        <w:t xml:space="preserve"> koji treba definirati načine za podizanje inovacijskog potencijala EU</w:t>
      </w:r>
      <w:r w:rsidR="00D47360" w:rsidRPr="004E6412">
        <w:rPr>
          <w:rFonts w:ascii="Times New Roman" w:hAnsi="Times New Roman"/>
        </w:rPr>
        <w:t>-a</w:t>
      </w:r>
      <w:r w:rsidRPr="004E6412">
        <w:rPr>
          <w:rFonts w:ascii="Times New Roman" w:hAnsi="Times New Roman"/>
        </w:rPr>
        <w:t xml:space="preserve"> s ciljem ostvarivanja </w:t>
      </w:r>
      <w:r w:rsidR="004823E2" w:rsidRPr="004E6412">
        <w:rPr>
          <w:rFonts w:ascii="Times New Roman" w:hAnsi="Times New Roman"/>
        </w:rPr>
        <w:t>dugoročne</w:t>
      </w:r>
      <w:r w:rsidRPr="004E6412">
        <w:rPr>
          <w:rFonts w:ascii="Times New Roman" w:hAnsi="Times New Roman"/>
        </w:rPr>
        <w:t xml:space="preserve"> konkurentnosti i</w:t>
      </w:r>
      <w:r w:rsidR="00D47360" w:rsidRPr="004E6412">
        <w:rPr>
          <w:rFonts w:ascii="Times New Roman" w:hAnsi="Times New Roman"/>
        </w:rPr>
        <w:t xml:space="preserve"> održivog ekonomskog razvoja. Temelji se na četiri</w:t>
      </w:r>
      <w:r w:rsidRPr="004E6412">
        <w:rPr>
          <w:rFonts w:ascii="Times New Roman" w:hAnsi="Times New Roman"/>
        </w:rPr>
        <w:t xml:space="preserve"> ključna područja:</w:t>
      </w:r>
    </w:p>
    <w:p w:rsidR="001671CF" w:rsidRPr="004E6412" w:rsidRDefault="001671CF" w:rsidP="00B15A78">
      <w:pPr>
        <w:pStyle w:val="ListParagraph"/>
        <w:numPr>
          <w:ilvl w:val="1"/>
          <w:numId w:val="179"/>
        </w:numPr>
        <w:shd w:val="clear" w:color="auto" w:fill="FFFFFF"/>
        <w:spacing w:after="0"/>
        <w:outlineLvl w:val="1"/>
        <w:rPr>
          <w:rFonts w:ascii="Times New Roman" w:hAnsi="Times New Roman"/>
          <w:kern w:val="36"/>
          <w:lang w:eastAsia="hr-HR"/>
        </w:rPr>
      </w:pPr>
      <w:r w:rsidRPr="004E6412">
        <w:rPr>
          <w:rFonts w:ascii="Times New Roman" w:hAnsi="Times New Roman"/>
          <w:kern w:val="36"/>
          <w:lang w:eastAsia="hr-HR"/>
        </w:rPr>
        <w:t>Strateški izbor i kritična masa kapitala  (</w:t>
      </w:r>
      <w:r w:rsidR="00505E21" w:rsidRPr="004E6412">
        <w:rPr>
          <w:rFonts w:ascii="Times New Roman" w:hAnsi="Times New Roman"/>
          <w:kern w:val="36"/>
          <w:lang w:eastAsia="hr-HR"/>
        </w:rPr>
        <w:t xml:space="preserve">engl. </w:t>
      </w:r>
      <w:r w:rsidRPr="004E6412">
        <w:rPr>
          <w:rFonts w:ascii="Times New Roman" w:hAnsi="Times New Roman"/>
          <w:b/>
          <w:i/>
          <w:kern w:val="36"/>
          <w:lang w:eastAsia="hr-HR"/>
        </w:rPr>
        <w:t>C</w:t>
      </w:r>
      <w:r w:rsidRPr="004E6412">
        <w:rPr>
          <w:rFonts w:ascii="Times New Roman" w:hAnsi="Times New Roman"/>
          <w:i/>
          <w:kern w:val="36"/>
          <w:lang w:eastAsia="hr-HR"/>
        </w:rPr>
        <w:t>hoices and critical mass</w:t>
      </w:r>
      <w:r w:rsidR="00D47360" w:rsidRPr="004E6412">
        <w:rPr>
          <w:rFonts w:ascii="Times New Roman" w:hAnsi="Times New Roman"/>
          <w:kern w:val="36"/>
          <w:lang w:eastAsia="hr-HR"/>
        </w:rPr>
        <w:t xml:space="preserve">) – </w:t>
      </w:r>
      <w:r w:rsidR="00B23457" w:rsidRPr="004E6412">
        <w:rPr>
          <w:rFonts w:ascii="Times New Roman" w:hAnsi="Times New Roman"/>
          <w:kern w:val="36"/>
          <w:lang w:eastAsia="hr-HR"/>
        </w:rPr>
        <w:t>p</w:t>
      </w:r>
      <w:r w:rsidR="00D47360" w:rsidRPr="004E6412">
        <w:rPr>
          <w:rFonts w:ascii="Times New Roman" w:hAnsi="Times New Roman"/>
          <w:kern w:val="36"/>
          <w:lang w:eastAsia="hr-HR"/>
        </w:rPr>
        <w:t>ozoran</w:t>
      </w:r>
      <w:r w:rsidRPr="004E6412">
        <w:rPr>
          <w:rFonts w:ascii="Times New Roman" w:hAnsi="Times New Roman"/>
          <w:kern w:val="36"/>
          <w:lang w:eastAsia="hr-HR"/>
        </w:rPr>
        <w:t xml:space="preserve"> odabir prioriteta temeljen na teritorijalnom kapitalu i pametnoj specijalizaciji</w:t>
      </w:r>
      <w:r w:rsidR="00D47360" w:rsidRPr="004E6412">
        <w:rPr>
          <w:rFonts w:ascii="Times New Roman" w:hAnsi="Times New Roman"/>
          <w:kern w:val="36"/>
          <w:lang w:eastAsia="hr-HR"/>
        </w:rPr>
        <w:t>;</w:t>
      </w:r>
    </w:p>
    <w:p w:rsidR="001671CF" w:rsidRPr="004E6412" w:rsidRDefault="00D47360" w:rsidP="00B15A78">
      <w:pPr>
        <w:numPr>
          <w:ilvl w:val="1"/>
          <w:numId w:val="179"/>
        </w:numPr>
        <w:shd w:val="clear" w:color="auto" w:fill="FFFFFF"/>
        <w:outlineLvl w:val="1"/>
        <w:rPr>
          <w:kern w:val="36"/>
          <w:sz w:val="22"/>
          <w:lang w:eastAsia="hr-HR"/>
        </w:rPr>
      </w:pPr>
      <w:r w:rsidRPr="004E6412">
        <w:rPr>
          <w:kern w:val="36"/>
          <w:sz w:val="22"/>
          <w:lang w:eastAsia="hr-HR"/>
        </w:rPr>
        <w:t>Konkurentna</w:t>
      </w:r>
      <w:r w:rsidR="001671CF" w:rsidRPr="004E6412">
        <w:rPr>
          <w:kern w:val="36"/>
          <w:sz w:val="22"/>
          <w:lang w:eastAsia="hr-HR"/>
        </w:rPr>
        <w:t xml:space="preserve"> prednost (</w:t>
      </w:r>
      <w:r w:rsidR="00505E21" w:rsidRPr="004E6412">
        <w:rPr>
          <w:kern w:val="36"/>
          <w:sz w:val="22"/>
          <w:lang w:eastAsia="hr-HR"/>
        </w:rPr>
        <w:t xml:space="preserve">engl. </w:t>
      </w:r>
      <w:r w:rsidR="001671CF" w:rsidRPr="004E6412">
        <w:rPr>
          <w:b/>
          <w:i/>
          <w:kern w:val="36"/>
          <w:sz w:val="22"/>
          <w:lang w:eastAsia="hr-HR"/>
        </w:rPr>
        <w:t>C</w:t>
      </w:r>
      <w:r w:rsidR="001671CF" w:rsidRPr="004E6412">
        <w:rPr>
          <w:i/>
          <w:kern w:val="36"/>
          <w:sz w:val="22"/>
          <w:lang w:eastAsia="hr-HR"/>
        </w:rPr>
        <w:t>ompetitive advantage</w:t>
      </w:r>
      <w:r w:rsidRPr="004E6412">
        <w:rPr>
          <w:kern w:val="36"/>
          <w:sz w:val="22"/>
          <w:lang w:eastAsia="hr-HR"/>
        </w:rPr>
        <w:t xml:space="preserve">) – primjerice </w:t>
      </w:r>
      <w:r w:rsidR="00B23457" w:rsidRPr="004E6412">
        <w:rPr>
          <w:kern w:val="36"/>
          <w:sz w:val="22"/>
          <w:lang w:eastAsia="hr-HR"/>
        </w:rPr>
        <w:t>povezivanje kapaciteta za istraživanje i razvoj</w:t>
      </w:r>
      <w:r w:rsidRPr="004E6412">
        <w:rPr>
          <w:kern w:val="36"/>
          <w:sz w:val="22"/>
          <w:lang w:eastAsia="hr-HR"/>
        </w:rPr>
        <w:t xml:space="preserve"> i inovacije s</w:t>
      </w:r>
      <w:r w:rsidR="001671CF" w:rsidRPr="004E6412">
        <w:rPr>
          <w:kern w:val="36"/>
          <w:sz w:val="22"/>
          <w:lang w:eastAsia="hr-HR"/>
        </w:rPr>
        <w:t xml:space="preserve"> potrebama gospodarstva</w:t>
      </w:r>
      <w:r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Klasteri i jača povezanost ključnih aktera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luster policies and Connectivity</w:t>
      </w:r>
      <w:r w:rsidR="00D47360" w:rsidRPr="004E6412">
        <w:rPr>
          <w:kern w:val="36"/>
          <w:sz w:val="22"/>
          <w:lang w:eastAsia="hr-HR"/>
        </w:rPr>
        <w:t xml:space="preserve">) - </w:t>
      </w:r>
      <w:r w:rsidRPr="004E6412">
        <w:rPr>
          <w:kern w:val="36"/>
          <w:sz w:val="22"/>
          <w:lang w:eastAsia="hr-HR"/>
        </w:rPr>
        <w:t xml:space="preserve"> </w:t>
      </w:r>
      <w:r w:rsidR="00B23457" w:rsidRPr="004E6412">
        <w:rPr>
          <w:kern w:val="36"/>
          <w:sz w:val="22"/>
          <w:lang w:eastAsia="hr-HR"/>
        </w:rPr>
        <w:t>r</w:t>
      </w:r>
      <w:r w:rsidRPr="004E6412">
        <w:rPr>
          <w:kern w:val="36"/>
          <w:sz w:val="22"/>
          <w:lang w:eastAsia="hr-HR"/>
        </w:rPr>
        <w:t>azvoj klastera i povezivanje privatnog sektora, znanosti i javnog sektora</w:t>
      </w:r>
      <w:r w:rsidR="00D47360"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 xml:space="preserve">Vodstvo u </w:t>
      </w:r>
      <w:r w:rsidR="00507399" w:rsidRPr="004E6412">
        <w:rPr>
          <w:kern w:val="36"/>
          <w:sz w:val="22"/>
          <w:lang w:eastAsia="hr-HR"/>
        </w:rPr>
        <w:t xml:space="preserve">zajedničkim </w:t>
      </w:r>
      <w:r w:rsidRPr="004E6412">
        <w:rPr>
          <w:kern w:val="36"/>
          <w:sz w:val="22"/>
          <w:lang w:eastAsia="hr-HR"/>
        </w:rPr>
        <w:t>projektima –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ollaborative leadership</w:t>
      </w:r>
      <w:r w:rsidR="00D47360" w:rsidRPr="004E6412">
        <w:rPr>
          <w:kern w:val="36"/>
          <w:sz w:val="22"/>
          <w:lang w:eastAsia="hr-HR"/>
        </w:rPr>
        <w:t>) – stvaranje učinkovitog</w:t>
      </w:r>
      <w:r w:rsidRPr="004E6412">
        <w:rPr>
          <w:kern w:val="36"/>
          <w:sz w:val="22"/>
          <w:lang w:eastAsia="hr-HR"/>
        </w:rPr>
        <w:t xml:space="preserve"> sustava temeljenog na privatnim i javnim part</w:t>
      </w:r>
      <w:r w:rsidR="004823E2" w:rsidRPr="004E6412">
        <w:rPr>
          <w:kern w:val="36"/>
          <w:sz w:val="22"/>
          <w:lang w:eastAsia="hr-HR"/>
        </w:rPr>
        <w:t>n</w:t>
      </w:r>
      <w:r w:rsidRPr="004E6412">
        <w:rPr>
          <w:kern w:val="36"/>
          <w:sz w:val="22"/>
          <w:lang w:eastAsia="hr-HR"/>
        </w:rPr>
        <w:t>erstvima</w:t>
      </w:r>
      <w:r w:rsidR="004823E2" w:rsidRPr="004E6412">
        <w:rPr>
          <w:kern w:val="36"/>
          <w:sz w:val="22"/>
          <w:lang w:eastAsia="hr-HR"/>
        </w:rPr>
        <w:t>.</w:t>
      </w:r>
    </w:p>
    <w:p w:rsidR="00985C31" w:rsidRPr="004E6412" w:rsidRDefault="00985C31" w:rsidP="00985C31">
      <w:pPr>
        <w:shd w:val="clear" w:color="auto" w:fill="FFFFFF"/>
        <w:spacing w:after="120"/>
        <w:outlineLvl w:val="1"/>
        <w:rPr>
          <w:kern w:val="36"/>
          <w:sz w:val="22"/>
          <w:lang w:eastAsia="hr-HR"/>
        </w:rPr>
      </w:pPr>
    </w:p>
    <w:p w:rsidR="005826AF" w:rsidRPr="004E6412" w:rsidRDefault="002F10E9" w:rsidP="003717F5">
      <w:pPr>
        <w:pStyle w:val="Heading4"/>
      </w:pPr>
      <w:r w:rsidRPr="004E6412">
        <w:t>Opseg i ograničenja europske industrijske politike</w:t>
      </w:r>
    </w:p>
    <w:p w:rsidR="00E21AD1" w:rsidRPr="004E6412" w:rsidRDefault="00B32EC7" w:rsidP="00B15A78">
      <w:pPr>
        <w:numPr>
          <w:ilvl w:val="0"/>
          <w:numId w:val="132"/>
        </w:numPr>
        <w:rPr>
          <w:kern w:val="36"/>
          <w:sz w:val="22"/>
          <w:lang w:eastAsia="hr-HR"/>
        </w:rPr>
      </w:pPr>
      <w:r w:rsidRPr="004E6412">
        <w:rPr>
          <w:sz w:val="22"/>
        </w:rPr>
        <w:t>Europska komisija</w:t>
      </w:r>
      <w:r w:rsidR="00545A0E" w:rsidRPr="004E6412">
        <w:rPr>
          <w:sz w:val="22"/>
        </w:rPr>
        <w:t xml:space="preserve"> je u 2012.</w:t>
      </w:r>
      <w:r w:rsidR="005B7C5E" w:rsidRPr="004E6412">
        <w:rPr>
          <w:sz w:val="22"/>
        </w:rPr>
        <w:t xml:space="preserve"> </w:t>
      </w:r>
      <w:r w:rsidR="00D656A4" w:rsidRPr="004E6412">
        <w:rPr>
          <w:sz w:val="22"/>
        </w:rPr>
        <w:t>godini definirala</w:t>
      </w:r>
      <w:r w:rsidR="005B7C5E" w:rsidRPr="004E6412">
        <w:rPr>
          <w:sz w:val="22"/>
        </w:rPr>
        <w:t xml:space="preserve"> </w:t>
      </w:r>
      <w:r w:rsidR="00545A0E" w:rsidRPr="004E6412">
        <w:rPr>
          <w:sz w:val="22"/>
        </w:rPr>
        <w:t>skup područja i aktivnosti za poticanje</w:t>
      </w:r>
      <w:r w:rsidR="005B7C5E" w:rsidRPr="004E6412">
        <w:rPr>
          <w:sz w:val="22"/>
        </w:rPr>
        <w:t xml:space="preserve"> konkurentnost</w:t>
      </w:r>
      <w:r w:rsidR="00545A0E" w:rsidRPr="004E6412">
        <w:rPr>
          <w:sz w:val="22"/>
        </w:rPr>
        <w:t>i</w:t>
      </w:r>
      <w:r w:rsidR="00D656A4" w:rsidRPr="004E6412">
        <w:rPr>
          <w:sz w:val="22"/>
        </w:rPr>
        <w:t xml:space="preserve"> industrije, usmjeravajući</w:t>
      </w:r>
      <w:r w:rsidRPr="004E6412">
        <w:rPr>
          <w:sz w:val="22"/>
        </w:rPr>
        <w:t xml:space="preserve"> se pri tome</w:t>
      </w:r>
      <w:r w:rsidR="005B7C5E" w:rsidRPr="004E6412">
        <w:rPr>
          <w:sz w:val="22"/>
        </w:rPr>
        <w:t xml:space="preserve"> na uspostavljanje partnerstva i suradnje između EU</w:t>
      </w:r>
      <w:r w:rsidR="00D656A4" w:rsidRPr="004E6412">
        <w:rPr>
          <w:sz w:val="22"/>
        </w:rPr>
        <w:t>-a</w:t>
      </w:r>
      <w:r w:rsidR="005B7C5E" w:rsidRPr="004E6412">
        <w:rPr>
          <w:sz w:val="22"/>
        </w:rPr>
        <w:t>, nje</w:t>
      </w:r>
      <w:r w:rsidR="00D656A4" w:rsidRPr="004E6412">
        <w:rPr>
          <w:sz w:val="22"/>
        </w:rPr>
        <w:t>zi</w:t>
      </w:r>
      <w:r w:rsidR="005B7C5E" w:rsidRPr="004E6412">
        <w:rPr>
          <w:sz w:val="22"/>
        </w:rPr>
        <w:t>nih članica i industrije kako bi poboljšala uvjete poslovanja i dramatično povećala investicije u nove tehnologije.</w:t>
      </w:r>
      <w:r w:rsidRPr="004E6412">
        <w:rPr>
          <w:sz w:val="22"/>
        </w:rPr>
        <w:t xml:space="preserve"> Skupni prikaz područja djelovanja Europske komisije prikazan je u Tabl</w:t>
      </w:r>
      <w:r w:rsidR="00D656A4" w:rsidRPr="004E6412">
        <w:rPr>
          <w:sz w:val="22"/>
        </w:rPr>
        <w:t>ici 29</w:t>
      </w:r>
      <w:r w:rsidR="00DC21FD" w:rsidRPr="004E6412">
        <w:rPr>
          <w:sz w:val="22"/>
        </w:rPr>
        <w:t>.</w:t>
      </w:r>
    </w:p>
    <w:p w:rsidR="00E21AD1" w:rsidRPr="004E6412" w:rsidRDefault="00E21AD1" w:rsidP="00505E21">
      <w:pPr>
        <w:rPr>
          <w:kern w:val="36"/>
          <w:sz w:val="22"/>
          <w:lang w:eastAsia="hr-HR"/>
        </w:rPr>
      </w:pPr>
    </w:p>
    <w:p w:rsidR="00505E21" w:rsidRPr="007D0CFD" w:rsidRDefault="00035C7B" w:rsidP="007D0CFD">
      <w:pPr>
        <w:pStyle w:val="Heading5"/>
        <w:rPr>
          <w:rStyle w:val="IntenseEmphasis"/>
          <w:b/>
          <w:bCs w:val="0"/>
          <w:iCs w:val="0"/>
          <w:color w:val="548DD4" w:themeColor="text2" w:themeTint="99"/>
          <w:sz w:val="20"/>
        </w:rPr>
      </w:pPr>
      <w:bookmarkStart w:id="199" w:name="_Toc377551041"/>
      <w:bookmarkStart w:id="200" w:name="_Toc377635230"/>
      <w:r w:rsidRPr="007D0CFD">
        <w:rPr>
          <w:rStyle w:val="IntenseEmphasis"/>
          <w:b/>
          <w:bCs w:val="0"/>
          <w:iCs w:val="0"/>
          <w:color w:val="548DD4" w:themeColor="text2" w:themeTint="99"/>
          <w:sz w:val="20"/>
        </w:rPr>
        <w:t>Tablica 29</w:t>
      </w:r>
      <w:r w:rsidR="00505E21" w:rsidRPr="007D0CFD">
        <w:rPr>
          <w:rStyle w:val="IntenseEmphasis"/>
          <w:b/>
          <w:bCs w:val="0"/>
          <w:iCs w:val="0"/>
          <w:color w:val="548DD4" w:themeColor="text2" w:themeTint="99"/>
          <w:sz w:val="20"/>
        </w:rPr>
        <w:t>. Područja aktivnosti Europske komisije za poticanje konkurentnosti industrije</w:t>
      </w:r>
      <w:bookmarkEnd w:id="199"/>
      <w:bookmarkEnd w:id="20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0" w:type="dxa"/>
        </w:tblCellMar>
        <w:tblLook w:val="04A0" w:firstRow="1" w:lastRow="0" w:firstColumn="1" w:lastColumn="0" w:noHBand="0" w:noVBand="1"/>
      </w:tblPr>
      <w:tblGrid>
        <w:gridCol w:w="900"/>
        <w:gridCol w:w="1014"/>
        <w:gridCol w:w="7218"/>
      </w:tblGrid>
      <w:tr w:rsidR="003C1346" w:rsidRPr="004E6412" w:rsidTr="0097195F">
        <w:trPr>
          <w:cantSplit/>
          <w:trHeight w:val="2449"/>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rPr>
                <w:sz w:val="22"/>
              </w:rPr>
            </w:pPr>
            <w:r w:rsidRPr="004E6412">
              <w:rPr>
                <w:sz w:val="22"/>
              </w:rPr>
              <w:t xml:space="preserve">Olakšavanje ulaganja u tehnologije i inovacije </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 xml:space="preserve">Prioritetni pravci djelovanja </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Napredne proizvodne tehnologije za čistu proizvodnju</w:t>
            </w:r>
          </w:p>
          <w:p w:rsidR="003C1346" w:rsidRPr="004E6412" w:rsidRDefault="003C1346" w:rsidP="0097195F">
            <w:pPr>
              <w:numPr>
                <w:ilvl w:val="0"/>
                <w:numId w:val="178"/>
              </w:numPr>
              <w:jc w:val="left"/>
              <w:rPr>
                <w:sz w:val="22"/>
              </w:rPr>
            </w:pPr>
            <w:r w:rsidRPr="004E6412">
              <w:rPr>
                <w:i/>
                <w:sz w:val="22"/>
              </w:rPr>
              <w:t>Key enabling technologies</w:t>
            </w:r>
            <w:r w:rsidRPr="004E6412">
              <w:rPr>
                <w:sz w:val="22"/>
              </w:rPr>
              <w:t xml:space="preserve"> (KET)</w:t>
            </w:r>
          </w:p>
          <w:p w:rsidR="003C1346" w:rsidRPr="004E6412" w:rsidRDefault="003C1346" w:rsidP="0097195F">
            <w:pPr>
              <w:numPr>
                <w:ilvl w:val="0"/>
                <w:numId w:val="178"/>
              </w:numPr>
              <w:jc w:val="left"/>
              <w:rPr>
                <w:sz w:val="22"/>
              </w:rPr>
            </w:pPr>
            <w:r w:rsidRPr="004E6412">
              <w:rPr>
                <w:sz w:val="22"/>
              </w:rPr>
              <w:t>Biološki proizvodi</w:t>
            </w:r>
          </w:p>
          <w:p w:rsidR="003C1346" w:rsidRPr="004E6412" w:rsidRDefault="003C1346" w:rsidP="0097195F">
            <w:pPr>
              <w:numPr>
                <w:ilvl w:val="0"/>
                <w:numId w:val="178"/>
              </w:numPr>
              <w:jc w:val="left"/>
              <w:rPr>
                <w:sz w:val="22"/>
              </w:rPr>
            </w:pPr>
            <w:r w:rsidRPr="004E6412">
              <w:rPr>
                <w:sz w:val="22"/>
              </w:rPr>
              <w:t>Održiva industrijska politika, izgradnja i sirovine</w:t>
            </w:r>
          </w:p>
          <w:p w:rsidR="003C1346" w:rsidRPr="004E6412" w:rsidRDefault="003C1346" w:rsidP="0097195F">
            <w:pPr>
              <w:numPr>
                <w:ilvl w:val="0"/>
                <w:numId w:val="178"/>
              </w:numPr>
              <w:jc w:val="left"/>
              <w:rPr>
                <w:sz w:val="22"/>
              </w:rPr>
            </w:pPr>
            <w:r w:rsidRPr="004E6412">
              <w:rPr>
                <w:sz w:val="22"/>
              </w:rPr>
              <w:t xml:space="preserve">Čisti prijevoz </w:t>
            </w:r>
          </w:p>
          <w:p w:rsidR="003C1346" w:rsidRPr="004E6412" w:rsidRDefault="003C1346" w:rsidP="0097195F">
            <w:pPr>
              <w:numPr>
                <w:ilvl w:val="0"/>
                <w:numId w:val="178"/>
              </w:numPr>
              <w:jc w:val="left"/>
              <w:rPr>
                <w:sz w:val="22"/>
              </w:rPr>
            </w:pPr>
            <w:r w:rsidRPr="004E6412">
              <w:rPr>
                <w:sz w:val="22"/>
              </w:rPr>
              <w:t>Pametne mreže</w:t>
            </w:r>
          </w:p>
        </w:tc>
      </w:tr>
      <w:tr w:rsidR="003C1346" w:rsidRPr="004E6412" w:rsidTr="0097195F">
        <w:trPr>
          <w:cantSplit/>
          <w:trHeight w:val="2186"/>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Prateće mjere</w:t>
            </w:r>
          </w:p>
        </w:tc>
        <w:tc>
          <w:tcPr>
            <w:tcW w:w="3952" w:type="pct"/>
            <w:shd w:val="clear" w:color="auto" w:fill="auto"/>
            <w:vAlign w:val="center"/>
          </w:tcPr>
          <w:p w:rsidR="003C1346" w:rsidRPr="004E6412" w:rsidRDefault="00CD4441" w:rsidP="0097195F">
            <w:pPr>
              <w:numPr>
                <w:ilvl w:val="0"/>
                <w:numId w:val="178"/>
              </w:numPr>
              <w:jc w:val="left"/>
              <w:rPr>
                <w:sz w:val="22"/>
              </w:rPr>
            </w:pPr>
            <w:r>
              <w:rPr>
                <w:sz w:val="22"/>
              </w:rPr>
              <w:t>Poticanje potražnjom vođenih</w:t>
            </w:r>
            <w:r w:rsidR="003C1346" w:rsidRPr="004E6412">
              <w:rPr>
                <w:sz w:val="22"/>
              </w:rPr>
              <w:t xml:space="preserve"> inovacija</w:t>
            </w:r>
          </w:p>
          <w:p w:rsidR="003C1346" w:rsidRPr="004E6412" w:rsidRDefault="003C1346" w:rsidP="0097195F">
            <w:pPr>
              <w:numPr>
                <w:ilvl w:val="0"/>
                <w:numId w:val="178"/>
              </w:numPr>
              <w:jc w:val="left"/>
              <w:rPr>
                <w:sz w:val="22"/>
              </w:rPr>
            </w:pPr>
            <w:r w:rsidRPr="004E6412">
              <w:rPr>
                <w:sz w:val="22"/>
              </w:rPr>
              <w:t>Poticanje vještina</w:t>
            </w:r>
          </w:p>
          <w:p w:rsidR="003C1346" w:rsidRPr="004E6412" w:rsidRDefault="003C1346" w:rsidP="0097195F">
            <w:pPr>
              <w:numPr>
                <w:ilvl w:val="0"/>
                <w:numId w:val="178"/>
              </w:numPr>
              <w:jc w:val="left"/>
              <w:rPr>
                <w:sz w:val="22"/>
              </w:rPr>
            </w:pPr>
            <w:r w:rsidRPr="004E6412">
              <w:rPr>
                <w:sz w:val="22"/>
              </w:rPr>
              <w:t>Koordinacija istraživanja i razvoja među zemljama EU</w:t>
            </w:r>
            <w:r w:rsidR="00D656A4" w:rsidRPr="004E6412">
              <w:rPr>
                <w:sz w:val="22"/>
              </w:rPr>
              <w:t>-a</w:t>
            </w:r>
          </w:p>
          <w:p w:rsidR="003C1346" w:rsidRPr="004E6412" w:rsidRDefault="003C1346" w:rsidP="0097195F">
            <w:pPr>
              <w:numPr>
                <w:ilvl w:val="0"/>
                <w:numId w:val="178"/>
              </w:numPr>
              <w:jc w:val="left"/>
              <w:rPr>
                <w:sz w:val="22"/>
              </w:rPr>
            </w:pPr>
            <w:r w:rsidRPr="004E6412">
              <w:rPr>
                <w:sz w:val="22"/>
              </w:rPr>
              <w:t>Šira upotreba dizajna kao i drugih netehnoloških inovacija</w:t>
            </w:r>
          </w:p>
          <w:p w:rsidR="003C1346" w:rsidRPr="004E6412" w:rsidRDefault="003C1346" w:rsidP="0097195F">
            <w:pPr>
              <w:numPr>
                <w:ilvl w:val="0"/>
                <w:numId w:val="178"/>
              </w:numPr>
              <w:jc w:val="left"/>
              <w:rPr>
                <w:sz w:val="22"/>
              </w:rPr>
            </w:pPr>
            <w:r w:rsidRPr="004E6412">
              <w:rPr>
                <w:sz w:val="22"/>
              </w:rPr>
              <w:t>Kreativne industrije</w:t>
            </w:r>
          </w:p>
        </w:tc>
      </w:tr>
      <w:tr w:rsidR="003C1346" w:rsidRPr="004E6412" w:rsidTr="0097195F">
        <w:trPr>
          <w:cantSplit/>
          <w:trHeight w:val="3734"/>
          <w:jc w:val="center"/>
        </w:trPr>
        <w:tc>
          <w:tcPr>
            <w:tcW w:w="493" w:type="pc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lastRenderedPageBreak/>
              <w:t xml:space="preserve">Pristup tržištima </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Unaprjeđenje unutarnjeg</w:t>
            </w:r>
            <w:r w:rsidR="003C1346" w:rsidRPr="004E6412">
              <w:rPr>
                <w:sz w:val="22"/>
              </w:rPr>
              <w:t xml:space="preserve"> tržišta proizvoda</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 xml:space="preserve">Ocjena </w:t>
            </w:r>
            <w:r w:rsidR="004823E2" w:rsidRPr="004E6412">
              <w:rPr>
                <w:sz w:val="22"/>
              </w:rPr>
              <w:t>svrsishodnosti</w:t>
            </w:r>
            <w:r w:rsidRPr="004E6412">
              <w:rPr>
                <w:sz w:val="22"/>
              </w:rPr>
              <w:t xml:space="preserve"> regulatornog okvira</w:t>
            </w:r>
          </w:p>
          <w:p w:rsidR="003C1346" w:rsidRPr="004E6412" w:rsidRDefault="00F6188F" w:rsidP="0097195F">
            <w:pPr>
              <w:numPr>
                <w:ilvl w:val="0"/>
                <w:numId w:val="178"/>
              </w:numPr>
              <w:jc w:val="left"/>
              <w:rPr>
                <w:sz w:val="22"/>
              </w:rPr>
            </w:pPr>
            <w:r w:rsidRPr="004E6412">
              <w:rPr>
                <w:sz w:val="22"/>
              </w:rPr>
              <w:t>Bolje funkcioniranje unutarnjeg</w:t>
            </w:r>
            <w:r w:rsidR="003C1346" w:rsidRPr="004E6412">
              <w:rPr>
                <w:sz w:val="22"/>
              </w:rPr>
              <w:t xml:space="preserve"> tržišta proizvoda</w:t>
            </w:r>
          </w:p>
          <w:p w:rsidR="003C1346" w:rsidRPr="004E6412" w:rsidRDefault="003C1346" w:rsidP="0097195F">
            <w:pPr>
              <w:numPr>
                <w:ilvl w:val="0"/>
                <w:numId w:val="178"/>
              </w:numPr>
              <w:jc w:val="left"/>
              <w:rPr>
                <w:sz w:val="22"/>
              </w:rPr>
            </w:pPr>
            <w:r w:rsidRPr="004E6412">
              <w:rPr>
                <w:sz w:val="22"/>
              </w:rPr>
              <w:t>Poboljšanje EU okvira za nadzor tržišta</w:t>
            </w:r>
          </w:p>
          <w:p w:rsidR="003C1346" w:rsidRPr="004E6412" w:rsidRDefault="00D656A4" w:rsidP="0097195F">
            <w:pPr>
              <w:numPr>
                <w:ilvl w:val="0"/>
                <w:numId w:val="178"/>
              </w:numPr>
              <w:jc w:val="left"/>
              <w:rPr>
                <w:sz w:val="22"/>
              </w:rPr>
            </w:pPr>
            <w:r w:rsidRPr="004E6412">
              <w:rPr>
                <w:sz w:val="22"/>
              </w:rPr>
              <w:t>Povećanje učinkovitosti</w:t>
            </w:r>
            <w:r w:rsidR="003C1346" w:rsidRPr="004E6412">
              <w:rPr>
                <w:sz w:val="22"/>
              </w:rPr>
              <w:t xml:space="preserve"> sektora obrane </w:t>
            </w:r>
          </w:p>
          <w:p w:rsidR="003C1346" w:rsidRPr="004E6412" w:rsidRDefault="00D656A4" w:rsidP="0097195F">
            <w:pPr>
              <w:numPr>
                <w:ilvl w:val="0"/>
                <w:numId w:val="178"/>
              </w:numPr>
              <w:jc w:val="left"/>
              <w:rPr>
                <w:sz w:val="22"/>
              </w:rPr>
            </w:pPr>
            <w:r w:rsidRPr="004E6412">
              <w:rPr>
                <w:sz w:val="22"/>
              </w:rPr>
              <w:t>Poticanje zemalja članica na</w:t>
            </w:r>
            <w:r w:rsidR="003C1346" w:rsidRPr="004E6412">
              <w:rPr>
                <w:sz w:val="22"/>
              </w:rPr>
              <w:t xml:space="preserve"> uvođenje procjene utjecaja i dokazivanja konkurentnosti  </w:t>
            </w:r>
          </w:p>
          <w:p w:rsidR="003C1346" w:rsidRPr="004E6412" w:rsidRDefault="003C1346" w:rsidP="0097195F">
            <w:pPr>
              <w:numPr>
                <w:ilvl w:val="0"/>
                <w:numId w:val="178"/>
              </w:numPr>
              <w:jc w:val="left"/>
              <w:rPr>
                <w:sz w:val="22"/>
              </w:rPr>
            </w:pPr>
            <w:r w:rsidRPr="004E6412">
              <w:rPr>
                <w:sz w:val="22"/>
              </w:rPr>
              <w:t>Koordinacija metodologi</w:t>
            </w:r>
            <w:r w:rsidR="00D656A4" w:rsidRPr="004E6412">
              <w:rPr>
                <w:sz w:val="22"/>
              </w:rPr>
              <w:t>ja za određivanje cijena</w:t>
            </w:r>
            <w:r w:rsidRPr="004E6412">
              <w:rPr>
                <w:sz w:val="22"/>
              </w:rPr>
              <w:t xml:space="preserve"> medicinskih proizvoda</w:t>
            </w:r>
          </w:p>
          <w:p w:rsidR="003C1346" w:rsidRPr="004E6412" w:rsidRDefault="00AE7A30" w:rsidP="0097195F">
            <w:pPr>
              <w:numPr>
                <w:ilvl w:val="0"/>
                <w:numId w:val="178"/>
              </w:numPr>
              <w:jc w:val="left"/>
              <w:rPr>
                <w:sz w:val="22"/>
              </w:rPr>
            </w:pPr>
            <w:r w:rsidRPr="004E6412">
              <w:rPr>
                <w:sz w:val="22"/>
              </w:rPr>
              <w:t>Unaprjeđenje unutarnjeg</w:t>
            </w:r>
            <w:r w:rsidR="003C1346" w:rsidRPr="004E6412">
              <w:rPr>
                <w:sz w:val="22"/>
              </w:rPr>
              <w:t xml:space="preserve"> tržišta poslovnih usluga</w:t>
            </w:r>
          </w:p>
        </w:tc>
      </w:tr>
      <w:tr w:rsidR="003C1346" w:rsidRPr="004E6412" w:rsidTr="0097195F">
        <w:trPr>
          <w:trHeight w:val="2034"/>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(nastavljeno)</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Poticanje poduzetništva</w:t>
            </w:r>
            <w:r w:rsidR="00D656A4" w:rsidRPr="004E6412">
              <w:rPr>
                <w:sz w:val="22"/>
              </w:rPr>
              <w:t xml:space="preserve"> kako bi se dinamiziralo unutarnje</w:t>
            </w:r>
            <w:r w:rsidRPr="004E6412">
              <w:rPr>
                <w:sz w:val="22"/>
              </w:rPr>
              <w:t xml:space="preserve"> tržište</w:t>
            </w:r>
          </w:p>
        </w:tc>
        <w:tc>
          <w:tcPr>
            <w:tcW w:w="3952" w:type="pct"/>
            <w:shd w:val="clear" w:color="auto" w:fill="auto"/>
            <w:vAlign w:val="center"/>
          </w:tcPr>
          <w:p w:rsidR="003C1346" w:rsidRPr="004E6412" w:rsidRDefault="004823E2" w:rsidP="0097195F">
            <w:pPr>
              <w:numPr>
                <w:ilvl w:val="0"/>
                <w:numId w:val="177"/>
              </w:numPr>
              <w:jc w:val="left"/>
              <w:rPr>
                <w:sz w:val="22"/>
              </w:rPr>
            </w:pPr>
            <w:r w:rsidRPr="004E6412">
              <w:rPr>
                <w:sz w:val="22"/>
              </w:rPr>
              <w:t>Poticanje</w:t>
            </w:r>
            <w:r w:rsidR="003C1346" w:rsidRPr="004E6412">
              <w:rPr>
                <w:sz w:val="22"/>
              </w:rPr>
              <w:t xml:space="preserve"> rasta </w:t>
            </w:r>
            <w:r w:rsidR="00D656A4" w:rsidRPr="004E6412">
              <w:rPr>
                <w:sz w:val="22"/>
              </w:rPr>
              <w:t>„</w:t>
            </w:r>
            <w:r w:rsidR="003C1346" w:rsidRPr="004E6412">
              <w:rPr>
                <w:i/>
                <w:sz w:val="22"/>
              </w:rPr>
              <w:t>start-up</w:t>
            </w:r>
            <w:r w:rsidR="00D656A4" w:rsidRPr="004E6412">
              <w:rPr>
                <w:sz w:val="22"/>
              </w:rPr>
              <w:t>“</w:t>
            </w:r>
            <w:r w:rsidR="003C1346" w:rsidRPr="004E6412">
              <w:rPr>
                <w:sz w:val="22"/>
              </w:rPr>
              <w:t xml:space="preserve"> tvrtki i osiguranje potpora poduzeći</w:t>
            </w:r>
            <w:r w:rsidR="00D656A4" w:rsidRPr="004E6412">
              <w:rPr>
                <w:sz w:val="22"/>
              </w:rPr>
              <w:t>ma u ranoj fazi razvoja, prijenos poslovanja i učinkovite</w:t>
            </w:r>
            <w:r w:rsidR="003C1346" w:rsidRPr="004E6412">
              <w:rPr>
                <w:sz w:val="22"/>
              </w:rPr>
              <w:t xml:space="preserve"> procedure bankrota</w:t>
            </w:r>
          </w:p>
          <w:p w:rsidR="003C1346" w:rsidRPr="004E6412" w:rsidRDefault="003C1346" w:rsidP="0097195F">
            <w:pPr>
              <w:numPr>
                <w:ilvl w:val="0"/>
                <w:numId w:val="177"/>
              </w:numPr>
              <w:jc w:val="left"/>
              <w:rPr>
                <w:sz w:val="22"/>
              </w:rPr>
            </w:pPr>
            <w:r w:rsidRPr="004E6412">
              <w:rPr>
                <w:sz w:val="22"/>
              </w:rPr>
              <w:t>Stimuliranje primjene digitalnih tehnologija i elektroničke trgovine</w:t>
            </w:r>
          </w:p>
        </w:tc>
      </w:tr>
      <w:tr w:rsidR="003C1346" w:rsidRPr="004E6412" w:rsidTr="0097195F">
        <w:trPr>
          <w:trHeight w:val="2074"/>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Unutarnje</w:t>
            </w:r>
            <w:r w:rsidR="003C1346" w:rsidRPr="004E6412">
              <w:rPr>
                <w:sz w:val="22"/>
              </w:rPr>
              <w:t xml:space="preserve"> tržište tehnologije, j</w:t>
            </w:r>
            <w:r w:rsidR="00E21AD1" w:rsidRPr="004E6412">
              <w:rPr>
                <w:sz w:val="22"/>
              </w:rPr>
              <w:t>edinstvena zaštita patenta i prava intelektualnog vlasništva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Kreiranje jedinstvene zaštite patenata na razini cijele EU</w:t>
            </w:r>
          </w:p>
          <w:p w:rsidR="003C1346" w:rsidRPr="004E6412" w:rsidRDefault="003C1346" w:rsidP="0097195F">
            <w:pPr>
              <w:numPr>
                <w:ilvl w:val="0"/>
                <w:numId w:val="177"/>
              </w:numPr>
              <w:jc w:val="left"/>
              <w:rPr>
                <w:sz w:val="22"/>
              </w:rPr>
            </w:pPr>
            <w:r w:rsidRPr="004E6412">
              <w:rPr>
                <w:sz w:val="22"/>
              </w:rPr>
              <w:t>Istražiti računovodstvene metode za vrednovanje patenata</w:t>
            </w:r>
          </w:p>
          <w:p w:rsidR="003C1346" w:rsidRPr="004E6412" w:rsidRDefault="003C1346" w:rsidP="0097195F">
            <w:pPr>
              <w:numPr>
                <w:ilvl w:val="0"/>
                <w:numId w:val="177"/>
              </w:numPr>
              <w:jc w:val="left"/>
              <w:rPr>
                <w:sz w:val="22"/>
              </w:rPr>
            </w:pPr>
            <w:r w:rsidRPr="004E6412">
              <w:rPr>
                <w:sz w:val="22"/>
              </w:rPr>
              <w:t xml:space="preserve">Optimiranje korištenja i zaštita poslovnih tajni </w:t>
            </w:r>
          </w:p>
          <w:p w:rsidR="003C1346" w:rsidRPr="004E6412" w:rsidRDefault="00D656A4" w:rsidP="0097195F">
            <w:pPr>
              <w:numPr>
                <w:ilvl w:val="0"/>
                <w:numId w:val="177"/>
              </w:numPr>
              <w:jc w:val="left"/>
              <w:rPr>
                <w:sz w:val="22"/>
              </w:rPr>
            </w:pPr>
            <w:r w:rsidRPr="004E6412">
              <w:rPr>
                <w:sz w:val="22"/>
              </w:rPr>
              <w:t>Unaprjeđenje ugrađivanja</w:t>
            </w:r>
            <w:r w:rsidR="003C1346" w:rsidRPr="004E6412">
              <w:rPr>
                <w:sz w:val="22"/>
              </w:rPr>
              <w:t xml:space="preserve"> prava intelek</w:t>
            </w:r>
            <w:r w:rsidRPr="004E6412">
              <w:rPr>
                <w:sz w:val="22"/>
              </w:rPr>
              <w:t>tualnog vlasništva u standarde</w:t>
            </w:r>
            <w:r w:rsidR="003C1346" w:rsidRPr="004E6412">
              <w:rPr>
                <w:sz w:val="22"/>
              </w:rPr>
              <w:t xml:space="preserve"> </w:t>
            </w:r>
          </w:p>
          <w:p w:rsidR="003C1346" w:rsidRPr="004E6412" w:rsidRDefault="003C1346" w:rsidP="0097195F">
            <w:pPr>
              <w:numPr>
                <w:ilvl w:val="0"/>
                <w:numId w:val="177"/>
              </w:numPr>
              <w:jc w:val="left"/>
              <w:rPr>
                <w:sz w:val="22"/>
              </w:rPr>
            </w:pPr>
            <w:r w:rsidRPr="004E6412">
              <w:rPr>
                <w:sz w:val="22"/>
              </w:rPr>
              <w:t xml:space="preserve">Razvoj „diplomacije za sirovine“/promoviranje međunarodne regulatorne suradnje i konvergencije </w:t>
            </w:r>
          </w:p>
          <w:p w:rsidR="003C1346" w:rsidRPr="004E6412" w:rsidRDefault="003C1346" w:rsidP="0097195F">
            <w:pPr>
              <w:numPr>
                <w:ilvl w:val="0"/>
                <w:numId w:val="177"/>
              </w:numPr>
              <w:jc w:val="left"/>
              <w:rPr>
                <w:sz w:val="22"/>
              </w:rPr>
            </w:pPr>
            <w:r w:rsidRPr="004E6412">
              <w:rPr>
                <w:sz w:val="22"/>
              </w:rPr>
              <w:t>Potaknuti provedbu zaštite prava intelektualnog vlasništva u trećim zemljama</w:t>
            </w:r>
          </w:p>
        </w:tc>
      </w:tr>
      <w:tr w:rsidR="003C1346" w:rsidRPr="004E6412" w:rsidTr="0097195F">
        <w:trPr>
          <w:trHeight w:val="2287"/>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financiranju i tržištu kapitala</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Podrška javnog sektora za olakšavanje pristupa kapitalu</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Olakšati pristup EU financiranju</w:t>
            </w:r>
          </w:p>
          <w:p w:rsidR="003C1346" w:rsidRPr="004E6412" w:rsidRDefault="003C1346" w:rsidP="0097195F">
            <w:pPr>
              <w:numPr>
                <w:ilvl w:val="0"/>
                <w:numId w:val="177"/>
              </w:numPr>
              <w:jc w:val="left"/>
              <w:rPr>
                <w:sz w:val="22"/>
              </w:rPr>
            </w:pPr>
            <w:r w:rsidRPr="004E6412">
              <w:rPr>
                <w:sz w:val="22"/>
              </w:rPr>
              <w:t xml:space="preserve">Olakšati pristup financiranju malim i srednjim poduzećima </w:t>
            </w:r>
          </w:p>
        </w:tc>
      </w:tr>
      <w:tr w:rsidR="003C1346" w:rsidRPr="004E6412" w:rsidTr="0097195F">
        <w:trPr>
          <w:trHeight w:val="1781"/>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kapitala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Unaprijediti uvjete financiranja</w:t>
            </w:r>
          </w:p>
          <w:p w:rsidR="003C1346" w:rsidRPr="004E6412" w:rsidRDefault="00D656A4" w:rsidP="0097195F">
            <w:pPr>
              <w:numPr>
                <w:ilvl w:val="0"/>
                <w:numId w:val="177"/>
              </w:numPr>
              <w:jc w:val="left"/>
              <w:rPr>
                <w:sz w:val="22"/>
              </w:rPr>
            </w:pPr>
            <w:r w:rsidRPr="004E6412">
              <w:rPr>
                <w:sz w:val="22"/>
              </w:rPr>
              <w:t>Stvoriti</w:t>
            </w:r>
            <w:r w:rsidR="003C1346" w:rsidRPr="004E6412">
              <w:rPr>
                <w:sz w:val="22"/>
              </w:rPr>
              <w:t xml:space="preserve"> jedinstveno tržište za fondove rizičnog kapitala</w:t>
            </w:r>
          </w:p>
        </w:tc>
      </w:tr>
      <w:tr w:rsidR="003C1346" w:rsidRPr="004E6412" w:rsidTr="0097195F">
        <w:trPr>
          <w:trHeight w:val="1528"/>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Ključna uloga ljudskog kapitala</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Stvaranje</w:t>
            </w:r>
            <w:r w:rsidR="003C1346" w:rsidRPr="004E6412">
              <w:rPr>
                <w:sz w:val="22"/>
              </w:rPr>
              <w:t xml:space="preserve"> poslova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Reforma mreže europskog zavoda za zapošljavanje</w:t>
            </w:r>
          </w:p>
          <w:p w:rsidR="003C1346" w:rsidRPr="004E6412" w:rsidRDefault="003C1346" w:rsidP="0097195F">
            <w:pPr>
              <w:numPr>
                <w:ilvl w:val="0"/>
                <w:numId w:val="177"/>
              </w:numPr>
              <w:jc w:val="left"/>
              <w:rPr>
                <w:sz w:val="22"/>
              </w:rPr>
            </w:pPr>
            <w:r w:rsidRPr="004E6412">
              <w:rPr>
                <w:sz w:val="22"/>
              </w:rPr>
              <w:t>Pro</w:t>
            </w:r>
            <w:r w:rsidR="00D656A4" w:rsidRPr="004E6412">
              <w:rPr>
                <w:sz w:val="22"/>
              </w:rPr>
              <w:t>micanje pripravništva/izobrazbe</w:t>
            </w:r>
          </w:p>
        </w:tc>
      </w:tr>
      <w:tr w:rsidR="003C1346" w:rsidRPr="004E6412" w:rsidTr="0097195F">
        <w:trPr>
          <w:trHeight w:val="2540"/>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Investicije u vještine i izobr</w:t>
            </w:r>
            <w:r w:rsidR="00CB0C23" w:rsidRPr="004E6412">
              <w:rPr>
                <w:sz w:val="22"/>
              </w:rPr>
              <w:t>azbu</w:t>
            </w:r>
            <w:r w:rsidR="003C1346" w:rsidRPr="004E6412">
              <w:rPr>
                <w:sz w:val="22"/>
              </w:rPr>
              <w:t xml:space="preserve"> za praćenje strukturnih promjena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Unaprjeđenje podudaranja vještina i poslova</w:t>
            </w:r>
          </w:p>
          <w:p w:rsidR="003C1346" w:rsidRPr="004E6412" w:rsidRDefault="003C1346" w:rsidP="0097195F">
            <w:pPr>
              <w:numPr>
                <w:ilvl w:val="0"/>
                <w:numId w:val="177"/>
              </w:numPr>
              <w:jc w:val="left"/>
              <w:rPr>
                <w:sz w:val="22"/>
              </w:rPr>
            </w:pPr>
            <w:r w:rsidRPr="004E6412">
              <w:rPr>
                <w:sz w:val="22"/>
              </w:rPr>
              <w:t xml:space="preserve">Osiguranje bolje ponude vještina </w:t>
            </w:r>
          </w:p>
          <w:p w:rsidR="003C1346" w:rsidRPr="004E6412" w:rsidRDefault="003C1346" w:rsidP="0097195F">
            <w:pPr>
              <w:jc w:val="left"/>
              <w:rPr>
                <w:sz w:val="22"/>
              </w:rPr>
            </w:pPr>
          </w:p>
        </w:tc>
      </w:tr>
    </w:tbl>
    <w:p w:rsidR="00505E21" w:rsidRPr="004E6412" w:rsidRDefault="006D035F" w:rsidP="00505E21">
      <w:pPr>
        <w:rPr>
          <w:sz w:val="20"/>
          <w:szCs w:val="20"/>
        </w:rPr>
      </w:pPr>
      <w:r w:rsidRPr="004E6412">
        <w:rPr>
          <w:sz w:val="20"/>
          <w:szCs w:val="20"/>
        </w:rPr>
        <w:t>Izvor: Eu</w:t>
      </w:r>
      <w:r w:rsidR="00E21AD1" w:rsidRPr="004E6412">
        <w:rPr>
          <w:sz w:val="20"/>
          <w:szCs w:val="20"/>
        </w:rPr>
        <w:t>ropean Commission (2013) Industrial competitiveness of EU member states: some progress made, but many challenges still lay ahead</w:t>
      </w:r>
      <w:r w:rsidRPr="004E6412">
        <w:rPr>
          <w:sz w:val="20"/>
          <w:szCs w:val="20"/>
        </w:rPr>
        <w:t>, Brussels</w:t>
      </w:r>
      <w:r w:rsidR="00C75D6E" w:rsidRPr="004E6412">
        <w:rPr>
          <w:sz w:val="20"/>
          <w:szCs w:val="20"/>
        </w:rPr>
        <w:t>. Obrada autora</w:t>
      </w:r>
      <w:r w:rsidR="00CB0C23" w:rsidRPr="004E6412">
        <w:rPr>
          <w:sz w:val="20"/>
          <w:szCs w:val="20"/>
        </w:rPr>
        <w:t>.</w:t>
      </w:r>
    </w:p>
    <w:p w:rsidR="00B32EC7" w:rsidRPr="004E6412" w:rsidRDefault="00B32EC7" w:rsidP="00AF69C9">
      <w:pPr>
        <w:rPr>
          <w:kern w:val="36"/>
          <w:sz w:val="22"/>
          <w:lang w:eastAsia="hr-HR"/>
        </w:rPr>
      </w:pPr>
    </w:p>
    <w:p w:rsidR="00B32EC7" w:rsidRPr="004E6412" w:rsidRDefault="00B32EC7" w:rsidP="00B32EC7">
      <w:pPr>
        <w:rPr>
          <w:kern w:val="36"/>
          <w:sz w:val="22"/>
          <w:lang w:eastAsia="hr-HR"/>
        </w:rPr>
      </w:pPr>
    </w:p>
    <w:p w:rsidR="005826AF" w:rsidRPr="004E6412" w:rsidRDefault="005826AF" w:rsidP="00B15A78">
      <w:pPr>
        <w:numPr>
          <w:ilvl w:val="0"/>
          <w:numId w:val="132"/>
        </w:numPr>
        <w:rPr>
          <w:kern w:val="36"/>
          <w:sz w:val="22"/>
          <w:lang w:eastAsia="hr-HR"/>
        </w:rPr>
      </w:pPr>
      <w:r w:rsidRPr="004E6412">
        <w:rPr>
          <w:kern w:val="36"/>
          <w:sz w:val="22"/>
          <w:lang w:eastAsia="hr-HR"/>
        </w:rPr>
        <w:t xml:space="preserve">Opseg i ograničenja europske industrijske politike grafički su prikazani na </w:t>
      </w:r>
      <w:r w:rsidR="00351F5B" w:rsidRPr="004E6412">
        <w:rPr>
          <w:kern w:val="36"/>
          <w:sz w:val="22"/>
          <w:lang w:eastAsia="hr-HR"/>
        </w:rPr>
        <w:t>Slici 20</w:t>
      </w:r>
      <w:r w:rsidRPr="004E6412">
        <w:rPr>
          <w:kern w:val="36"/>
          <w:sz w:val="22"/>
          <w:lang w:eastAsia="hr-HR"/>
        </w:rPr>
        <w:t>.</w:t>
      </w:r>
    </w:p>
    <w:p w:rsidR="00755B73" w:rsidRPr="004E6412" w:rsidRDefault="00755B73" w:rsidP="00755B73">
      <w:pPr>
        <w:rPr>
          <w:sz w:val="22"/>
          <w:lang w:eastAsia="hr-HR"/>
        </w:rPr>
      </w:pPr>
    </w:p>
    <w:p w:rsidR="00EA6293" w:rsidRPr="004E6412" w:rsidRDefault="00EA6293" w:rsidP="00755B73">
      <w:pPr>
        <w:rPr>
          <w:sz w:val="22"/>
          <w:lang w:eastAsia="hr-HR"/>
        </w:rPr>
      </w:pPr>
    </w:p>
    <w:p w:rsidR="00400C76" w:rsidRPr="004E6412" w:rsidRDefault="00400C76" w:rsidP="00755B73">
      <w:pPr>
        <w:pStyle w:val="Subtitle"/>
        <w:rPr>
          <w:kern w:val="36"/>
          <w:lang w:val="hr-HR"/>
        </w:rPr>
      </w:pPr>
      <w:bookmarkStart w:id="201" w:name="_Toc377635344"/>
      <w:r w:rsidRPr="004E6412">
        <w:rPr>
          <w:kern w:val="36"/>
          <w:lang w:val="hr-HR"/>
        </w:rPr>
        <w:t xml:space="preserve">Slika </w:t>
      </w:r>
      <w:r w:rsidR="00351F5B" w:rsidRPr="004E6412">
        <w:rPr>
          <w:kern w:val="36"/>
          <w:lang w:val="hr-HR"/>
        </w:rPr>
        <w:t>20</w:t>
      </w:r>
      <w:r w:rsidR="00755B73" w:rsidRPr="004E6412">
        <w:rPr>
          <w:kern w:val="36"/>
          <w:lang w:val="hr-HR"/>
        </w:rPr>
        <w:t>.</w:t>
      </w:r>
      <w:r w:rsidRPr="004E6412">
        <w:rPr>
          <w:kern w:val="36"/>
          <w:lang w:val="hr-HR"/>
        </w:rPr>
        <w:t xml:space="preserve"> </w:t>
      </w:r>
      <w:r w:rsidR="00505E21" w:rsidRPr="004E6412">
        <w:rPr>
          <w:kern w:val="36"/>
          <w:lang w:val="hr-HR"/>
        </w:rPr>
        <w:t>Utjecaj</w:t>
      </w:r>
      <w:r w:rsidRPr="004E6412">
        <w:rPr>
          <w:kern w:val="36"/>
          <w:lang w:val="hr-HR"/>
        </w:rPr>
        <w:t xml:space="preserve"> europske industrijske politike</w:t>
      </w:r>
      <w:r w:rsidR="00505E21" w:rsidRPr="004E6412">
        <w:rPr>
          <w:kern w:val="36"/>
          <w:lang w:val="hr-HR"/>
        </w:rPr>
        <w:t xml:space="preserve"> na nacionalne industrijske politike</w:t>
      </w:r>
      <w:bookmarkEnd w:id="201"/>
    </w:p>
    <w:p w:rsidR="005826AF" w:rsidRPr="004E6412" w:rsidRDefault="001E199D" w:rsidP="002F10E9">
      <w:pPr>
        <w:rPr>
          <w:kern w:val="36"/>
          <w:lang w:eastAsia="hr-HR"/>
        </w:rPr>
      </w:pPr>
      <w:r w:rsidRPr="004E6412">
        <w:rPr>
          <w:noProof/>
          <w:kern w:val="36"/>
          <w:lang w:eastAsia="hr-HR"/>
        </w:rPr>
        <w:drawing>
          <wp:inline distT="0" distB="0" distL="0" distR="0" wp14:anchorId="2E310CE6" wp14:editId="2AC894F8">
            <wp:extent cx="5254140" cy="2301264"/>
            <wp:effectExtent l="76200" t="19050" r="99060" b="80010"/>
            <wp:docPr id="2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826AF" w:rsidRPr="004E6412" w:rsidRDefault="005826AF" w:rsidP="002F10E9">
      <w:pPr>
        <w:rPr>
          <w:kern w:val="36"/>
          <w:lang w:eastAsia="hr-HR"/>
        </w:rPr>
      </w:pPr>
    </w:p>
    <w:p w:rsidR="005826AF" w:rsidRPr="004E6412" w:rsidRDefault="001E199D" w:rsidP="002F10E9">
      <w:pPr>
        <w:rPr>
          <w:kern w:val="36"/>
          <w:lang w:eastAsia="hr-HR"/>
        </w:rPr>
      </w:pPr>
      <w:r w:rsidRPr="004E6412">
        <w:rPr>
          <w:noProof/>
          <w:kern w:val="36"/>
          <w:lang w:eastAsia="hr-HR"/>
        </w:rPr>
        <w:lastRenderedPageBreak/>
        <w:drawing>
          <wp:inline distT="0" distB="0" distL="0" distR="0" wp14:anchorId="6C07C5E8" wp14:editId="014050FE">
            <wp:extent cx="5479273" cy="4840985"/>
            <wp:effectExtent l="0" t="0" r="7620" b="0"/>
            <wp:docPr id="2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826AF" w:rsidRPr="004E6412" w:rsidRDefault="005826AF" w:rsidP="002F10E9">
      <w:pPr>
        <w:rPr>
          <w:kern w:val="36"/>
          <w:lang w:eastAsia="hr-HR"/>
        </w:rPr>
      </w:pPr>
    </w:p>
    <w:p w:rsidR="001671CF" w:rsidRPr="004E6412" w:rsidRDefault="001671CF" w:rsidP="001671CF">
      <w:pPr>
        <w:shd w:val="clear" w:color="auto" w:fill="FFFFFF"/>
        <w:spacing w:line="240" w:lineRule="auto"/>
        <w:outlineLvl w:val="1"/>
        <w:rPr>
          <w:b/>
          <w:kern w:val="36"/>
          <w:szCs w:val="24"/>
          <w:lang w:eastAsia="hr-HR"/>
        </w:rPr>
      </w:pPr>
    </w:p>
    <w:p w:rsidR="00DF3754" w:rsidRPr="004E6412" w:rsidRDefault="001671CF" w:rsidP="003717F5">
      <w:pPr>
        <w:pStyle w:val="Heading4"/>
      </w:pPr>
      <w:r w:rsidRPr="004E6412">
        <w:t>Iz</w:t>
      </w:r>
      <w:r w:rsidR="00CB0C23" w:rsidRPr="004E6412">
        <w:t>vori financiranja provedbe</w:t>
      </w:r>
      <w:r w:rsidRPr="004E6412">
        <w:t xml:space="preserve"> strategije </w:t>
      </w:r>
      <w:r w:rsidRPr="004E6412">
        <w:rPr>
          <w:i/>
        </w:rPr>
        <w:t>Europa 2020</w:t>
      </w:r>
    </w:p>
    <w:p w:rsidR="001671CF" w:rsidRPr="004E6412" w:rsidRDefault="001671CF" w:rsidP="00B15A78">
      <w:pPr>
        <w:numPr>
          <w:ilvl w:val="0"/>
          <w:numId w:val="138"/>
        </w:numPr>
        <w:shd w:val="clear" w:color="auto" w:fill="FFFFFF"/>
        <w:outlineLvl w:val="1"/>
        <w:rPr>
          <w:kern w:val="36"/>
          <w:sz w:val="22"/>
          <w:lang w:eastAsia="hr-HR"/>
        </w:rPr>
      </w:pPr>
      <w:r w:rsidRPr="004E6412">
        <w:rPr>
          <w:kern w:val="36"/>
          <w:sz w:val="22"/>
          <w:lang w:eastAsia="hr-HR"/>
        </w:rPr>
        <w:t>Za zemlje članice EU</w:t>
      </w:r>
      <w:r w:rsidR="00CB0C23" w:rsidRPr="004E6412">
        <w:rPr>
          <w:kern w:val="36"/>
          <w:sz w:val="22"/>
          <w:lang w:eastAsia="hr-HR"/>
        </w:rPr>
        <w:t>-a</w:t>
      </w:r>
      <w:r w:rsidRPr="004E6412">
        <w:rPr>
          <w:kern w:val="36"/>
          <w:sz w:val="22"/>
          <w:lang w:eastAsia="hr-HR"/>
        </w:rPr>
        <w:t xml:space="preserve"> glavni izvor financiranja </w:t>
      </w:r>
      <w:r w:rsidR="00505E21" w:rsidRPr="004E6412">
        <w:rPr>
          <w:kern w:val="36"/>
          <w:sz w:val="22"/>
          <w:lang w:eastAsia="hr-HR"/>
        </w:rPr>
        <w:t xml:space="preserve">ostvarivanja </w:t>
      </w:r>
      <w:r w:rsidR="00CB0C23" w:rsidRPr="004E6412">
        <w:rPr>
          <w:kern w:val="36"/>
          <w:sz w:val="22"/>
          <w:lang w:eastAsia="hr-HR"/>
        </w:rPr>
        <w:t>ciljeva s</w:t>
      </w:r>
      <w:r w:rsidRPr="004E6412">
        <w:rPr>
          <w:kern w:val="36"/>
          <w:sz w:val="22"/>
          <w:lang w:eastAsia="hr-HR"/>
        </w:rPr>
        <w:t xml:space="preserve">trategije </w:t>
      </w:r>
      <w:r w:rsidRPr="004E6412">
        <w:rPr>
          <w:i/>
          <w:kern w:val="36"/>
          <w:sz w:val="22"/>
          <w:lang w:eastAsia="hr-HR"/>
        </w:rPr>
        <w:t>Europa 2020</w:t>
      </w:r>
      <w:r w:rsidRPr="004E6412">
        <w:rPr>
          <w:kern w:val="36"/>
          <w:sz w:val="22"/>
          <w:lang w:eastAsia="hr-HR"/>
        </w:rPr>
        <w:t xml:space="preserve"> te mjera i aktivnosti u Nac</w:t>
      </w:r>
      <w:r w:rsidR="00CB0C23" w:rsidRPr="004E6412">
        <w:rPr>
          <w:kern w:val="36"/>
          <w:sz w:val="22"/>
          <w:lang w:eastAsia="hr-HR"/>
        </w:rPr>
        <w:t>ionalnom programu reformi čine</w:t>
      </w:r>
      <w:r w:rsidRPr="004E6412">
        <w:rPr>
          <w:kern w:val="36"/>
          <w:sz w:val="22"/>
          <w:lang w:eastAsia="hr-HR"/>
        </w:rPr>
        <w:t xml:space="preserve"> fondovi u okviru kohezijske politike EU</w:t>
      </w:r>
      <w:r w:rsidR="00CB0C23" w:rsidRPr="004E6412">
        <w:rPr>
          <w:kern w:val="36"/>
          <w:sz w:val="22"/>
          <w:lang w:eastAsia="hr-HR"/>
        </w:rPr>
        <w:t>-a</w:t>
      </w:r>
      <w:r w:rsidRPr="004E6412">
        <w:rPr>
          <w:kern w:val="36"/>
          <w:sz w:val="22"/>
          <w:lang w:eastAsia="hr-HR"/>
        </w:rPr>
        <w:t xml:space="preserve"> (</w:t>
      </w:r>
      <w:r w:rsidR="00CB0C23" w:rsidRPr="004E6412">
        <w:rPr>
          <w:kern w:val="36"/>
          <w:sz w:val="22"/>
          <w:lang w:eastAsia="hr-HR"/>
        </w:rPr>
        <w:t xml:space="preserve">odnosno </w:t>
      </w:r>
      <w:r w:rsidRPr="004E6412">
        <w:rPr>
          <w:kern w:val="36"/>
          <w:sz w:val="22"/>
          <w:lang w:eastAsia="hr-HR"/>
        </w:rPr>
        <w:t>ESI – Europski strukturni i investicijski fondovi):</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tri fonda k</w:t>
      </w:r>
      <w:r w:rsidR="001671CF" w:rsidRPr="004E6412">
        <w:rPr>
          <w:b/>
          <w:kern w:val="36"/>
          <w:sz w:val="22"/>
          <w:lang w:eastAsia="hr-HR"/>
        </w:rPr>
        <w:t>ohezijske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Kohezijski fond (</w:t>
      </w:r>
      <w:r w:rsidR="00505E21" w:rsidRPr="004E6412">
        <w:rPr>
          <w:kern w:val="36"/>
          <w:sz w:val="22"/>
          <w:lang w:eastAsia="hr-HR"/>
        </w:rPr>
        <w:t xml:space="preserve">engl. </w:t>
      </w:r>
      <w:r w:rsidRPr="004E6412">
        <w:rPr>
          <w:i/>
          <w:kern w:val="36"/>
          <w:sz w:val="22"/>
          <w:lang w:eastAsia="hr-HR"/>
        </w:rPr>
        <w:t>Cohesion Fund</w:t>
      </w:r>
      <w:r w:rsidRPr="004E6412">
        <w:rPr>
          <w:kern w:val="36"/>
          <w:sz w:val="22"/>
          <w:lang w:eastAsia="hr-HR"/>
        </w:rPr>
        <w:t xml:space="preserve">; </w:t>
      </w:r>
      <w:r w:rsidRPr="004E6412">
        <w:rPr>
          <w:b/>
          <w:kern w:val="36"/>
          <w:sz w:val="22"/>
          <w:lang w:eastAsia="hr-HR"/>
        </w:rPr>
        <w:t>CF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fond za regionalni razvoj (</w:t>
      </w:r>
      <w:r w:rsidR="00505E21" w:rsidRPr="004E6412">
        <w:rPr>
          <w:kern w:val="36"/>
          <w:sz w:val="22"/>
          <w:lang w:eastAsia="hr-HR"/>
        </w:rPr>
        <w:t xml:space="preserve">engl. </w:t>
      </w:r>
      <w:r w:rsidRPr="004E6412">
        <w:rPr>
          <w:i/>
          <w:kern w:val="36"/>
          <w:sz w:val="22"/>
          <w:lang w:eastAsia="hr-HR"/>
        </w:rPr>
        <w:t>European Regional Development Fund</w:t>
      </w:r>
      <w:r w:rsidRPr="004E6412">
        <w:rPr>
          <w:kern w:val="36"/>
          <w:sz w:val="22"/>
          <w:lang w:eastAsia="hr-HR"/>
        </w:rPr>
        <w:t xml:space="preserve">; </w:t>
      </w:r>
      <w:r w:rsidRPr="004E6412">
        <w:rPr>
          <w:b/>
          <w:kern w:val="36"/>
          <w:sz w:val="22"/>
          <w:lang w:eastAsia="hr-HR"/>
        </w:rPr>
        <w:t>ERDF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socijalni fond (</w:t>
      </w:r>
      <w:r w:rsidR="00505E21" w:rsidRPr="004E6412">
        <w:rPr>
          <w:kern w:val="36"/>
          <w:sz w:val="22"/>
          <w:lang w:eastAsia="hr-HR"/>
        </w:rPr>
        <w:t xml:space="preserve">engl. </w:t>
      </w:r>
      <w:r w:rsidRPr="004E6412">
        <w:rPr>
          <w:i/>
          <w:kern w:val="36"/>
          <w:sz w:val="22"/>
          <w:lang w:eastAsia="hr-HR"/>
        </w:rPr>
        <w:t>European Social Fund</w:t>
      </w:r>
      <w:r w:rsidRPr="004E6412">
        <w:rPr>
          <w:kern w:val="36"/>
          <w:sz w:val="22"/>
          <w:lang w:eastAsia="hr-HR"/>
        </w:rPr>
        <w:t xml:space="preserve">; </w:t>
      </w:r>
      <w:r w:rsidRPr="004E6412">
        <w:rPr>
          <w:b/>
          <w:kern w:val="36"/>
          <w:sz w:val="22"/>
          <w:lang w:eastAsia="hr-HR"/>
        </w:rPr>
        <w:t>ESF</w:t>
      </w:r>
      <w:r w:rsidRPr="004E6412">
        <w:rPr>
          <w:kern w:val="36"/>
          <w:sz w:val="22"/>
          <w:lang w:eastAsia="hr-HR"/>
        </w:rPr>
        <w:t>)</w:t>
      </w:r>
      <w:r w:rsidR="00CB0C23" w:rsidRPr="004E6412">
        <w:rPr>
          <w:kern w:val="36"/>
          <w:sz w:val="22"/>
          <w:lang w:eastAsia="hr-HR"/>
        </w:rPr>
        <w:t>;</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dva fonda r</w:t>
      </w:r>
      <w:r w:rsidR="001671CF" w:rsidRPr="004E6412">
        <w:rPr>
          <w:b/>
          <w:kern w:val="36"/>
          <w:sz w:val="22"/>
          <w:lang w:eastAsia="hr-HR"/>
        </w:rPr>
        <w:t>uralne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poljoprivredni fond za ruralni razvoj (</w:t>
      </w:r>
      <w:r w:rsidR="00505E21" w:rsidRPr="004E6412">
        <w:rPr>
          <w:kern w:val="36"/>
          <w:sz w:val="22"/>
          <w:lang w:eastAsia="hr-HR"/>
        </w:rPr>
        <w:t xml:space="preserve">engl. </w:t>
      </w:r>
      <w:r w:rsidRPr="004E6412">
        <w:rPr>
          <w:i/>
          <w:kern w:val="36"/>
          <w:sz w:val="22"/>
          <w:lang w:eastAsia="hr-HR"/>
        </w:rPr>
        <w:t>European Agricultural Fund for Rural Development</w:t>
      </w:r>
      <w:r w:rsidRPr="004E6412">
        <w:rPr>
          <w:kern w:val="36"/>
          <w:sz w:val="22"/>
          <w:lang w:eastAsia="hr-HR"/>
        </w:rPr>
        <w:t xml:space="preserve">; </w:t>
      </w:r>
      <w:r w:rsidRPr="004E6412">
        <w:rPr>
          <w:b/>
          <w:kern w:val="36"/>
          <w:sz w:val="22"/>
          <w:lang w:eastAsia="hr-HR"/>
        </w:rPr>
        <w:t>EAFRD</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fond za ribarstvo i (</w:t>
      </w:r>
      <w:r w:rsidR="00505E21" w:rsidRPr="004E6412">
        <w:rPr>
          <w:kern w:val="36"/>
          <w:sz w:val="22"/>
          <w:lang w:eastAsia="hr-HR"/>
        </w:rPr>
        <w:t xml:space="preserve">engl. </w:t>
      </w:r>
      <w:r w:rsidRPr="004E6412">
        <w:rPr>
          <w:i/>
          <w:kern w:val="36"/>
          <w:sz w:val="22"/>
          <w:lang w:eastAsia="hr-HR"/>
        </w:rPr>
        <w:t>European Maritime and Fisheries Fund</w:t>
      </w:r>
      <w:r w:rsidRPr="004E6412">
        <w:rPr>
          <w:kern w:val="36"/>
          <w:sz w:val="22"/>
          <w:lang w:eastAsia="hr-HR"/>
        </w:rPr>
        <w:t xml:space="preserve">; </w:t>
      </w:r>
      <w:r w:rsidRPr="004E6412">
        <w:rPr>
          <w:b/>
          <w:kern w:val="36"/>
          <w:sz w:val="22"/>
          <w:lang w:eastAsia="hr-HR"/>
        </w:rPr>
        <w:t>EMFF</w:t>
      </w:r>
      <w:r w:rsidRPr="004E6412">
        <w:rPr>
          <w:kern w:val="36"/>
          <w:sz w:val="22"/>
          <w:lang w:eastAsia="hr-HR"/>
        </w:rPr>
        <w:t>)</w:t>
      </w:r>
      <w:r w:rsidR="00CB0C23" w:rsidRPr="004E6412">
        <w:rPr>
          <w:kern w:val="36"/>
          <w:sz w:val="22"/>
          <w:lang w:eastAsia="hr-HR"/>
        </w:rPr>
        <w:t>.</w:t>
      </w:r>
    </w:p>
    <w:p w:rsidR="001671CF" w:rsidRPr="004E6412" w:rsidRDefault="001671CF" w:rsidP="001671CF">
      <w:pPr>
        <w:shd w:val="clear" w:color="auto" w:fill="FFFFFF"/>
        <w:outlineLvl w:val="1"/>
        <w:rPr>
          <w:kern w:val="36"/>
          <w:sz w:val="22"/>
          <w:lang w:eastAsia="hr-HR"/>
        </w:rPr>
      </w:pPr>
    </w:p>
    <w:p w:rsidR="001671CF" w:rsidRPr="004E6412" w:rsidRDefault="001671CF" w:rsidP="00B15A78">
      <w:pPr>
        <w:numPr>
          <w:ilvl w:val="0"/>
          <w:numId w:val="139"/>
        </w:numPr>
        <w:shd w:val="clear" w:color="auto" w:fill="FFFFFF"/>
        <w:outlineLvl w:val="1"/>
        <w:rPr>
          <w:kern w:val="36"/>
          <w:sz w:val="22"/>
          <w:lang w:eastAsia="hr-HR"/>
        </w:rPr>
      </w:pPr>
      <w:r w:rsidRPr="004E6412">
        <w:rPr>
          <w:kern w:val="36"/>
          <w:sz w:val="22"/>
          <w:lang w:eastAsia="hr-HR"/>
        </w:rPr>
        <w:t>Glavni preduvjet za sljedeću Financijsku perspektivu EU</w:t>
      </w:r>
      <w:r w:rsidR="00CB0C23" w:rsidRPr="004E6412">
        <w:rPr>
          <w:kern w:val="36"/>
          <w:sz w:val="22"/>
          <w:lang w:eastAsia="hr-HR"/>
        </w:rPr>
        <w:t>-a</w:t>
      </w:r>
      <w:r w:rsidRPr="004E6412">
        <w:rPr>
          <w:kern w:val="36"/>
          <w:sz w:val="22"/>
          <w:lang w:eastAsia="hr-HR"/>
        </w:rPr>
        <w:t xml:space="preserve"> (2014</w:t>
      </w:r>
      <w:r w:rsidR="00CB0C23" w:rsidRPr="004E6412">
        <w:rPr>
          <w:kern w:val="36"/>
          <w:sz w:val="22"/>
          <w:lang w:eastAsia="hr-HR"/>
        </w:rPr>
        <w:t>.</w:t>
      </w:r>
      <w:r w:rsidRPr="004E6412">
        <w:rPr>
          <w:kern w:val="36"/>
          <w:sz w:val="22"/>
          <w:lang w:eastAsia="hr-HR"/>
        </w:rPr>
        <w:t xml:space="preserve"> – 2020</w:t>
      </w:r>
      <w:r w:rsidR="00CB0C23" w:rsidRPr="004E6412">
        <w:rPr>
          <w:kern w:val="36"/>
          <w:sz w:val="22"/>
          <w:lang w:eastAsia="hr-HR"/>
        </w:rPr>
        <w:t>.) je izrada šireg N</w:t>
      </w:r>
      <w:r w:rsidRPr="004E6412">
        <w:rPr>
          <w:kern w:val="36"/>
          <w:sz w:val="22"/>
          <w:lang w:eastAsia="hr-HR"/>
        </w:rPr>
        <w:t>acionalnog strateškog razvojnog dokumenta kao osnove za programiranje EU pomo</w:t>
      </w:r>
      <w:r w:rsidR="00CB0C23" w:rsidRPr="004E6412">
        <w:rPr>
          <w:kern w:val="36"/>
          <w:sz w:val="22"/>
          <w:lang w:eastAsia="hr-HR"/>
        </w:rPr>
        <w:t xml:space="preserve">ći iz ESI fondova. U skladu s tim </w:t>
      </w:r>
      <w:r w:rsidRPr="004E6412">
        <w:rPr>
          <w:kern w:val="36"/>
          <w:sz w:val="22"/>
          <w:lang w:eastAsia="hr-HR"/>
        </w:rPr>
        <w:t>povezuje se nekoliko procesa:</w:t>
      </w:r>
    </w:p>
    <w:p w:rsidR="001671CF" w:rsidRPr="004E6412" w:rsidRDefault="00CB0C23" w:rsidP="00B15A78">
      <w:pPr>
        <w:numPr>
          <w:ilvl w:val="0"/>
          <w:numId w:val="133"/>
        </w:numPr>
        <w:shd w:val="clear" w:color="auto" w:fill="FFFFFF"/>
        <w:ind w:left="1425"/>
        <w:outlineLvl w:val="1"/>
        <w:rPr>
          <w:kern w:val="36"/>
          <w:sz w:val="22"/>
          <w:lang w:eastAsia="hr-HR"/>
        </w:rPr>
      </w:pPr>
      <w:r w:rsidRPr="004E6412">
        <w:rPr>
          <w:kern w:val="36"/>
          <w:sz w:val="22"/>
          <w:lang w:eastAsia="hr-HR"/>
        </w:rPr>
        <w:t>izrada N</w:t>
      </w:r>
      <w:r w:rsidR="001671CF" w:rsidRPr="004E6412">
        <w:rPr>
          <w:kern w:val="36"/>
          <w:sz w:val="22"/>
          <w:lang w:eastAsia="hr-HR"/>
        </w:rPr>
        <w:t>acionalnog strateškog razvojnog dokumenta (Nacionalni razvojni plan 2020)</w:t>
      </w:r>
      <w:r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lastRenderedPageBreak/>
        <w:t>izrada Nacionalnog programa reformi</w:t>
      </w:r>
      <w:r w:rsidR="00CB0C23"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t>izrada dokumenata u sklopu EU programiranja za ESI fondove: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Ekonomski program Republike Hrvatske;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Partnerski sporazum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Operativni programi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Program ruralnog razvoja Republike Hrvatske za razdoblje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1671CF">
      <w:pPr>
        <w:shd w:val="clear" w:color="auto" w:fill="FFFFFF"/>
        <w:ind w:left="1425"/>
        <w:outlineLvl w:val="1"/>
        <w:rPr>
          <w:kern w:val="36"/>
          <w:sz w:val="22"/>
          <w:lang w:eastAsia="hr-HR"/>
        </w:rPr>
      </w:pPr>
    </w:p>
    <w:p w:rsidR="001671CF" w:rsidRPr="004E6412" w:rsidRDefault="00CB0C23" w:rsidP="00B15A78">
      <w:pPr>
        <w:numPr>
          <w:ilvl w:val="0"/>
          <w:numId w:val="140"/>
        </w:numPr>
        <w:shd w:val="clear" w:color="auto" w:fill="FFFFFF"/>
        <w:outlineLvl w:val="1"/>
        <w:rPr>
          <w:kern w:val="36"/>
          <w:sz w:val="22"/>
          <w:lang w:eastAsia="hr-HR"/>
        </w:rPr>
      </w:pPr>
      <w:r w:rsidRPr="004E6412">
        <w:rPr>
          <w:kern w:val="36"/>
          <w:sz w:val="22"/>
          <w:lang w:eastAsia="hr-HR"/>
        </w:rPr>
        <w:t xml:space="preserve">Vlada RH </w:t>
      </w:r>
      <w:r w:rsidR="001671CF" w:rsidRPr="004E6412">
        <w:rPr>
          <w:kern w:val="36"/>
          <w:sz w:val="22"/>
          <w:lang w:eastAsia="hr-HR"/>
        </w:rPr>
        <w:t xml:space="preserve">donijela </w:t>
      </w:r>
      <w:r w:rsidRPr="004E6412">
        <w:rPr>
          <w:kern w:val="36"/>
          <w:sz w:val="22"/>
          <w:lang w:eastAsia="hr-HR"/>
        </w:rPr>
        <w:t xml:space="preserve">je </w:t>
      </w:r>
      <w:r w:rsidR="001671CF" w:rsidRPr="004E6412">
        <w:rPr>
          <w:kern w:val="36"/>
          <w:sz w:val="22"/>
          <w:lang w:eastAsia="hr-HR"/>
        </w:rPr>
        <w:t>odluku o broju Operativnih programa za razdoblje 2014</w:t>
      </w:r>
      <w:r w:rsidRPr="004E6412">
        <w:rPr>
          <w:kern w:val="36"/>
          <w:sz w:val="22"/>
          <w:lang w:eastAsia="hr-HR"/>
        </w:rPr>
        <w:t xml:space="preserve">. – </w:t>
      </w:r>
      <w:r w:rsidR="001671CF" w:rsidRPr="004E6412">
        <w:rPr>
          <w:kern w:val="36"/>
          <w:sz w:val="22"/>
          <w:lang w:eastAsia="hr-HR"/>
        </w:rPr>
        <w:t>2020. Proved</w:t>
      </w:r>
      <w:r w:rsidRPr="004E6412">
        <w:rPr>
          <w:kern w:val="36"/>
          <w:sz w:val="22"/>
          <w:lang w:eastAsia="hr-HR"/>
        </w:rPr>
        <w:t>ba ESI fondova ići će kroz tri O</w:t>
      </w:r>
      <w:r w:rsidR="001671CF" w:rsidRPr="004E6412">
        <w:rPr>
          <w:kern w:val="36"/>
          <w:sz w:val="22"/>
          <w:lang w:eastAsia="hr-HR"/>
        </w:rPr>
        <w:t>perativna programa (OP):</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 xml:space="preserve">Operativni program iz područja konkurentnosti i kohezije (OP </w:t>
      </w:r>
      <w:r w:rsidRPr="004E6412">
        <w:rPr>
          <w:iCs/>
          <w:kern w:val="36"/>
          <w:sz w:val="22"/>
          <w:lang w:eastAsia="hr-HR"/>
        </w:rPr>
        <w:t>Konkurentnost i kohezija);</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w:t>
      </w:r>
      <w:r w:rsidR="00CB0C23" w:rsidRPr="004E6412">
        <w:rPr>
          <w:kern w:val="36"/>
          <w:sz w:val="22"/>
          <w:lang w:eastAsia="hr-HR"/>
        </w:rPr>
        <w:t>čja učinkovitih ljudskih potencijala</w:t>
      </w:r>
      <w:r w:rsidRPr="004E6412">
        <w:rPr>
          <w:kern w:val="36"/>
          <w:sz w:val="22"/>
          <w:lang w:eastAsia="hr-HR"/>
        </w:rPr>
        <w:t xml:space="preserve"> (OP </w:t>
      </w:r>
      <w:r w:rsidR="00CB0C23" w:rsidRPr="004E6412">
        <w:rPr>
          <w:iCs/>
          <w:kern w:val="36"/>
          <w:sz w:val="22"/>
          <w:lang w:eastAsia="hr-HR"/>
        </w:rPr>
        <w:t>Učinkoviti ljudski potencijala</w:t>
      </w:r>
      <w:r w:rsidRPr="004E6412">
        <w:rPr>
          <w:kern w:val="36"/>
          <w:sz w:val="22"/>
          <w:lang w:eastAsia="hr-HR"/>
        </w:rPr>
        <w:t>);</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područja tehničke pomoći (OP Tehnička pomoć)</w:t>
      </w:r>
      <w:r w:rsidRPr="004E6412">
        <w:rPr>
          <w:iCs/>
          <w:kern w:val="36"/>
          <w:sz w:val="22"/>
          <w:lang w:eastAsia="hr-HR"/>
        </w:rPr>
        <w:t>.</w:t>
      </w:r>
    </w:p>
    <w:p w:rsidR="001671CF" w:rsidRPr="004E6412" w:rsidRDefault="001671CF" w:rsidP="00985C31">
      <w:pPr>
        <w:shd w:val="clear" w:color="auto" w:fill="FFFFFF"/>
        <w:outlineLvl w:val="1"/>
        <w:rPr>
          <w:b/>
          <w:kern w:val="36"/>
          <w:sz w:val="22"/>
          <w:lang w:eastAsia="hr-HR"/>
        </w:rPr>
      </w:pPr>
    </w:p>
    <w:p w:rsidR="00985C31" w:rsidRPr="004E6412" w:rsidRDefault="00985C31" w:rsidP="00985C31">
      <w:pPr>
        <w:shd w:val="clear" w:color="auto" w:fill="FFFFFF"/>
        <w:outlineLvl w:val="1"/>
        <w:rPr>
          <w:b/>
          <w:kern w:val="36"/>
          <w:sz w:val="22"/>
          <w:lang w:eastAsia="hr-HR"/>
        </w:rPr>
      </w:pPr>
    </w:p>
    <w:p w:rsidR="001671CF" w:rsidRPr="004E6412" w:rsidRDefault="00505E21" w:rsidP="00D001B9">
      <w:pPr>
        <w:pStyle w:val="Heading4"/>
      </w:pPr>
      <w:r w:rsidRPr="004E6412">
        <w:t xml:space="preserve">Operativni program </w:t>
      </w:r>
      <w:r w:rsidR="001671CF" w:rsidRPr="004E6412">
        <w:t>Konkurentnost i kohezija</w:t>
      </w:r>
    </w:p>
    <w:tbl>
      <w:tblPr>
        <w:tblW w:w="0" w:type="auto"/>
        <w:tblCellMar>
          <w:top w:w="28" w:type="dxa"/>
          <w:left w:w="57" w:type="dxa"/>
          <w:bottom w:w="28" w:type="dxa"/>
          <w:right w:w="57" w:type="dxa"/>
        </w:tblCellMar>
        <w:tblLook w:val="0000" w:firstRow="0" w:lastRow="0" w:firstColumn="0" w:lastColumn="0" w:noHBand="0" w:noVBand="0"/>
      </w:tblPr>
      <w:tblGrid>
        <w:gridCol w:w="2319"/>
        <w:gridCol w:w="4678"/>
        <w:gridCol w:w="2126"/>
      </w:tblGrid>
      <w:tr w:rsidR="001671CF" w:rsidRPr="004E6412" w:rsidTr="0097195F">
        <w:trPr>
          <w:trHeight w:val="448"/>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 xml:space="preserve">Tematski ciljevi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97195F">
        <w:trPr>
          <w:trHeight w:val="116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 Jačanje istraživanja, tehnološkog razvoja i inovacija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Jačanje infrastrukture za istraživanje i inovacije. Promocija poduzetničkog ulaganja u inovacije i istraživanje. Razvoj veza i sinergija između poduzetništva, R&amp;D centara i institucija visokoškolskog obrazovanja.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93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2. Pristu</w:t>
            </w:r>
            <w:r w:rsidR="00CB0C23" w:rsidRPr="004E6412">
              <w:rPr>
                <w:kern w:val="36"/>
                <w:sz w:val="22"/>
                <w:lang w:eastAsia="hr-HR"/>
              </w:rPr>
              <w:t>p, korištenje te kvaliteta</w:t>
            </w:r>
            <w:r w:rsidRPr="004E6412">
              <w:rPr>
                <w:kern w:val="36"/>
                <w:sz w:val="22"/>
                <w:lang w:eastAsia="hr-HR"/>
              </w:rPr>
              <w:t xml:space="preserve"> ICT-a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Razvoj ICT infrastrukture, proizvoda i usluga (npr. </w:t>
            </w:r>
            <w:r w:rsidRPr="004E6412">
              <w:rPr>
                <w:iCs/>
                <w:kern w:val="36"/>
                <w:sz w:val="22"/>
                <w:lang w:eastAsia="hr-HR"/>
              </w:rPr>
              <w:t>e-trgovina</w:t>
            </w:r>
            <w:r w:rsidRPr="004E6412">
              <w:rPr>
                <w:kern w:val="36"/>
                <w:sz w:val="22"/>
                <w:lang w:eastAsia="hr-HR"/>
              </w:rPr>
              <w:t xml:space="preserve">). Jačanje ICT aplikacija </w:t>
            </w:r>
            <w:r w:rsidR="004823E2" w:rsidRPr="004E6412">
              <w:rPr>
                <w:iCs/>
                <w:kern w:val="36"/>
                <w:sz w:val="22"/>
                <w:lang w:eastAsia="hr-HR"/>
              </w:rPr>
              <w:t>za e-državu</w:t>
            </w:r>
            <w:r w:rsidRPr="004E6412">
              <w:rPr>
                <w:iCs/>
                <w:kern w:val="36"/>
                <w:sz w:val="22"/>
                <w:lang w:eastAsia="hr-HR"/>
              </w:rPr>
              <w:t xml:space="preserve">, e-učenje, e-uključivost, e-kulturu </w:t>
            </w:r>
            <w:r w:rsidRPr="004E6412">
              <w:rPr>
                <w:kern w:val="36"/>
                <w:sz w:val="22"/>
                <w:lang w:eastAsia="hr-HR"/>
              </w:rPr>
              <w:t>i</w:t>
            </w:r>
            <w:r w:rsidRPr="004E6412">
              <w:rPr>
                <w:iCs/>
                <w:kern w:val="36"/>
                <w:sz w:val="22"/>
                <w:lang w:eastAsia="hr-HR"/>
              </w:rPr>
              <w:t xml:space="preserve"> e-zdravlje</w:t>
            </w:r>
            <w:r w:rsidR="007757D7" w:rsidRPr="004E6412">
              <w:rPr>
                <w:kern w:val="36"/>
                <w:sz w:val="22"/>
                <w:lang w:eastAsia="hr-HR"/>
              </w:rPr>
              <w:t>. Razvoj širokopojasnog I</w:t>
            </w:r>
            <w:r w:rsidRPr="004E6412">
              <w:rPr>
                <w:kern w:val="36"/>
                <w:sz w:val="22"/>
                <w:lang w:eastAsia="hr-HR"/>
              </w:rPr>
              <w:t>nterneta.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674"/>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Jačanje konkurentnosti malih i srednjih poduzeća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poduze</w:t>
            </w:r>
            <w:r w:rsidR="00CB0C23" w:rsidRPr="004E6412">
              <w:rPr>
                <w:kern w:val="36"/>
                <w:sz w:val="22"/>
                <w:lang w:eastAsia="hr-HR"/>
              </w:rPr>
              <w:t>tništva. Razvoj i provedba</w:t>
            </w:r>
            <w:r w:rsidRPr="004E6412">
              <w:rPr>
                <w:kern w:val="36"/>
                <w:sz w:val="22"/>
                <w:lang w:eastAsia="hr-HR"/>
              </w:rPr>
              <w:t xml:space="preserve"> novih modela poslovanja MSP-a. Podrška razvoju kapaciteta MSP-a za razvoj usluga i proizvoda.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4. Podrška prijelazu prema ekonomiji temeljenoj na niskoj razini emisije CO2</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proizvodnje i distribucije obnovljivih izvora energije. Promicanje energetske učinkovitosti i korištenja obnovljive energije u poduzećima. Podrška energetskoj učinkovitosti u javnoj infrastrukturi i stambenom sektoru. Promicanje nisko-ugljičnih strategija, uključujući promicanje održivog urbanog prometa.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586"/>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5. Promicanje prilagodbe k</w:t>
            </w:r>
            <w:r w:rsidR="00CB0C23" w:rsidRPr="004E6412">
              <w:rPr>
                <w:kern w:val="36"/>
                <w:sz w:val="22"/>
                <w:lang w:eastAsia="hr-HR"/>
              </w:rPr>
              <w:t>limatskim promjenama, sprječavanje</w:t>
            </w:r>
            <w:r w:rsidRPr="004E6412">
              <w:rPr>
                <w:kern w:val="36"/>
                <w:sz w:val="22"/>
                <w:lang w:eastAsia="hr-HR"/>
              </w:rPr>
              <w:t xml:space="preserve"> i upravljanje rizicima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Podrška investicijama za prilagodbu klimatskim promjenama. Promicanje investicija za rješavanje specifičnih rizika, razvoj sustava upravljanja rizicima.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lastRenderedPageBreak/>
              <w:t>6. Zaštita okoliša i promicanje učinkovitosti uporabe resursa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Investicije u upravljanje vodama i otpadom. Zaštita, promocija i razvoj kulturne i prirodne baštine. Zaštita i obnova bio-raznolikosti, promocija ekosustava, uključujući NATURA 2000 i zelenu infrastrukturu. Poboljšanje</w:t>
            </w:r>
            <w:r w:rsidR="00CB0C23" w:rsidRPr="004E6412">
              <w:rPr>
                <w:kern w:val="36"/>
                <w:sz w:val="22"/>
                <w:lang w:eastAsia="hr-HR"/>
              </w:rPr>
              <w:t xml:space="preserve"> urbanog okoliša, regeneracija „</w:t>
            </w:r>
            <w:r w:rsidRPr="004E6412">
              <w:rPr>
                <w:iCs/>
                <w:kern w:val="36"/>
                <w:sz w:val="22"/>
                <w:lang w:eastAsia="hr-HR"/>
              </w:rPr>
              <w:t>brownfield</w:t>
            </w:r>
            <w:r w:rsidR="00CB0C23" w:rsidRPr="004E6412">
              <w:rPr>
                <w:kern w:val="36"/>
                <w:sz w:val="22"/>
                <w:lang w:eastAsia="hr-HR"/>
              </w:rPr>
              <w:t>“</w:t>
            </w:r>
            <w:r w:rsidRPr="004E6412">
              <w:rPr>
                <w:kern w:val="36"/>
                <w:sz w:val="22"/>
                <w:lang w:eastAsia="hr-HR"/>
              </w:rPr>
              <w:t xml:space="preserve"> lokacija i smanjenje zagađenja zraka.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7. Promicanje održivog prometa te uklanjanje uskih grla u ključnoj infrastrukturi prometne mreže</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Investicije u TEN-T mrežu te povezivanje sekundarnih i tercijarnih čvorišta. Razvoj nisko-ugljičnog prometnog sustava uključujući riječni i pomorski promet, luke i multi-modalne veze. Razvoj i rehabilitacija sveobuhvatnog željezničkog sustava. Razvoj pametne distribucije plina i struje, sustava pohranjivanja i prijenosa. </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w:t>
            </w:r>
          </w:p>
        </w:tc>
      </w:tr>
      <w:tr w:rsidR="001671CF" w:rsidRPr="004E6412" w:rsidTr="0097195F">
        <w:trPr>
          <w:trHeight w:val="669"/>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8. Jačanje institucionalnih kapaciteta te učinkovita javna uprava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Razvoj javne infrastrukture - obrazovanje, zapošljavanje, socijalne usluge, zdravstvene usluge, usluge podrške MSP-u.</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1671CF" w:rsidRPr="004E6412" w:rsidRDefault="001671CF" w:rsidP="001671CF">
      <w:pPr>
        <w:shd w:val="clear" w:color="auto" w:fill="FFFFFF"/>
        <w:outlineLvl w:val="1"/>
        <w:rPr>
          <w:b/>
          <w:kern w:val="36"/>
          <w:sz w:val="22"/>
          <w:lang w:eastAsia="hr-HR"/>
        </w:rPr>
      </w:pPr>
    </w:p>
    <w:p w:rsidR="001671CF" w:rsidRPr="004E6412" w:rsidRDefault="00505E21" w:rsidP="00D001B9">
      <w:pPr>
        <w:pStyle w:val="Heading4"/>
      </w:pPr>
      <w:r w:rsidRPr="004E6412">
        <w:t>Operativni program</w:t>
      </w:r>
      <w:r w:rsidR="00CB0C23" w:rsidRPr="004E6412">
        <w:t xml:space="preserve"> Učinkoviti ljudski potencijali</w:t>
      </w:r>
    </w:p>
    <w:tbl>
      <w:tblPr>
        <w:tblW w:w="5000" w:type="pct"/>
        <w:tblCellMar>
          <w:top w:w="28" w:type="dxa"/>
          <w:left w:w="57" w:type="dxa"/>
          <w:bottom w:w="28" w:type="dxa"/>
          <w:right w:w="57" w:type="dxa"/>
        </w:tblCellMar>
        <w:tblLook w:val="0000" w:firstRow="0" w:lastRow="0" w:firstColumn="0" w:lastColumn="0" w:noHBand="0" w:noVBand="0"/>
      </w:tblPr>
      <w:tblGrid>
        <w:gridCol w:w="2082"/>
        <w:gridCol w:w="5962"/>
        <w:gridCol w:w="1134"/>
      </w:tblGrid>
      <w:tr w:rsidR="001671CF" w:rsidRPr="004E6412" w:rsidTr="0097195F">
        <w:trPr>
          <w:trHeight w:val="448"/>
        </w:trPr>
        <w:tc>
          <w:tcPr>
            <w:tcW w:w="1134"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Tematski ciljevi</w:t>
            </w:r>
          </w:p>
        </w:tc>
        <w:tc>
          <w:tcPr>
            <w:tcW w:w="3248"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61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F60896">
        <w:trPr>
          <w:trHeight w:val="1234"/>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1.Visoka zaposlenost i mobilnost radne snage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Pristup zapošljavanju za tražitelje posla i neaktivne ljude, integracija mladih na tržište rada. Ravnopravn</w:t>
            </w:r>
            <w:r w:rsidR="00CB0C23" w:rsidRPr="004E6412">
              <w:rPr>
                <w:kern w:val="36"/>
                <w:sz w:val="22"/>
                <w:lang w:eastAsia="hr-HR"/>
              </w:rPr>
              <w:t xml:space="preserve">ost između muškaraca i žena te „usklađivanje“ </w:t>
            </w:r>
            <w:r w:rsidRPr="004E6412">
              <w:rPr>
                <w:kern w:val="36"/>
                <w:sz w:val="22"/>
                <w:lang w:eastAsia="hr-HR"/>
              </w:rPr>
              <w:t>privatnog i poslovnog života. Aktivno i zdravo starenje. Sam</w:t>
            </w:r>
            <w:r w:rsidR="00700175" w:rsidRPr="004E6412">
              <w:rPr>
                <w:kern w:val="36"/>
                <w:sz w:val="22"/>
                <w:lang w:eastAsia="hr-HR"/>
              </w:rPr>
              <w:t>ozapošljavanje i poduzetništvo te</w:t>
            </w:r>
            <w:r w:rsidRPr="004E6412">
              <w:rPr>
                <w:kern w:val="36"/>
                <w:sz w:val="22"/>
                <w:lang w:eastAsia="hr-HR"/>
              </w:rPr>
              <w:t xml:space="preserve"> razvoj poslovanja.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F60896">
        <w:trPr>
          <w:trHeight w:val="447"/>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2. Promicanje društvene</w:t>
            </w:r>
            <w:r w:rsidR="001671CF" w:rsidRPr="004E6412">
              <w:rPr>
                <w:kern w:val="36"/>
                <w:sz w:val="22"/>
                <w:lang w:eastAsia="hr-HR"/>
              </w:rPr>
              <w:t xml:space="preserve"> uključenosti i borba protiv siromaštva</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Sve „</w:t>
            </w:r>
            <w:r w:rsidR="001671CF" w:rsidRPr="004E6412">
              <w:rPr>
                <w:kern w:val="36"/>
                <w:sz w:val="22"/>
                <w:lang w:eastAsia="hr-HR"/>
              </w:rPr>
              <w:t>s</w:t>
            </w:r>
            <w:r w:rsidR="001671CF" w:rsidRPr="004E6412">
              <w:rPr>
                <w:iCs/>
                <w:kern w:val="36"/>
                <w:sz w:val="22"/>
                <w:lang w:eastAsia="hr-HR"/>
              </w:rPr>
              <w:t>oft</w:t>
            </w:r>
            <w:r w:rsidRPr="004E6412">
              <w:rPr>
                <w:kern w:val="36"/>
                <w:sz w:val="22"/>
                <w:lang w:eastAsia="hr-HR"/>
              </w:rPr>
              <w:t>“ mjere i aktivnosti usmjerene na bolje društveno</w:t>
            </w:r>
            <w:r w:rsidR="001671CF" w:rsidRPr="004E6412">
              <w:rPr>
                <w:kern w:val="36"/>
                <w:sz w:val="22"/>
                <w:lang w:eastAsia="hr-HR"/>
              </w:rPr>
              <w:t xml:space="preserve"> uključivanje.</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w:t>
            </w:r>
          </w:p>
        </w:tc>
      </w:tr>
      <w:tr w:rsidR="001671CF" w:rsidRPr="004E6412" w:rsidTr="00F60896">
        <w:trPr>
          <w:trHeight w:val="1123"/>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Ulaganja u obrazovanje, vještine i cjeloživotno učenje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Spr</w:t>
            </w:r>
            <w:r w:rsidR="00700175" w:rsidRPr="004E6412">
              <w:rPr>
                <w:kern w:val="36"/>
                <w:sz w:val="22"/>
                <w:lang w:eastAsia="hr-HR"/>
              </w:rPr>
              <w:t>j</w:t>
            </w:r>
            <w:r w:rsidRPr="004E6412">
              <w:rPr>
                <w:kern w:val="36"/>
                <w:sz w:val="22"/>
                <w:lang w:eastAsia="hr-HR"/>
              </w:rPr>
              <w:t xml:space="preserve">ečavanje i smanjenje ranog napuštanja </w:t>
            </w:r>
            <w:r w:rsidR="00700175" w:rsidRPr="004E6412">
              <w:rPr>
                <w:kern w:val="36"/>
                <w:sz w:val="22"/>
                <w:lang w:eastAsia="hr-HR"/>
              </w:rPr>
              <w:t xml:space="preserve">škole. Poboljšanje kvalitete, </w:t>
            </w:r>
            <w:r w:rsidRPr="004E6412">
              <w:rPr>
                <w:kern w:val="36"/>
                <w:sz w:val="22"/>
                <w:lang w:eastAsia="hr-HR"/>
              </w:rPr>
              <w:t>učinkovitosti i otvorenosti tercijarnog obraz</w:t>
            </w:r>
            <w:r w:rsidR="00700175" w:rsidRPr="004E6412">
              <w:rPr>
                <w:kern w:val="36"/>
                <w:sz w:val="22"/>
                <w:lang w:eastAsia="hr-HR"/>
              </w:rPr>
              <w:t>ovanja. Jačanje pristupa cjelo</w:t>
            </w:r>
            <w:r w:rsidRPr="004E6412">
              <w:rPr>
                <w:kern w:val="36"/>
                <w:sz w:val="22"/>
                <w:lang w:eastAsia="hr-HR"/>
              </w:rPr>
              <w:t>životnom učenju, uključujući poboljšanje kvalitete strukovnog obrazovanja.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985C31" w:rsidRPr="004E6412" w:rsidRDefault="00985C31" w:rsidP="001671CF">
      <w:pPr>
        <w:shd w:val="clear" w:color="auto" w:fill="FFFFFF"/>
        <w:outlineLvl w:val="1"/>
        <w:rPr>
          <w:kern w:val="36"/>
          <w:sz w:val="22"/>
          <w:lang w:eastAsia="hr-HR"/>
        </w:rPr>
      </w:pPr>
    </w:p>
    <w:p w:rsidR="001671CF" w:rsidRPr="004E6412" w:rsidRDefault="00505E21" w:rsidP="00D001B9">
      <w:pPr>
        <w:pStyle w:val="Heading4"/>
      </w:pPr>
      <w:r w:rsidRPr="004E6412">
        <w:t>Operativni program</w:t>
      </w:r>
      <w:r w:rsidR="001671CF" w:rsidRPr="004E6412">
        <w:t xml:space="preserve"> Tehnička pomoć</w:t>
      </w:r>
    </w:p>
    <w:p w:rsidR="001671CF" w:rsidRPr="004E6412" w:rsidRDefault="001671CF" w:rsidP="00BC4A2E">
      <w:pPr>
        <w:numPr>
          <w:ilvl w:val="0"/>
          <w:numId w:val="142"/>
        </w:numPr>
        <w:shd w:val="clear" w:color="auto" w:fill="FFFFFF"/>
        <w:outlineLvl w:val="1"/>
        <w:rPr>
          <w:kern w:val="36"/>
          <w:sz w:val="22"/>
          <w:lang w:eastAsia="hr-HR"/>
        </w:rPr>
      </w:pPr>
      <w:r w:rsidRPr="004E6412">
        <w:rPr>
          <w:kern w:val="36"/>
          <w:sz w:val="22"/>
          <w:lang w:eastAsia="hr-HR"/>
        </w:rPr>
        <w:t>Podrška opera</w:t>
      </w:r>
      <w:r w:rsidR="00700175" w:rsidRPr="004E6412">
        <w:rPr>
          <w:kern w:val="36"/>
          <w:sz w:val="22"/>
          <w:lang w:eastAsia="hr-HR"/>
        </w:rPr>
        <w:t>tivnim strukturama, odnosno</w:t>
      </w:r>
      <w:r w:rsidRPr="004E6412">
        <w:rPr>
          <w:kern w:val="36"/>
          <w:sz w:val="22"/>
          <w:lang w:eastAsia="hr-HR"/>
        </w:rPr>
        <w:t xml:space="preserve"> svim tijelima koja su uključena u pojedinu operativnu strukturu zaduženu za provedbu prva dva Operativna programa</w:t>
      </w:r>
      <w:r w:rsidR="00700175" w:rsidRPr="004E6412">
        <w:rPr>
          <w:kern w:val="36"/>
          <w:sz w:val="22"/>
          <w:lang w:eastAsia="hr-HR"/>
        </w:rPr>
        <w:t>,</w:t>
      </w:r>
      <w:r w:rsidRPr="004E6412">
        <w:rPr>
          <w:kern w:val="36"/>
          <w:sz w:val="22"/>
          <w:lang w:eastAsia="hr-HR"/>
        </w:rPr>
        <w:t xml:space="preserve"> u smislu jačanja kapaciteta unutar tijela kao i poboljšavanje učinkovitijeg korištenja fondova te pomoć u pripremi projekata u svrhu stvaranja zalihe projekata i bolje iskoristivosti sredstava koji</w:t>
      </w:r>
      <w:r w:rsidR="00700175" w:rsidRPr="004E6412">
        <w:rPr>
          <w:kern w:val="36"/>
          <w:sz w:val="22"/>
          <w:lang w:eastAsia="hr-HR"/>
        </w:rPr>
        <w:t xml:space="preserve"> su Republici Hrvatskoj dodijeljeni</w:t>
      </w:r>
      <w:r w:rsidRPr="004E6412">
        <w:rPr>
          <w:kern w:val="36"/>
          <w:sz w:val="22"/>
          <w:lang w:eastAsia="hr-HR"/>
        </w:rPr>
        <w:t xml:space="preserve"> na korištenje u sklopu ESI fondova.</w:t>
      </w:r>
    </w:p>
    <w:p w:rsidR="003717F5" w:rsidRPr="004E6412" w:rsidRDefault="003717F5">
      <w:pPr>
        <w:spacing w:after="200"/>
        <w:jc w:val="left"/>
        <w:rPr>
          <w:rFonts w:eastAsia="Times New Roman"/>
          <w:b/>
          <w:bCs/>
          <w:szCs w:val="26"/>
          <w:lang w:eastAsia="hr-HR"/>
        </w:rPr>
      </w:pPr>
      <w:bookmarkStart w:id="202" w:name="_Toc366152974"/>
      <w:bookmarkStart w:id="203" w:name="_Toc366154235"/>
      <w:bookmarkStart w:id="204" w:name="_Toc366154352"/>
      <w:bookmarkStart w:id="205" w:name="_Toc366409893"/>
      <w:r w:rsidRPr="004E6412">
        <w:br w:type="page"/>
      </w:r>
    </w:p>
    <w:p w:rsidR="001B41B0" w:rsidRPr="004E6412" w:rsidRDefault="001B41B0" w:rsidP="001B41B0">
      <w:pPr>
        <w:pStyle w:val="Title"/>
        <w:rPr>
          <w:rFonts w:ascii="Times New Roman" w:hAnsi="Times New Roman"/>
        </w:rPr>
      </w:pPr>
      <w:bookmarkStart w:id="206" w:name="_Toc366154375"/>
      <w:bookmarkStart w:id="207" w:name="_Toc366409918"/>
      <w:bookmarkStart w:id="208" w:name="_Toc378069021"/>
      <w:bookmarkEnd w:id="202"/>
      <w:bookmarkEnd w:id="203"/>
      <w:bookmarkEnd w:id="204"/>
      <w:bookmarkEnd w:id="205"/>
      <w:r w:rsidRPr="004E6412">
        <w:rPr>
          <w:rFonts w:ascii="Times New Roman" w:hAnsi="Times New Roman"/>
        </w:rPr>
        <w:lastRenderedPageBreak/>
        <w:t>C Prerađivačka industrija</w:t>
      </w:r>
      <w:bookmarkEnd w:id="206"/>
      <w:bookmarkEnd w:id="207"/>
      <w:bookmarkEnd w:id="208"/>
    </w:p>
    <w:p w:rsidR="00CE3B7A" w:rsidRPr="004E6412" w:rsidRDefault="00CE3B7A" w:rsidP="001B41B0">
      <w:pPr>
        <w:pStyle w:val="Heading2"/>
      </w:pPr>
      <w:bookmarkStart w:id="209" w:name="_Toc372087956"/>
      <w:bookmarkStart w:id="210" w:name="_Toc366152977"/>
      <w:bookmarkStart w:id="211" w:name="_Toc366154256"/>
      <w:bookmarkStart w:id="212" w:name="_Toc366154376"/>
      <w:bookmarkStart w:id="213" w:name="_Toc366409919"/>
    </w:p>
    <w:p w:rsidR="001B41B0" w:rsidRPr="004E6412" w:rsidRDefault="001B41B0" w:rsidP="001B41B0">
      <w:pPr>
        <w:pStyle w:val="Heading2"/>
      </w:pPr>
      <w:bookmarkStart w:id="214" w:name="_Toc378069022"/>
      <w:r w:rsidRPr="004E6412">
        <w:t>Kvantitativna analiza poslovanja prerađivačke industrije 2010.</w:t>
      </w:r>
      <w:r w:rsidR="00BC4A2E" w:rsidRPr="004E6412">
        <w:t xml:space="preserve"> – </w:t>
      </w:r>
      <w:r w:rsidRPr="004E6412">
        <w:t>2012.</w:t>
      </w:r>
      <w:bookmarkEnd w:id="209"/>
      <w:bookmarkEnd w:id="214"/>
      <w:r w:rsidRPr="004E6412">
        <w:t xml:space="preserve"> </w:t>
      </w:r>
    </w:p>
    <w:p w:rsidR="001B41B0" w:rsidRPr="004E6412" w:rsidRDefault="001B41B0" w:rsidP="001B41B0">
      <w:pPr>
        <w:rPr>
          <w:sz w:val="22"/>
        </w:rPr>
      </w:pPr>
    </w:p>
    <w:p w:rsidR="001B41B0" w:rsidRPr="004E6412" w:rsidRDefault="001B41B0" w:rsidP="001B41B0">
      <w:pPr>
        <w:pStyle w:val="ListParagraph"/>
        <w:spacing w:after="0"/>
        <w:jc w:val="both"/>
        <w:rPr>
          <w:rFonts w:ascii="Times New Roman" w:hAnsi="Times New Roman"/>
        </w:rPr>
      </w:pPr>
    </w:p>
    <w:p w:rsidR="009E54FC" w:rsidRPr="004E6412" w:rsidRDefault="001B41B0" w:rsidP="00D44131">
      <w:pPr>
        <w:pStyle w:val="ListParagraph"/>
        <w:numPr>
          <w:ilvl w:val="0"/>
          <w:numId w:val="86"/>
        </w:numPr>
        <w:spacing w:after="0"/>
        <w:ind w:right="-2"/>
        <w:jc w:val="both"/>
        <w:rPr>
          <w:rFonts w:eastAsia="Times New Roman"/>
          <w:spacing w:val="-4"/>
          <w:lang w:eastAsia="hr-HR"/>
        </w:rPr>
      </w:pPr>
      <w:r w:rsidRPr="004E6412">
        <w:rPr>
          <w:rFonts w:ascii="Times New Roman" w:hAnsi="Times New Roman"/>
        </w:rPr>
        <w:t>Kvantitativna analiza poslovanja prerađivačke industrije obuhvaća analizu poslovanja prerađivačke industrije u razdoblju 2010.</w:t>
      </w:r>
      <w:r w:rsidR="00BC4A2E" w:rsidRPr="004E6412">
        <w:rPr>
          <w:rFonts w:ascii="Times New Roman" w:hAnsi="Times New Roman"/>
        </w:rPr>
        <w:t xml:space="preserve"> – </w:t>
      </w:r>
      <w:r w:rsidRPr="004E6412">
        <w:rPr>
          <w:rFonts w:ascii="Times New Roman" w:hAnsi="Times New Roman"/>
        </w:rPr>
        <w:t>2012. prema ključnim financijskim pokazateljima i drugim dostupnim podacima.</w:t>
      </w:r>
      <w:r w:rsidRPr="004E6412">
        <w:rPr>
          <w:rFonts w:ascii="Times New Roman" w:eastAsia="Times New Roman" w:hAnsi="Times New Roman"/>
          <w:spacing w:val="-4"/>
          <w:lang w:eastAsia="hr-HR"/>
        </w:rPr>
        <w:t xml:space="preserve"> Analiza je rezultat prethodne financijske analize svih 24</w:t>
      </w:r>
      <w:r w:rsidR="00BC4A2E" w:rsidRPr="004E6412">
        <w:rPr>
          <w:rFonts w:ascii="Times New Roman" w:eastAsia="Times New Roman" w:hAnsi="Times New Roman"/>
          <w:spacing w:val="-4"/>
          <w:lang w:eastAsia="hr-HR"/>
        </w:rPr>
        <w:t xml:space="preserve"> djelatnosti koje je čine</w:t>
      </w:r>
      <w:r w:rsidRPr="004E6412">
        <w:rPr>
          <w:rFonts w:ascii="Times New Roman" w:eastAsia="Times New Roman" w:hAnsi="Times New Roman"/>
          <w:spacing w:val="-4"/>
          <w:lang w:eastAsia="hr-HR"/>
        </w:rPr>
        <w:t xml:space="preserve"> (prema NKD</w:t>
      </w:r>
      <w:r w:rsidR="00BC4A2E" w:rsidRPr="004E6412">
        <w:rPr>
          <w:rFonts w:ascii="Times New Roman" w:eastAsia="Times New Roman" w:hAnsi="Times New Roman"/>
          <w:spacing w:val="-4"/>
          <w:lang w:eastAsia="hr-HR"/>
        </w:rPr>
        <w:t>-u</w:t>
      </w:r>
      <w:r w:rsidRPr="004E6412">
        <w:rPr>
          <w:rFonts w:ascii="Times New Roman" w:eastAsia="Times New Roman" w:hAnsi="Times New Roman"/>
          <w:spacing w:val="-4"/>
          <w:lang w:eastAsia="hr-HR"/>
        </w:rPr>
        <w:t xml:space="preserve"> 2007.) i koje se </w:t>
      </w:r>
      <w:r w:rsidRPr="004E6412">
        <w:rPr>
          <w:rFonts w:ascii="Times New Roman" w:hAnsi="Times New Roman"/>
        </w:rPr>
        <w:t>raščlanjuju na 89 poddjelatnosti.</w:t>
      </w:r>
      <w:r w:rsidRPr="004E6412">
        <w:rPr>
          <w:rFonts w:ascii="Times New Roman" w:eastAsia="Times New Roman" w:hAnsi="Times New Roman"/>
          <w:spacing w:val="-4"/>
          <w:lang w:eastAsia="hr-HR"/>
        </w:rPr>
        <w:t xml:space="preserve"> </w:t>
      </w:r>
    </w:p>
    <w:p w:rsidR="00D44131" w:rsidRPr="004E6412" w:rsidRDefault="00D44131" w:rsidP="00D44131">
      <w:pPr>
        <w:pStyle w:val="ListParagraph"/>
        <w:spacing w:after="0"/>
        <w:ind w:right="-2"/>
        <w:jc w:val="both"/>
        <w:rPr>
          <w:rFonts w:eastAsia="Times New Roman"/>
          <w:spacing w:val="-4"/>
          <w:lang w:eastAsia="hr-HR"/>
        </w:rPr>
      </w:pPr>
    </w:p>
    <w:p w:rsidR="009E54FC" w:rsidRPr="004E6412" w:rsidRDefault="00D44131" w:rsidP="00B15A78">
      <w:pPr>
        <w:pStyle w:val="ListParagraph"/>
        <w:numPr>
          <w:ilvl w:val="0"/>
          <w:numId w:val="183"/>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Kvantitativna analiza poslovanja</w:t>
      </w:r>
      <w:r w:rsidR="009E54FC" w:rsidRPr="004E6412">
        <w:rPr>
          <w:rFonts w:ascii="Times New Roman" w:eastAsia="Times New Roman" w:hAnsi="Times New Roman"/>
          <w:spacing w:val="-4"/>
          <w:lang w:eastAsia="hr-HR"/>
        </w:rPr>
        <w:t xml:space="preserve"> prerađivačke</w:t>
      </w:r>
      <w:r w:rsidR="00BC4A2E" w:rsidRPr="004E6412">
        <w:rPr>
          <w:rFonts w:ascii="Times New Roman" w:eastAsia="Times New Roman" w:hAnsi="Times New Roman"/>
          <w:spacing w:val="-4"/>
          <w:lang w:eastAsia="hr-HR"/>
        </w:rPr>
        <w:t xml:space="preserve"> industrije podijeljena je u sl</w:t>
      </w:r>
      <w:r w:rsidR="009E54FC" w:rsidRPr="004E6412">
        <w:rPr>
          <w:rFonts w:ascii="Times New Roman" w:eastAsia="Times New Roman" w:hAnsi="Times New Roman"/>
          <w:spacing w:val="-4"/>
          <w:lang w:eastAsia="hr-HR"/>
        </w:rPr>
        <w:t>jedeće cjeline:</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profitabilnosti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zaposlenih </w:t>
      </w:r>
      <w:r w:rsidR="00BC4A2E" w:rsidRPr="004E6412">
        <w:rPr>
          <w:rFonts w:ascii="Times New Roman" w:eastAsia="Times New Roman" w:hAnsi="Times New Roman"/>
          <w:spacing w:val="-4"/>
          <w:lang w:eastAsia="hr-HR"/>
        </w:rPr>
        <w:t xml:space="preserve">u </w:t>
      </w:r>
      <w:r w:rsidRPr="004E6412">
        <w:rPr>
          <w:rFonts w:ascii="Times New Roman" w:eastAsia="Times New Roman" w:hAnsi="Times New Roman"/>
          <w:spacing w:val="-4"/>
          <w:lang w:eastAsia="hr-HR"/>
        </w:rPr>
        <w:t>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međunarodne razmjene</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Struktura prerađivačke industrije prema tehnološkoj intenzivnosti</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proizvodnosti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likvidnosti prerađivačke industrije</w:t>
      </w:r>
      <w:r w:rsidR="00BC4A2E" w:rsidRPr="004E6412">
        <w:rPr>
          <w:rFonts w:ascii="Times New Roman" w:eastAsia="Times New Roman" w:hAnsi="Times New Roman"/>
          <w:spacing w:val="-4"/>
          <w:lang w:eastAsia="hr-HR"/>
        </w:rPr>
        <w:t>,</w:t>
      </w:r>
    </w:p>
    <w:p w:rsidR="00D44131"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zadu</w:t>
      </w:r>
      <w:r w:rsidR="00D44131" w:rsidRPr="004E6412">
        <w:rPr>
          <w:rFonts w:ascii="Times New Roman" w:eastAsia="Times New Roman" w:hAnsi="Times New Roman"/>
          <w:spacing w:val="-4"/>
          <w:lang w:eastAsia="hr-HR"/>
        </w:rPr>
        <w:t>ženosti prerađivačke industrije</w:t>
      </w:r>
      <w:r w:rsidR="00BC4A2E" w:rsidRPr="004E6412">
        <w:rPr>
          <w:rFonts w:ascii="Times New Roman" w:eastAsia="Times New Roman" w:hAnsi="Times New Roman"/>
          <w:spacing w:val="-4"/>
          <w:lang w:eastAsia="hr-HR"/>
        </w:rPr>
        <w:t>,</w:t>
      </w:r>
    </w:p>
    <w:p w:rsidR="008A2422"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w:t>
      </w:r>
      <w:r w:rsidRPr="004E6412">
        <w:rPr>
          <w:rFonts w:ascii="Times New Roman" w:eastAsia="Times New Roman" w:hAnsi="Times New Roman"/>
          <w:i/>
          <w:spacing w:val="-4"/>
          <w:lang w:eastAsia="hr-HR"/>
        </w:rPr>
        <w:t>bruto dodane vrijednosti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prerađivačke industrije prema veličini poduzeća i odabranim pokazateljima poslovanja</w:t>
      </w:r>
      <w:r w:rsidR="00BC4A2E" w:rsidRPr="004E6412">
        <w:rPr>
          <w:rFonts w:ascii="Times New Roman" w:eastAsia="Times New Roman" w:hAnsi="Times New Roman"/>
          <w:spacing w:val="-4"/>
          <w:lang w:eastAsia="hr-HR"/>
        </w:rPr>
        <w:t>.</w:t>
      </w:r>
    </w:p>
    <w:p w:rsidR="001B41B0" w:rsidRPr="004E6412" w:rsidRDefault="001B41B0" w:rsidP="001B41B0">
      <w:pPr>
        <w:pStyle w:val="ListParagraph"/>
        <w:spacing w:after="0"/>
        <w:ind w:left="1440" w:right="-2"/>
        <w:jc w:val="both"/>
        <w:rPr>
          <w:rFonts w:ascii="Times New Roman" w:eastAsia="Times New Roman" w:hAnsi="Times New Roman"/>
          <w:spacing w:val="-4"/>
          <w:lang w:eastAsia="hr-HR"/>
        </w:rPr>
      </w:pPr>
    </w:p>
    <w:p w:rsidR="001B41B0" w:rsidRPr="004E6412" w:rsidRDefault="001B41B0" w:rsidP="00FA5F29">
      <w:pPr>
        <w:pStyle w:val="ListParagraph"/>
        <w:numPr>
          <w:ilvl w:val="0"/>
          <w:numId w:val="86"/>
        </w:numPr>
        <w:spacing w:after="0"/>
        <w:ind w:right="57"/>
        <w:jc w:val="both"/>
        <w:rPr>
          <w:rFonts w:ascii="Times New Roman" w:eastAsia="Times New Roman" w:hAnsi="Times New Roman"/>
          <w:lang w:eastAsia="hr-HR"/>
        </w:rPr>
      </w:pPr>
      <w:r w:rsidRPr="004E6412">
        <w:rPr>
          <w:rFonts w:ascii="Times New Roman" w:eastAsia="Times New Roman" w:hAnsi="Times New Roman"/>
          <w:lang w:eastAsia="hr-HR"/>
        </w:rPr>
        <w:t>A</w:t>
      </w:r>
      <w:r w:rsidR="00BC4A2E" w:rsidRPr="004E6412">
        <w:rPr>
          <w:rFonts w:ascii="Times New Roman" w:eastAsia="Times New Roman" w:hAnsi="Times New Roman"/>
          <w:lang w:eastAsia="hr-HR"/>
        </w:rPr>
        <w:t xml:space="preserve">nalizom su obuhvaćeni </w:t>
      </w:r>
      <w:r w:rsidR="00ED0CB6" w:rsidRPr="004E6412">
        <w:rPr>
          <w:rFonts w:ascii="Times New Roman" w:eastAsia="Times New Roman" w:hAnsi="Times New Roman"/>
          <w:lang w:eastAsia="hr-HR"/>
        </w:rPr>
        <w:t>objedinjeni</w:t>
      </w:r>
      <w:r w:rsidRPr="004E6412">
        <w:rPr>
          <w:rFonts w:ascii="Times New Roman" w:eastAsia="Times New Roman" w:hAnsi="Times New Roman"/>
          <w:lang w:eastAsia="hr-HR"/>
        </w:rPr>
        <w:t xml:space="preserve"> financijski podaci poduzeća iz pojedine djelatnosti koje su dio prerađivačke industrije (područje C prema NKD-u 2007.) za vremensko razdoblje 2010.</w:t>
      </w:r>
      <w:r w:rsidR="00BC4A2E"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2012. Razina obuhvata djelatnosti je Republika Hrvatska. Iznosi su izraženi u domaćoj valuti – hrvatskoj kuni (HRK). </w:t>
      </w:r>
    </w:p>
    <w:p w:rsidR="001B41B0" w:rsidRPr="004E6412" w:rsidRDefault="001B41B0" w:rsidP="001B41B0">
      <w:pPr>
        <w:pStyle w:val="ListParagraph"/>
        <w:spacing w:after="0"/>
        <w:ind w:right="-2"/>
        <w:jc w:val="both"/>
        <w:rPr>
          <w:rFonts w:ascii="Times New Roman" w:hAnsi="Times New Roman"/>
        </w:rPr>
      </w:pPr>
    </w:p>
    <w:p w:rsidR="001B41B0" w:rsidRPr="004E6412" w:rsidRDefault="001B41B0" w:rsidP="00FA5F29">
      <w:pPr>
        <w:pStyle w:val="ListParagraph"/>
        <w:numPr>
          <w:ilvl w:val="0"/>
          <w:numId w:val="86"/>
        </w:numPr>
        <w:spacing w:after="0"/>
        <w:ind w:right="-2"/>
        <w:jc w:val="both"/>
        <w:rPr>
          <w:rFonts w:ascii="Times New Roman" w:hAnsi="Times New Roman"/>
        </w:rPr>
      </w:pPr>
      <w:r w:rsidRPr="004E6412">
        <w:rPr>
          <w:rFonts w:ascii="Times New Roman" w:hAnsi="Times New Roman"/>
        </w:rPr>
        <w:t>Prema odabranim pokazateljima prerađiv</w:t>
      </w:r>
      <w:r w:rsidR="00ED0CB6" w:rsidRPr="004E6412">
        <w:rPr>
          <w:rFonts w:ascii="Times New Roman" w:hAnsi="Times New Roman"/>
        </w:rPr>
        <w:t xml:space="preserve">ačka industrija Hrvatske </w:t>
      </w:r>
      <w:r w:rsidRPr="004E6412">
        <w:rPr>
          <w:rFonts w:ascii="Times New Roman" w:hAnsi="Times New Roman"/>
        </w:rPr>
        <w:t xml:space="preserve">uspoređuje </w:t>
      </w:r>
      <w:r w:rsidR="00ED0CB6" w:rsidRPr="004E6412">
        <w:rPr>
          <w:rFonts w:ascii="Times New Roman" w:hAnsi="Times New Roman"/>
        </w:rPr>
        <w:t xml:space="preserve">se </w:t>
      </w:r>
      <w:r w:rsidRPr="004E6412">
        <w:rPr>
          <w:rFonts w:ascii="Times New Roman" w:hAnsi="Times New Roman"/>
        </w:rPr>
        <w:t>s prerađivačkom industrijom ostalih zemalja EU</w:t>
      </w:r>
      <w:r w:rsidR="00ED0CB6" w:rsidRPr="004E6412">
        <w:rPr>
          <w:rFonts w:ascii="Times New Roman" w:hAnsi="Times New Roman"/>
        </w:rPr>
        <w:t>-a</w:t>
      </w:r>
      <w:r w:rsidRPr="004E6412">
        <w:rPr>
          <w:rFonts w:ascii="Times New Roman" w:hAnsi="Times New Roman"/>
        </w:rPr>
        <w:t>.</w:t>
      </w:r>
    </w:p>
    <w:p w:rsidR="001B41B0" w:rsidRPr="004E6412" w:rsidRDefault="001B41B0" w:rsidP="001B41B0">
      <w:pPr>
        <w:pStyle w:val="ListParagraph"/>
        <w:spacing w:after="0"/>
        <w:rPr>
          <w:rFonts w:ascii="Times New Roman" w:hAnsi="Times New Roman"/>
        </w:rPr>
      </w:pPr>
    </w:p>
    <w:p w:rsidR="002654B0" w:rsidRPr="004E6412" w:rsidRDefault="001B41B0" w:rsidP="002654B0">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rPr>
        <w:t>Podaci za kvantitativnu analizu prerađivačke industrije i pripadajućih djelatnosti (</w:t>
      </w:r>
      <w:r w:rsidR="00ED0CB6" w:rsidRPr="004E6412">
        <w:rPr>
          <w:rFonts w:ascii="Times New Roman" w:hAnsi="Times New Roman"/>
        </w:rPr>
        <w:t xml:space="preserve">u daljnjem tekstu „analiza“) </w:t>
      </w:r>
      <w:r w:rsidRPr="004E6412">
        <w:rPr>
          <w:rFonts w:ascii="Times New Roman" w:hAnsi="Times New Roman"/>
        </w:rPr>
        <w:t xml:space="preserve">u cijelosti </w:t>
      </w:r>
      <w:r w:rsidR="00ED0CB6" w:rsidRPr="004E6412">
        <w:rPr>
          <w:rFonts w:ascii="Times New Roman" w:hAnsi="Times New Roman"/>
        </w:rPr>
        <w:t xml:space="preserve">su </w:t>
      </w:r>
      <w:r w:rsidRPr="004E6412">
        <w:rPr>
          <w:rFonts w:ascii="Times New Roman" w:hAnsi="Times New Roman"/>
        </w:rPr>
        <w:t xml:space="preserve">prikupljeni iz postojećih administrativnih i statističkih </w:t>
      </w:r>
      <w:r w:rsidR="00ED0CB6" w:rsidRPr="004E6412">
        <w:rPr>
          <w:rFonts w:ascii="Times New Roman" w:hAnsi="Times New Roman"/>
        </w:rPr>
        <w:t>izvora. Glavni izvor podataka čine</w:t>
      </w:r>
      <w:r w:rsidRPr="004E6412">
        <w:rPr>
          <w:rFonts w:ascii="Times New Roman" w:hAnsi="Times New Roman"/>
        </w:rPr>
        <w:t xml:space="preserve"> podaci dobiveni iz Financijske agencije (FINA). Dodatni izvori podataka su izvještaji sa službenih internetskih stranica </w:t>
      </w:r>
      <w:r w:rsidRPr="004E6412">
        <w:rPr>
          <w:rFonts w:ascii="Times New Roman" w:eastAsia="Times New Roman" w:hAnsi="Times New Roman"/>
          <w:spacing w:val="-2"/>
          <w:lang w:eastAsia="hr-HR"/>
        </w:rPr>
        <w:t>Državnog zavoda za statistiku Republike Hrvatske (DZS), Hrvatske narodne banke (HNB), te Statističkog ureda EU</w:t>
      </w:r>
      <w:r w:rsidR="00ED0CB6" w:rsidRPr="004E6412">
        <w:rPr>
          <w:rFonts w:ascii="Times New Roman" w:eastAsia="Times New Roman" w:hAnsi="Times New Roman"/>
          <w:spacing w:val="-2"/>
          <w:lang w:eastAsia="hr-HR"/>
        </w:rPr>
        <w:t>-a</w:t>
      </w:r>
      <w:r w:rsidRPr="004E6412">
        <w:rPr>
          <w:rFonts w:ascii="Times New Roman" w:eastAsia="Times New Roman" w:hAnsi="Times New Roman"/>
          <w:spacing w:val="-2"/>
          <w:lang w:eastAsia="hr-HR"/>
        </w:rPr>
        <w:t xml:space="preserve"> (Eurostat). </w:t>
      </w:r>
    </w:p>
    <w:p w:rsidR="002654B0" w:rsidRPr="004E6412" w:rsidRDefault="002654B0" w:rsidP="002654B0">
      <w:pPr>
        <w:pStyle w:val="ListParagraph"/>
        <w:rPr>
          <w:rFonts w:ascii="Times New Roman" w:eastAsia="Times New Roman" w:hAnsi="Times New Roman"/>
          <w:spacing w:val="-2"/>
          <w:lang w:eastAsia="hr-HR"/>
        </w:rPr>
      </w:pPr>
    </w:p>
    <w:p w:rsidR="00B066F4" w:rsidRPr="004E6412" w:rsidRDefault="002654B0" w:rsidP="00ED0CB6">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lang w:eastAsia="hr-HR"/>
        </w:rPr>
        <w:t>Prilikom</w:t>
      </w:r>
      <w:r w:rsidR="00ED0CB6" w:rsidRPr="004E6412">
        <w:rPr>
          <w:rFonts w:ascii="Times New Roman" w:hAnsi="Times New Roman"/>
          <w:lang w:eastAsia="hr-HR"/>
        </w:rPr>
        <w:t xml:space="preserve"> tumačenja</w:t>
      </w:r>
      <w:r w:rsidR="00F60896" w:rsidRPr="004E6412">
        <w:rPr>
          <w:rFonts w:ascii="Times New Roman" w:hAnsi="Times New Roman"/>
          <w:lang w:eastAsia="hr-HR"/>
        </w:rPr>
        <w:t xml:space="preserve"> rezultata kvantitativne analize prerađivačke industrije izostavljene su </w:t>
      </w:r>
      <w:r w:rsidRPr="004E6412">
        <w:rPr>
          <w:rFonts w:ascii="Times New Roman" w:hAnsi="Times New Roman"/>
          <w:lang w:eastAsia="hr-HR"/>
        </w:rPr>
        <w:t>djelatnosti C30</w:t>
      </w:r>
      <w:r w:rsidR="00B6446D" w:rsidRPr="004E6412">
        <w:rPr>
          <w:rFonts w:ascii="Times New Roman" w:hAnsi="Times New Roman"/>
          <w:lang w:eastAsia="hr-HR"/>
        </w:rPr>
        <w:t xml:space="preserve"> </w:t>
      </w:r>
      <w:r w:rsidR="00B6446D" w:rsidRPr="004E6412">
        <w:rPr>
          <w:rFonts w:ascii="Times New Roman" w:hAnsi="Times New Roman"/>
        </w:rPr>
        <w:t xml:space="preserve">Proizvodnja ostalih prijevoznih sredstava </w:t>
      </w:r>
      <w:r w:rsidRPr="004E6412">
        <w:rPr>
          <w:rFonts w:ascii="Times New Roman" w:hAnsi="Times New Roman"/>
          <w:lang w:eastAsia="hr-HR"/>
        </w:rPr>
        <w:t>i C33</w:t>
      </w:r>
      <w:r w:rsidR="00B6446D" w:rsidRPr="004E6412">
        <w:rPr>
          <w:rFonts w:ascii="Times New Roman" w:hAnsi="Times New Roman"/>
          <w:lang w:eastAsia="hr-HR"/>
        </w:rPr>
        <w:t xml:space="preserve"> </w:t>
      </w:r>
      <w:r w:rsidR="00B6446D" w:rsidRPr="004E6412">
        <w:rPr>
          <w:rFonts w:ascii="Times New Roman" w:hAnsi="Times New Roman"/>
        </w:rPr>
        <w:t>Popravak i instaliranje strojeva i opreme</w:t>
      </w:r>
      <w:r w:rsidR="00B6446D" w:rsidRPr="004E6412">
        <w:rPr>
          <w:rFonts w:ascii="Times New Roman" w:hAnsi="Times New Roman"/>
          <w:lang w:eastAsia="hr-HR"/>
        </w:rPr>
        <w:t xml:space="preserve"> </w:t>
      </w:r>
      <w:r w:rsidRPr="004E6412">
        <w:rPr>
          <w:rFonts w:ascii="Times New Roman" w:hAnsi="Times New Roman"/>
          <w:lang w:eastAsia="hr-HR"/>
        </w:rPr>
        <w:t>zbog izuzetno visokih stopa profitabilnosti</w:t>
      </w:r>
      <w:r w:rsidR="004D32C6" w:rsidRPr="004E6412">
        <w:rPr>
          <w:rFonts w:ascii="Times New Roman" w:hAnsi="Times New Roman"/>
          <w:lang w:eastAsia="hr-HR"/>
        </w:rPr>
        <w:t xml:space="preserve"> i visokih vrijednosti drugih financijskih pokazatelja</w:t>
      </w:r>
      <w:r w:rsidR="00ED0CB6" w:rsidRPr="004E6412">
        <w:rPr>
          <w:rFonts w:ascii="Times New Roman" w:hAnsi="Times New Roman"/>
          <w:lang w:eastAsia="hr-HR"/>
        </w:rPr>
        <w:t xml:space="preserve"> koje su rezultat utjecaja</w:t>
      </w:r>
      <w:r w:rsidRPr="004E6412">
        <w:rPr>
          <w:rFonts w:ascii="Times New Roman" w:hAnsi="Times New Roman"/>
          <w:lang w:eastAsia="hr-HR"/>
        </w:rPr>
        <w:t xml:space="preserve"> pet </w:t>
      </w:r>
      <w:r w:rsidR="004D32C6" w:rsidRPr="004E6412">
        <w:rPr>
          <w:rFonts w:ascii="Times New Roman" w:hAnsi="Times New Roman"/>
          <w:lang w:eastAsia="hr-HR"/>
        </w:rPr>
        <w:t xml:space="preserve">najvećih </w:t>
      </w:r>
      <w:r w:rsidRPr="004E6412">
        <w:rPr>
          <w:rFonts w:ascii="Times New Roman" w:hAnsi="Times New Roman"/>
          <w:lang w:eastAsia="hr-HR"/>
        </w:rPr>
        <w:t xml:space="preserve">poduzeća. </w:t>
      </w:r>
      <w:r w:rsidR="004D32C6" w:rsidRPr="004E6412">
        <w:rPr>
          <w:rFonts w:ascii="Times New Roman" w:hAnsi="Times New Roman"/>
          <w:lang w:eastAsia="hr-HR"/>
        </w:rPr>
        <w:t xml:space="preserve">U tablicama nisu izostavljene vrijednosti ostvarenih financijskih pokazatelja djelatnosti C30 i C33. </w:t>
      </w:r>
      <w:r w:rsidRPr="004E6412">
        <w:rPr>
          <w:rFonts w:ascii="Times New Roman" w:hAnsi="Times New Roman"/>
          <w:lang w:eastAsia="hr-HR"/>
        </w:rPr>
        <w:t>Detaljnije obj</w:t>
      </w:r>
      <w:r w:rsidR="00041C1A" w:rsidRPr="004E6412">
        <w:rPr>
          <w:rFonts w:ascii="Times New Roman" w:hAnsi="Times New Roman"/>
          <w:lang w:eastAsia="hr-HR"/>
        </w:rPr>
        <w:t>ašnjenje nalazi se u dijelu</w:t>
      </w:r>
      <w:r w:rsidRPr="004E6412">
        <w:rPr>
          <w:rFonts w:ascii="Times New Roman" w:hAnsi="Times New Roman"/>
          <w:lang w:eastAsia="hr-HR"/>
        </w:rPr>
        <w:t xml:space="preserve"> analize djelatnosti C30 i C33.</w:t>
      </w:r>
    </w:p>
    <w:p w:rsidR="00B066F4" w:rsidRPr="004E6412" w:rsidRDefault="00B066F4" w:rsidP="00B066F4">
      <w:pPr>
        <w:rPr>
          <w:rFonts w:eastAsia="Times New Roman"/>
          <w:spacing w:val="-2"/>
          <w:lang w:eastAsia="hr-HR"/>
        </w:rPr>
      </w:pPr>
    </w:p>
    <w:p w:rsidR="00B066F4" w:rsidRPr="004E6412" w:rsidRDefault="00B066F4" w:rsidP="00B066F4">
      <w:pPr>
        <w:pStyle w:val="Heading3"/>
      </w:pPr>
      <w:bookmarkStart w:id="215" w:name="_Toc372087963"/>
      <w:bookmarkStart w:id="216" w:name="_Toc378069023"/>
      <w:r w:rsidRPr="004E6412">
        <w:lastRenderedPageBreak/>
        <w:t>Analiza profitabilnosti prerađivačke industrije 2010.</w:t>
      </w:r>
      <w:r w:rsidR="00ED0CB6" w:rsidRPr="004E6412">
        <w:t xml:space="preserve"> – </w:t>
      </w:r>
      <w:r w:rsidRPr="004E6412">
        <w:t>2012.</w:t>
      </w:r>
      <w:bookmarkEnd w:id="215"/>
      <w:bookmarkEnd w:id="216"/>
      <w:r w:rsidRPr="004E6412">
        <w:t xml:space="preserve"> </w:t>
      </w:r>
    </w:p>
    <w:p w:rsidR="00B066F4" w:rsidRPr="004E6412" w:rsidRDefault="00B066F4" w:rsidP="00B066F4"/>
    <w:p w:rsidR="00B066F4" w:rsidRPr="004E6412" w:rsidRDefault="00B066F4" w:rsidP="00B066F4">
      <w:pPr>
        <w:pStyle w:val="ListParagraph"/>
        <w:numPr>
          <w:ilvl w:val="0"/>
          <w:numId w:val="92"/>
        </w:numPr>
        <w:tabs>
          <w:tab w:val="left" w:pos="2350"/>
        </w:tabs>
        <w:spacing w:after="0"/>
        <w:jc w:val="both"/>
        <w:rPr>
          <w:rFonts w:ascii="Times New Roman" w:hAnsi="Times New Roman"/>
        </w:rPr>
      </w:pPr>
      <w:r w:rsidRPr="004E6412">
        <w:rPr>
          <w:rFonts w:ascii="Times New Roman" w:hAnsi="Times New Roman"/>
        </w:rPr>
        <w:t>Prerađivačka industrija u svim promatranim godinama ostvaruje ukupne prihode veće od ukupnih rashoda, a navedeni odnos po godinama je sve veći (1,02 u 2010., 1,05 u 2011. i 1,06 u 2012</w:t>
      </w:r>
      <w:r w:rsidR="00ED0CB6" w:rsidRPr="004E6412">
        <w:rPr>
          <w:rFonts w:ascii="Times New Roman" w:hAnsi="Times New Roman"/>
        </w:rPr>
        <w:t>.</w:t>
      </w:r>
      <w:r w:rsidRPr="004E6412">
        <w:rPr>
          <w:rFonts w:ascii="Times New Roman" w:hAnsi="Times New Roman"/>
        </w:rPr>
        <w:t>). Međutim, radi se o relativno niskom stupnju ekonomičnosti. Godišnji rast prerađivačke industrije mjeren ukupnim prihodima ukazuje na usporavanje rasta pa je tako godišnji rast promatrane industrije u 2011. (u odnosu na 2010.) iznosio 8,97%, dok je godinu kasnije (u 2012. u odnosu na 2011.) iznosio tek 1,08%.</w:t>
      </w:r>
    </w:p>
    <w:p w:rsidR="00B066F4" w:rsidRPr="004E6412" w:rsidRDefault="00B066F4" w:rsidP="00B066F4">
      <w:pPr>
        <w:rPr>
          <w:sz w:val="22"/>
        </w:rPr>
      </w:pPr>
    </w:p>
    <w:p w:rsidR="00B066F4" w:rsidRPr="004E6412" w:rsidRDefault="00B066F4" w:rsidP="00B066F4">
      <w:pPr>
        <w:pStyle w:val="ListParagraph"/>
        <w:numPr>
          <w:ilvl w:val="0"/>
          <w:numId w:val="92"/>
        </w:numPr>
        <w:jc w:val="both"/>
        <w:rPr>
          <w:rFonts w:ascii="Times New Roman" w:hAnsi="Times New Roman"/>
          <w:szCs w:val="24"/>
        </w:rPr>
      </w:pPr>
      <w:r w:rsidRPr="004E6412">
        <w:rPr>
          <w:rFonts w:ascii="Times New Roman" w:hAnsi="Times New Roman"/>
          <w:szCs w:val="24"/>
        </w:rPr>
        <w:t>Prema pokazateljima profitabilnosti, utvrđena su znatna odstupanja od prosjeka pojedinih poduzeća u djelatnostima C30 i C33. Ne samo da se radi o odstupanjima od prosjeka, već se radi o pokazateljima profitabilnosti koji su neuobičajeni za pr</w:t>
      </w:r>
      <w:r w:rsidR="00216060" w:rsidRPr="004E6412">
        <w:rPr>
          <w:rFonts w:ascii="Times New Roman" w:hAnsi="Times New Roman"/>
          <w:szCs w:val="24"/>
        </w:rPr>
        <w:t xml:space="preserve">oizvodna poduzeća u zreloj fazi </w:t>
      </w:r>
      <w:r w:rsidRPr="004E6412">
        <w:rPr>
          <w:rFonts w:ascii="Times New Roman" w:hAnsi="Times New Roman"/>
          <w:szCs w:val="24"/>
        </w:rPr>
        <w:t>poslovanja. S obzirom da se radi o poduzećima koja u slučaju C30 čine 65,19% ukupnih prihoda cjelokupne djelatnosti, te u slučaju C33 čine 57,68% ukupnih prihoda djelatnosti u 2012., njihovi poslovni rezultati izuzetno mnogo utječu na poslovni rezultat cjelokupne djelatnosti. Radi se o sljedećim poduzećima u djelatnosti C30: Brodosplit brodogradilište d.o.o., Brodograđevna industrija 3. Maj d.d., Brodograditlište Viktor Lenac d.d.,</w:t>
      </w:r>
      <w:r w:rsidR="00216060" w:rsidRPr="004E6412">
        <w:rPr>
          <w:rFonts w:ascii="Times New Roman" w:hAnsi="Times New Roman"/>
          <w:szCs w:val="24"/>
        </w:rPr>
        <w:t xml:space="preserve"> Brodogradilište K</w:t>
      </w:r>
      <w:r w:rsidRPr="004E6412">
        <w:rPr>
          <w:rFonts w:ascii="Times New Roman" w:hAnsi="Times New Roman"/>
          <w:szCs w:val="24"/>
        </w:rPr>
        <w:t>raljevica d.d. u stečaju, a u djelatnosti C33 to je Brodotrogir d.d. Dakako, to nisu jedina poduzeća iz cijele prerađivačke industrije koja po nekom pokazatelju znatno odstupaju od prosjeka. Međutim</w:t>
      </w:r>
      <w:r w:rsidR="00216060" w:rsidRPr="004E6412">
        <w:rPr>
          <w:rFonts w:ascii="Times New Roman" w:hAnsi="Times New Roman"/>
          <w:szCs w:val="24"/>
        </w:rPr>
        <w:t>,</w:t>
      </w:r>
      <w:r w:rsidRPr="004E6412">
        <w:rPr>
          <w:rFonts w:ascii="Times New Roman" w:hAnsi="Times New Roman"/>
          <w:szCs w:val="24"/>
        </w:rPr>
        <w:t xml:space="preserve"> ova poduzeća povezuje još jedan kriterij, a to je udio države u vlasništvu </w:t>
      </w:r>
      <w:r w:rsidR="00216060" w:rsidRPr="004E6412">
        <w:rPr>
          <w:rFonts w:ascii="Times New Roman" w:hAnsi="Times New Roman"/>
          <w:szCs w:val="24"/>
        </w:rPr>
        <w:t xml:space="preserve">koji je </w:t>
      </w:r>
      <w:r w:rsidRPr="004E6412">
        <w:rPr>
          <w:rFonts w:ascii="Times New Roman" w:hAnsi="Times New Roman"/>
          <w:szCs w:val="24"/>
        </w:rPr>
        <w:t>veći</w:t>
      </w:r>
      <w:r w:rsidR="00216060" w:rsidRPr="004E6412">
        <w:rPr>
          <w:rFonts w:ascii="Times New Roman" w:hAnsi="Times New Roman"/>
          <w:szCs w:val="24"/>
        </w:rPr>
        <w:t xml:space="preserve"> od 50% (mješovito vlasništvo) te</w:t>
      </w:r>
      <w:r w:rsidRPr="004E6412">
        <w:rPr>
          <w:rFonts w:ascii="Times New Roman" w:hAnsi="Times New Roman"/>
          <w:szCs w:val="24"/>
        </w:rPr>
        <w:t xml:space="preserve"> znatna dugogodišnja ulaganja, isplaćene subvencije i poticaji od strane države. </w:t>
      </w:r>
      <w:r w:rsidR="00216060" w:rsidRPr="004E6412">
        <w:rPr>
          <w:rFonts w:ascii="Times New Roman" w:hAnsi="Times New Roman"/>
          <w:szCs w:val="24"/>
        </w:rPr>
        <w:t>Analizom poslovanja tih tvrtki</w:t>
      </w:r>
      <w:r w:rsidRPr="004E6412">
        <w:rPr>
          <w:rFonts w:ascii="Times New Roman" w:hAnsi="Times New Roman"/>
          <w:szCs w:val="24"/>
        </w:rPr>
        <w:t>, uz z</w:t>
      </w:r>
      <w:r w:rsidR="00216060" w:rsidRPr="004E6412">
        <w:rPr>
          <w:rFonts w:ascii="Times New Roman" w:hAnsi="Times New Roman"/>
          <w:szCs w:val="24"/>
        </w:rPr>
        <w:t xml:space="preserve">adršku s obzirom na opseg javno </w:t>
      </w:r>
      <w:r w:rsidRPr="004E6412">
        <w:rPr>
          <w:rFonts w:ascii="Times New Roman" w:hAnsi="Times New Roman"/>
          <w:szCs w:val="24"/>
        </w:rPr>
        <w:t>dostupnih podataka, utvrđeno je d</w:t>
      </w:r>
      <w:r w:rsidR="00216060" w:rsidRPr="004E6412">
        <w:rPr>
          <w:rFonts w:ascii="Times New Roman" w:hAnsi="Times New Roman"/>
          <w:szCs w:val="24"/>
        </w:rPr>
        <w:t>a je iznimno</w:t>
      </w:r>
      <w:r w:rsidRPr="004E6412">
        <w:rPr>
          <w:rFonts w:ascii="Times New Roman" w:hAnsi="Times New Roman"/>
          <w:szCs w:val="24"/>
        </w:rPr>
        <w:t xml:space="preserve"> visoka ili niska profitabilnost ovih poduzeća dobrim dijelom rezultat državnog utjecaja u vidu izdanih subvencija, zatim pretvaranja duga u imovinu, otpisa obveza i slično. Djelatnosti C30 i C33 mogu se i trebaju promatrati kao cjelina u sklopu industrijske analize. Međutim, na razini djelatnosti valja s oprezom promatrati njihove financijske pokazatelje zbog velikog </w:t>
      </w:r>
      <w:r w:rsidR="00216060" w:rsidRPr="004E6412">
        <w:rPr>
          <w:rFonts w:ascii="Times New Roman" w:hAnsi="Times New Roman"/>
          <w:szCs w:val="24"/>
        </w:rPr>
        <w:t>utjecaja državnih novčanih i ne</w:t>
      </w:r>
      <w:r w:rsidRPr="004E6412">
        <w:rPr>
          <w:rFonts w:ascii="Times New Roman" w:hAnsi="Times New Roman"/>
          <w:szCs w:val="24"/>
        </w:rPr>
        <w:t>novčanih intervencija, koje su u ovim slučajevima u 2012. znača</w:t>
      </w:r>
      <w:r w:rsidR="00216060" w:rsidRPr="004E6412">
        <w:rPr>
          <w:rFonts w:ascii="Times New Roman" w:hAnsi="Times New Roman"/>
          <w:szCs w:val="24"/>
        </w:rPr>
        <w:t>jno izmijenile profitabilnost prethodno navedenih</w:t>
      </w:r>
      <w:r w:rsidRPr="004E6412">
        <w:rPr>
          <w:rFonts w:ascii="Times New Roman" w:hAnsi="Times New Roman"/>
          <w:szCs w:val="24"/>
        </w:rPr>
        <w:t xml:space="preserve"> poduzeća, a time i profitabilnost cjelokupne djelatnosti.</w:t>
      </w:r>
    </w:p>
    <w:p w:rsidR="00B066F4" w:rsidRPr="004E6412" w:rsidRDefault="00B066F4" w:rsidP="00B066F4">
      <w:pPr>
        <w:pStyle w:val="ListParagraph"/>
        <w:rPr>
          <w:rFonts w:ascii="Times New Roman" w:hAnsi="Times New Roman"/>
          <w:szCs w:val="24"/>
        </w:rPr>
      </w:pPr>
    </w:p>
    <w:p w:rsidR="00B066F4" w:rsidRPr="004E6412" w:rsidRDefault="00B066F4" w:rsidP="00B066F4">
      <w:pPr>
        <w:pStyle w:val="ListParagraph"/>
        <w:numPr>
          <w:ilvl w:val="0"/>
          <w:numId w:val="92"/>
        </w:numPr>
        <w:spacing w:after="0"/>
        <w:jc w:val="both"/>
        <w:rPr>
          <w:rFonts w:ascii="Times New Roman" w:hAnsi="Times New Roman"/>
        </w:rPr>
      </w:pPr>
      <w:r w:rsidRPr="004E6412">
        <w:rPr>
          <w:rFonts w:ascii="Times New Roman" w:hAnsi="Times New Roman"/>
        </w:rPr>
        <w:t>S obzirom na prosjek prerađivačke industrije</w:t>
      </w:r>
      <w:r w:rsidR="00CB5199" w:rsidRPr="004E6412">
        <w:rPr>
          <w:rFonts w:ascii="Times New Roman" w:hAnsi="Times New Roman"/>
        </w:rPr>
        <w:t>, ne uključujući djelatnosti C30 i C33</w:t>
      </w:r>
      <w:r w:rsidR="00216060" w:rsidRPr="004E6412">
        <w:rPr>
          <w:rFonts w:ascii="Times New Roman" w:hAnsi="Times New Roman"/>
        </w:rPr>
        <w:t>, u 2012. po svojoj</w:t>
      </w:r>
      <w:r w:rsidRPr="004E6412">
        <w:rPr>
          <w:rFonts w:ascii="Times New Roman" w:hAnsi="Times New Roman"/>
        </w:rPr>
        <w:t xml:space="preserve"> </w:t>
      </w:r>
      <w:r w:rsidR="00216060" w:rsidRPr="004E6412">
        <w:rPr>
          <w:rFonts w:ascii="Times New Roman" w:hAnsi="Times New Roman"/>
        </w:rPr>
        <w:t>ekonomičnosti</w:t>
      </w:r>
      <w:r w:rsidR="00B6446D" w:rsidRPr="004E6412">
        <w:rPr>
          <w:rFonts w:ascii="Times New Roman" w:hAnsi="Times New Roman"/>
        </w:rPr>
        <w:t xml:space="preserve"> ističe se djelatnost </w:t>
      </w:r>
      <w:r w:rsidRPr="004E6412">
        <w:rPr>
          <w:rFonts w:ascii="Times New Roman" w:hAnsi="Times New Roman"/>
        </w:rPr>
        <w:t>C12 Proizvodnja duhanskih proizvoda (1,23). S druge strane, djelatnosti koje se pokazuju izrazito neekonomičnima su C17 Proizvodnja papira i proizvoda od papira (0,87) i C20 Proizvodnja kemikalija i kemijskih proizvoda (0,89) budući da te djelatnosti ostvaruju ukupne rashode veće od ukupnih prihoda.</w:t>
      </w:r>
    </w:p>
    <w:p w:rsidR="00B066F4" w:rsidRPr="004E6412" w:rsidRDefault="00B066F4" w:rsidP="00B066F4">
      <w:pPr>
        <w:rPr>
          <w:sz w:val="22"/>
        </w:rPr>
      </w:pPr>
    </w:p>
    <w:p w:rsidR="00B066F4" w:rsidRPr="004E6412" w:rsidRDefault="00B066F4" w:rsidP="00B066F4">
      <w:pPr>
        <w:sectPr w:rsidR="00B066F4"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17" w:name="_Toc372088111"/>
      <w:bookmarkStart w:id="218" w:name="_Toc377551042"/>
      <w:bookmarkStart w:id="219" w:name="_Toc377635231"/>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30</w:t>
      </w:r>
      <w:r w:rsidRPr="007D0CFD">
        <w:rPr>
          <w:rStyle w:val="IntenseEmphasis"/>
          <w:b/>
          <w:bCs w:val="0"/>
          <w:iCs w:val="0"/>
          <w:color w:val="548DD4" w:themeColor="text2" w:themeTint="99"/>
          <w:sz w:val="20"/>
        </w:rPr>
        <w:t>. Apsolutne vrijednosti ukupnih prihoda i ukupnih rashoda djelatnosti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17"/>
      <w:bookmarkEnd w:id="218"/>
      <w:bookmarkEnd w:id="219"/>
      <w:r w:rsidRPr="007D0CFD">
        <w:rPr>
          <w:rStyle w:val="IntenseEmphasis"/>
          <w:b/>
          <w:bCs w:val="0"/>
          <w:iCs w:val="0"/>
          <w:color w:val="548DD4" w:themeColor="text2" w:themeTint="99"/>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1902"/>
        <w:gridCol w:w="2059"/>
        <w:gridCol w:w="856"/>
        <w:gridCol w:w="1988"/>
        <w:gridCol w:w="2127"/>
        <w:gridCol w:w="2059"/>
      </w:tblGrid>
      <w:tr w:rsidR="00B066F4" w:rsidRPr="004E6412" w:rsidTr="009E54FC">
        <w:trPr>
          <w:trHeight w:val="20"/>
          <w:jc w:val="center"/>
        </w:trPr>
        <w:tc>
          <w:tcPr>
            <w:tcW w:w="487" w:type="pct"/>
            <w:vMerge w:val="restart"/>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204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prihodi (HRK)</w:t>
            </w:r>
          </w:p>
        </w:tc>
        <w:tc>
          <w:tcPr>
            <w:tcW w:w="301" w:type="pct"/>
            <w:vMerge w:val="restart"/>
            <w:shd w:val="pct15" w:color="auto" w:fill="auto"/>
            <w:noWrap/>
            <w:vAlign w:val="center"/>
          </w:tcPr>
          <w:p w:rsidR="00B066F4" w:rsidRPr="004E6412" w:rsidRDefault="00B066F4" w:rsidP="009E54FC">
            <w:pPr>
              <w:spacing w:line="240" w:lineRule="auto"/>
              <w:jc w:val="center"/>
              <w:rPr>
                <w:rFonts w:eastAsia="Times New Roman"/>
                <w:color w:val="000000"/>
                <w:sz w:val="20"/>
                <w:szCs w:val="20"/>
                <w:lang w:eastAsia="hr-HR"/>
              </w:rPr>
            </w:pPr>
            <w:r w:rsidRPr="004E6412">
              <w:rPr>
                <w:rFonts w:eastAsia="Times New Roman"/>
                <w:b/>
                <w:bCs/>
                <w:color w:val="000000"/>
                <w:sz w:val="20"/>
                <w:szCs w:val="20"/>
                <w:lang w:eastAsia="hr-HR"/>
              </w:rPr>
              <w:t>Šifra</w:t>
            </w:r>
          </w:p>
        </w:tc>
        <w:tc>
          <w:tcPr>
            <w:tcW w:w="217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rashodi (HRK)</w:t>
            </w:r>
          </w:p>
        </w:tc>
      </w:tr>
      <w:tr w:rsidR="00B066F4" w:rsidRPr="004E6412" w:rsidTr="009E54FC">
        <w:trPr>
          <w:trHeight w:val="20"/>
          <w:jc w:val="center"/>
        </w:trPr>
        <w:tc>
          <w:tcPr>
            <w:tcW w:w="487" w:type="pct"/>
            <w:vMerge/>
            <w:shd w:val="pct15" w:color="auto" w:fill="auto"/>
            <w:noWrap/>
            <w:vAlign w:val="center"/>
          </w:tcPr>
          <w:p w:rsidR="00B066F4" w:rsidRPr="004E6412" w:rsidRDefault="00B066F4" w:rsidP="009E54FC">
            <w:pPr>
              <w:spacing w:line="240" w:lineRule="auto"/>
              <w:jc w:val="center"/>
              <w:rPr>
                <w:rFonts w:eastAsia="Times New Roman"/>
                <w:b/>
                <w:bCs/>
                <w:color w:val="000000"/>
                <w:sz w:val="20"/>
                <w:szCs w:val="20"/>
                <w:lang w:eastAsia="hr-HR"/>
              </w:rPr>
            </w:pPr>
          </w:p>
        </w:tc>
        <w:tc>
          <w:tcPr>
            <w:tcW w:w="6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66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301" w:type="pct"/>
            <w:vMerge/>
            <w:shd w:val="pct15"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p>
        </w:tc>
        <w:tc>
          <w:tcPr>
            <w:tcW w:w="69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7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29.229.224.017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31.737.457.980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32.741.686.821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28.973.977.883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30.893.446.422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32.247.412.372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6.121.021.074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6.302.371.756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6.307.280.480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5.837.367.554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5.843.120.944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5.767.666.411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1.940.303.308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1.796.855.343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1.761.308.677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1.410.301.972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1.349.971.748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1.430.868.589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1.396.497.846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1.211.365.145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1.110.473.662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1.414.923.383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1.209.336.450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1.103.706.760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3.595.304.817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3.840.113.656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3.783.181.619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3.626.699.643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3.740.856.945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3.843.852.664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2.631.575.160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2.931.639.623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3.005.533.627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2.613.601.989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2.834.198.624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3.066.924.553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3.918.761.663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4.251.655.482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4.631.094.146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4.082.010.240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4.236.023.478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4.703.898.734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2.562.722.225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2.585.520.357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2.560.706.546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2.710.455.479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2.570.232.237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2.942.123.833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2.752.559.334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2.843.361.407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2.796.064.348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2.706.923.967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2.804.697.880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2.748.879.712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24.694.965.600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28.371.192.123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27.883.514.680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22.499.122.374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25.831.329.481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26.221.984.514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7.378.692.433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7.805.196.311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7.089.978.410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7.598.134.821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8.113.269.271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7.998.047.191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4.220.334.882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4.470.691.213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5.201.680.904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3.498.723.607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4.196.263.760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4.494.546.251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4.481.643.932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4.204.688.798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4.182.178.616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4.490.844.470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4.140.506.218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4.122.169.249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7.666.453.443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7.915.982.338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7.529.428.896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7.990.935.424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8.250.053.970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7.709.543.072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2.948.419.432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4.316.144.472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4.701.749.768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3.535.063.370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5.931.718.021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4.333.452.491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10.375.474.780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11.221.375.723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11.896.808.737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10.171.216.076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10.859.494.676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11.214.869.183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5.844.973.251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5.385.108.696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5.868.936.378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5.640.280.018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5.200.823.725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5.588.835.768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7.989.568.980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7.899.693.834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7.823.058.384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7.548.849.193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7.472.570.333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7.373.867.436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4.574.347.128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5.542.118.686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5.761.966.575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4.497.132.084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5.317.949.996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5.541.778.330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1.595.138.144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2.210.961.997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2.224.631.929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1.623.538.793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2.153.562.644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2.218.646.463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8.497.778.694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10.296.555.622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8.655.522.472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9.037.355.375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6.079.099.488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5.435.021.271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3.015.267.490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3.178.533.220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3.252.151.165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3.068.067.765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3.218.646.907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3.354.169.673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770.660.175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827.622.554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986.928.897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746.567.791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796.882.983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949.145.518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2.073.034.600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2.606.567.462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3.765.512.912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2.294.013.111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2.380.227.062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1.930.729.394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6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150.274.722.408 </w:t>
            </w:r>
          </w:p>
        </w:tc>
        <w:tc>
          <w:tcPr>
            <w:tcW w:w="66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163.752.773.798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165.521.378.649 </w:t>
            </w:r>
          </w:p>
        </w:tc>
        <w:tc>
          <w:tcPr>
            <w:tcW w:w="301" w:type="pct"/>
            <w:shd w:val="clear" w:color="auto" w:fill="auto"/>
            <w:noWrap/>
            <w:vAlign w:val="bottom"/>
          </w:tcPr>
          <w:p w:rsidR="00B066F4" w:rsidRPr="004E6412" w:rsidRDefault="00B066F4" w:rsidP="009E54FC">
            <w:pPr>
              <w:spacing w:line="240" w:lineRule="auto"/>
              <w:rPr>
                <w:rFonts w:eastAsia="Times New Roman"/>
                <w:b/>
                <w:color w:val="000000"/>
                <w:sz w:val="20"/>
                <w:szCs w:val="20"/>
                <w:lang w:eastAsia="hr-HR"/>
              </w:rPr>
            </w:pPr>
          </w:p>
        </w:tc>
        <w:tc>
          <w:tcPr>
            <w:tcW w:w="69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147.616.106.382 </w:t>
            </w:r>
          </w:p>
        </w:tc>
        <w:tc>
          <w:tcPr>
            <w:tcW w:w="7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155.424.283.263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156.342.139.432 </w:t>
            </w:r>
          </w:p>
        </w:tc>
      </w:tr>
    </w:tbl>
    <w:p w:rsidR="00B066F4" w:rsidRPr="004E6412" w:rsidRDefault="00B066F4" w:rsidP="00B066F4">
      <w:pPr>
        <w:rPr>
          <w:sz w:val="20"/>
          <w:szCs w:val="20"/>
        </w:rPr>
      </w:pPr>
      <w:r w:rsidRPr="004E6412">
        <w:rPr>
          <w:sz w:val="20"/>
          <w:szCs w:val="20"/>
        </w:rPr>
        <w:t>Izvor: FINA.</w:t>
      </w:r>
    </w:p>
    <w:p w:rsidR="00B066F4" w:rsidRPr="004E6412" w:rsidRDefault="00B066F4" w:rsidP="00B066F4"/>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lastRenderedPageBreak/>
        <w:t xml:space="preserve">Profitabilnost poslovanja cjelokupne prerađivačke industrije može se predočiti razlikom dobiti i gubitka nakon oporezivanja za promatrano razdoblje. Ukupna prerađivačka industrija ima pozitivnu razliku između ukupne dobiti i ukupnog gubitka nakon poreza u svim promatranim godinama. Štoviše, ta </w:t>
      </w:r>
      <w:r w:rsidR="00216060" w:rsidRPr="004E6412">
        <w:rPr>
          <w:rFonts w:ascii="Times New Roman" w:hAnsi="Times New Roman"/>
        </w:rPr>
        <w:t xml:space="preserve">se razlika </w:t>
      </w:r>
      <w:r w:rsidRPr="004E6412">
        <w:rPr>
          <w:rFonts w:ascii="Times New Roman" w:hAnsi="Times New Roman"/>
        </w:rPr>
        <w:t xml:space="preserve">sve više povećava, </w:t>
      </w:r>
      <w:r w:rsidR="00216060" w:rsidRPr="004E6412">
        <w:rPr>
          <w:rFonts w:ascii="Times New Roman" w:hAnsi="Times New Roman"/>
        </w:rPr>
        <w:t>s razine od oko 955 milijuna kuna</w:t>
      </w:r>
      <w:r w:rsidRPr="004E6412">
        <w:rPr>
          <w:rFonts w:ascii="Times New Roman" w:hAnsi="Times New Roman"/>
        </w:rPr>
        <w:t xml:space="preserve"> u </w:t>
      </w:r>
      <w:r w:rsidR="00216060" w:rsidRPr="004E6412">
        <w:rPr>
          <w:rFonts w:ascii="Times New Roman" w:hAnsi="Times New Roman"/>
        </w:rPr>
        <w:t>2010. na više od 8 milijardi kuna</w:t>
      </w:r>
      <w:r w:rsidRPr="004E6412">
        <w:rPr>
          <w:rFonts w:ascii="Times New Roman" w:hAnsi="Times New Roman"/>
        </w:rPr>
        <w:t xml:space="preserve"> u 2012., što čini povećanje od 751% u trogodišnjem razdoblju. </w:t>
      </w:r>
    </w:p>
    <w:p w:rsidR="00B066F4" w:rsidRPr="004E6412" w:rsidRDefault="00B066F4" w:rsidP="00B066F4">
      <w:pPr>
        <w:rPr>
          <w:sz w:val="22"/>
        </w:rPr>
      </w:pPr>
    </w:p>
    <w:p w:rsidR="00B066F4" w:rsidRPr="004E6412" w:rsidRDefault="00B066F4" w:rsidP="00041C1A">
      <w:pPr>
        <w:pStyle w:val="ListParagraph"/>
        <w:numPr>
          <w:ilvl w:val="0"/>
          <w:numId w:val="93"/>
        </w:numPr>
        <w:tabs>
          <w:tab w:val="left" w:pos="2350"/>
        </w:tabs>
        <w:spacing w:after="0"/>
        <w:ind w:left="714" w:hanging="357"/>
        <w:jc w:val="both"/>
        <w:rPr>
          <w:rFonts w:ascii="Times New Roman" w:hAnsi="Times New Roman"/>
        </w:rPr>
      </w:pPr>
      <w:r w:rsidRPr="004E6412">
        <w:rPr>
          <w:rFonts w:ascii="Times New Roman" w:hAnsi="Times New Roman"/>
        </w:rPr>
        <w:t>Vrijednost ukupnih prihoda prerađivačke industrije povećana je u promatranom razdo</w:t>
      </w:r>
      <w:r w:rsidR="00216060" w:rsidRPr="004E6412">
        <w:rPr>
          <w:rFonts w:ascii="Times New Roman" w:hAnsi="Times New Roman"/>
        </w:rPr>
        <w:t>blju sa 150,27 milijardi kuna na 165,52 milijarde kuna</w:t>
      </w:r>
      <w:r w:rsidRPr="004E6412">
        <w:rPr>
          <w:rFonts w:ascii="Times New Roman" w:hAnsi="Times New Roman"/>
        </w:rPr>
        <w:t>, što je povećanje od 10,14%. Ukupni rashod</w:t>
      </w:r>
      <w:r w:rsidR="00216060" w:rsidRPr="004E6412">
        <w:rPr>
          <w:rFonts w:ascii="Times New Roman" w:hAnsi="Times New Roman"/>
        </w:rPr>
        <w:t xml:space="preserve">i prerađivačke industrije </w:t>
      </w:r>
      <w:r w:rsidRPr="004E6412">
        <w:rPr>
          <w:rFonts w:ascii="Times New Roman" w:hAnsi="Times New Roman"/>
        </w:rPr>
        <w:t xml:space="preserve">također </w:t>
      </w:r>
      <w:r w:rsidR="00216060" w:rsidRPr="004E6412">
        <w:rPr>
          <w:rFonts w:ascii="Times New Roman" w:hAnsi="Times New Roman"/>
        </w:rPr>
        <w:t xml:space="preserve">su se </w:t>
      </w:r>
      <w:r w:rsidRPr="004E6412">
        <w:rPr>
          <w:rFonts w:ascii="Times New Roman" w:hAnsi="Times New Roman"/>
        </w:rPr>
        <w:t>povećali, ali su zadržani na vrijednosti manjoj od ukupnih prihoda. Povećanje rashoda iznosilo je 5,92% (2010.</w:t>
      </w:r>
      <w:r w:rsidR="00216060" w:rsidRPr="004E6412">
        <w:rPr>
          <w:rFonts w:ascii="Times New Roman" w:hAnsi="Times New Roman"/>
        </w:rPr>
        <w:t xml:space="preserve"> – </w:t>
      </w:r>
      <w:r w:rsidRPr="004E6412">
        <w:rPr>
          <w:rFonts w:ascii="Times New Roman" w:hAnsi="Times New Roman"/>
        </w:rPr>
        <w:t>2012.) i t</w:t>
      </w:r>
      <w:r w:rsidR="00216060" w:rsidRPr="004E6412">
        <w:rPr>
          <w:rFonts w:ascii="Times New Roman" w:hAnsi="Times New Roman"/>
        </w:rPr>
        <w:t>o sa 147,61 milijarde kuna na 156,34 milijarde kuna</w:t>
      </w:r>
      <w:r w:rsidRPr="004E6412">
        <w:rPr>
          <w:rFonts w:ascii="Times New Roman" w:hAnsi="Times New Roman"/>
        </w:rPr>
        <w:t>.</w:t>
      </w:r>
    </w:p>
    <w:p w:rsidR="00B066F4" w:rsidRPr="004E6412" w:rsidRDefault="00B066F4" w:rsidP="00B066F4">
      <w:pPr>
        <w:rPr>
          <w:sz w:val="22"/>
        </w:rPr>
      </w:pPr>
    </w:p>
    <w:p w:rsidR="00B066F4" w:rsidRPr="004E6412" w:rsidRDefault="00B066F4" w:rsidP="00B6446D">
      <w:pPr>
        <w:pStyle w:val="ListParagraph"/>
        <w:numPr>
          <w:ilvl w:val="0"/>
          <w:numId w:val="93"/>
        </w:numPr>
        <w:spacing w:after="0"/>
        <w:jc w:val="both"/>
        <w:rPr>
          <w:rFonts w:ascii="Times New Roman" w:hAnsi="Times New Roman"/>
        </w:rPr>
      </w:pPr>
      <w:r w:rsidRPr="004E6412">
        <w:rPr>
          <w:rFonts w:ascii="Times New Roman" w:hAnsi="Times New Roman"/>
        </w:rPr>
        <w:t>Većina djelatnosti ima pozitivnu razliku dobiti i gubitka nakon oporezivanja u barem dvije godine, dok samo 8 od ukupno 24 djelatnosti ima negativnu razliku u minimalno 2 od 3 pr</w:t>
      </w:r>
      <w:r w:rsidR="00216060" w:rsidRPr="004E6412">
        <w:rPr>
          <w:rFonts w:ascii="Times New Roman" w:hAnsi="Times New Roman"/>
        </w:rPr>
        <w:t>omatrane godine. Među</w:t>
      </w:r>
      <w:r w:rsidR="00B6446D" w:rsidRPr="004E6412">
        <w:rPr>
          <w:rFonts w:ascii="Times New Roman" w:hAnsi="Times New Roman"/>
        </w:rPr>
        <w:t xml:space="preserve"> djelatnosti</w:t>
      </w:r>
      <w:r w:rsidR="00216060" w:rsidRPr="004E6412">
        <w:rPr>
          <w:rFonts w:ascii="Times New Roman" w:hAnsi="Times New Roman"/>
        </w:rPr>
        <w:t>ma</w:t>
      </w:r>
      <w:r w:rsidRPr="004E6412">
        <w:rPr>
          <w:rFonts w:ascii="Times New Roman" w:hAnsi="Times New Roman"/>
        </w:rPr>
        <w:t xml:space="preserve"> koje imaju najveću pozitivnu razliku dobiti i gubitka n</w:t>
      </w:r>
      <w:r w:rsidR="00B6446D" w:rsidRPr="004E6412">
        <w:rPr>
          <w:rFonts w:ascii="Times New Roman" w:hAnsi="Times New Roman"/>
        </w:rPr>
        <w:t>akon oporezivanja u 2012. ističe</w:t>
      </w:r>
      <w:r w:rsidRPr="004E6412">
        <w:rPr>
          <w:rFonts w:ascii="Times New Roman" w:hAnsi="Times New Roman"/>
        </w:rPr>
        <w:t xml:space="preserve"> se djelatnost</w:t>
      </w:r>
      <w:r w:rsidR="00B6446D" w:rsidRPr="004E6412">
        <w:rPr>
          <w:rFonts w:ascii="Times New Roman" w:hAnsi="Times New Roman"/>
        </w:rPr>
        <w:t xml:space="preserve"> </w:t>
      </w:r>
      <w:r w:rsidRPr="004E6412">
        <w:rPr>
          <w:rFonts w:ascii="Times New Roman" w:hAnsi="Times New Roman"/>
        </w:rPr>
        <w:t>C19 Proizvodnja koksa i rafiniranih naftnih proizvoda (1.316.414.287 HRK)</w:t>
      </w:r>
      <w:r w:rsidR="00216060" w:rsidRPr="004E6412">
        <w:rPr>
          <w:rFonts w:ascii="Times New Roman" w:hAnsi="Times New Roman"/>
        </w:rPr>
        <w:t xml:space="preserve"> i C21 </w:t>
      </w:r>
      <w:r w:rsidR="00B6446D" w:rsidRPr="004E6412">
        <w:rPr>
          <w:rFonts w:ascii="Times New Roman" w:hAnsi="Times New Roman"/>
        </w:rPr>
        <w:t>Proizvodnja osnovnih farmaceutskih proizvoda i farmaceutskih pripravaka (</w:t>
      </w:r>
      <w:r w:rsidR="00B6446D" w:rsidRPr="004E6412">
        <w:rPr>
          <w:rFonts w:ascii="Times New Roman" w:eastAsia="Times New Roman" w:hAnsi="Times New Roman"/>
          <w:lang w:eastAsia="hr-HR"/>
        </w:rPr>
        <w:t>808.459.392</w:t>
      </w:r>
      <w:r w:rsidR="00216060" w:rsidRPr="004E6412">
        <w:rPr>
          <w:rFonts w:ascii="Times New Roman" w:eastAsia="Times New Roman" w:hAnsi="Times New Roman"/>
          <w:lang w:eastAsia="hr-HR"/>
        </w:rPr>
        <w:t xml:space="preserve"> HRK</w:t>
      </w:r>
      <w:r w:rsidR="00B6446D" w:rsidRPr="004E6412">
        <w:rPr>
          <w:rFonts w:ascii="Times New Roman" w:eastAsia="Times New Roman" w:hAnsi="Times New Roman"/>
          <w:lang w:eastAsia="hr-HR"/>
        </w:rPr>
        <w:t>)</w:t>
      </w:r>
      <w:r w:rsidRPr="004E6412">
        <w:rPr>
          <w:rFonts w:ascii="Times New Roman" w:hAnsi="Times New Roman"/>
        </w:rPr>
        <w:t xml:space="preserve">. </w:t>
      </w:r>
      <w:r w:rsidR="004D32C6" w:rsidRPr="004E6412">
        <w:rPr>
          <w:rFonts w:ascii="Times New Roman" w:hAnsi="Times New Roman"/>
        </w:rPr>
        <w:t>Treba dodati da je d</w:t>
      </w:r>
      <w:r w:rsidRPr="004E6412">
        <w:rPr>
          <w:rFonts w:ascii="Times New Roman" w:hAnsi="Times New Roman"/>
        </w:rPr>
        <w:t>jelatnost C19</w:t>
      </w:r>
      <w:r w:rsidR="00216060" w:rsidRPr="004E6412">
        <w:rPr>
          <w:rFonts w:ascii="Times New Roman" w:hAnsi="Times New Roman"/>
        </w:rPr>
        <w:t xml:space="preserve"> u razdoblju</w:t>
      </w:r>
      <w:r w:rsidR="004D32C6" w:rsidRPr="004E6412">
        <w:rPr>
          <w:rFonts w:ascii="Times New Roman" w:hAnsi="Times New Roman"/>
        </w:rPr>
        <w:t xml:space="preserve"> 2010.</w:t>
      </w:r>
      <w:r w:rsidR="00216060" w:rsidRPr="004E6412">
        <w:rPr>
          <w:rFonts w:ascii="Times New Roman" w:hAnsi="Times New Roman"/>
        </w:rPr>
        <w:t xml:space="preserve"> – </w:t>
      </w:r>
      <w:r w:rsidR="004D32C6" w:rsidRPr="004E6412">
        <w:rPr>
          <w:rFonts w:ascii="Times New Roman" w:hAnsi="Times New Roman"/>
        </w:rPr>
        <w:t>2012.</w:t>
      </w:r>
      <w:r w:rsidRPr="004E6412">
        <w:rPr>
          <w:rFonts w:ascii="Times New Roman" w:hAnsi="Times New Roman"/>
        </w:rPr>
        <w:t xml:space="preserve"> </w:t>
      </w:r>
      <w:r w:rsidR="004D32C6" w:rsidRPr="004E6412">
        <w:rPr>
          <w:rFonts w:ascii="Times New Roman" w:hAnsi="Times New Roman"/>
        </w:rPr>
        <w:t xml:space="preserve">smanjila razliku dobiti i gubitka nakon oporezivanja za </w:t>
      </w:r>
      <w:r w:rsidR="00216060" w:rsidRPr="004E6412">
        <w:rPr>
          <w:rFonts w:ascii="Times New Roman" w:hAnsi="Times New Roman"/>
        </w:rPr>
        <w:t>467.917.428 kuna</w:t>
      </w:r>
      <w:r w:rsidR="004D32C6" w:rsidRPr="004E6412">
        <w:rPr>
          <w:rFonts w:ascii="Times New Roman" w:hAnsi="Times New Roman"/>
        </w:rPr>
        <w:t xml:space="preserve">, dok je djelatnost C21 povećala tu razliku za </w:t>
      </w:r>
      <w:r w:rsidR="004D32C6" w:rsidRPr="004E6412">
        <w:rPr>
          <w:rFonts w:ascii="Times New Roman" w:eastAsia="Times New Roman" w:hAnsi="Times New Roman"/>
          <w:lang w:eastAsia="hr-HR"/>
        </w:rPr>
        <w:t>224.967.068</w:t>
      </w:r>
      <w:r w:rsidR="00216060" w:rsidRPr="004E6412">
        <w:rPr>
          <w:rFonts w:ascii="Times New Roman" w:eastAsia="Times New Roman" w:hAnsi="Times New Roman"/>
          <w:lang w:eastAsia="hr-HR"/>
        </w:rPr>
        <w:t xml:space="preserve"> kuna</w:t>
      </w:r>
      <w:r w:rsidRPr="004E6412">
        <w:rPr>
          <w:rFonts w:ascii="Times New Roman" w:hAnsi="Times New Roman"/>
        </w:rPr>
        <w:t xml:space="preserve">. Djelatnosti s najmanjom ostvarenom razlikom u 2012. su djelatnosti C20 Proizvodnja kemikalija i kemijskih proizvoda (-935.064.830 HRK), C17 Proizvodnja papira i proizvoda od papira (-382.489.022 HRK) i C23 Proizvodnja ostalih nemetalnih mineralnih proizvoda (-225.479.710 HRK). </w:t>
      </w:r>
    </w:p>
    <w:p w:rsidR="00B066F4" w:rsidRPr="004E6412" w:rsidRDefault="00B066F4" w:rsidP="00B066F4">
      <w:pPr>
        <w:rPr>
          <w:sz w:val="22"/>
        </w:r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t xml:space="preserve">U promatranom razdoblju većina djelatnosti bilježi porast razlike između dobiti i gubitka nakon oporezivanja u korist dobiti, uz iznimku od tek 7 djelatnosti sa suprotnim kretanjem. Prema navedenom, najveće povećanje razlike dobiti i gubitka nakon oporezivanja imaju </w:t>
      </w:r>
      <w:r w:rsidR="004D32C6" w:rsidRPr="004E6412">
        <w:rPr>
          <w:rFonts w:ascii="Times New Roman" w:hAnsi="Times New Roman"/>
        </w:rPr>
        <w:t xml:space="preserve">djelatnosti </w:t>
      </w:r>
      <w:r w:rsidRPr="004E6412">
        <w:rPr>
          <w:rFonts w:ascii="Times New Roman" w:hAnsi="Times New Roman"/>
        </w:rPr>
        <w:t>C28 Proizvodnja s</w:t>
      </w:r>
      <w:r w:rsidR="004D32C6" w:rsidRPr="004E6412">
        <w:rPr>
          <w:rFonts w:ascii="Times New Roman" w:hAnsi="Times New Roman"/>
        </w:rPr>
        <w:t>trojeva i uređaja, d. n. (481%) i C25 Proizvodnja gotovih metalnih proizvoda, osim strojeva i opreme</w:t>
      </w:r>
      <w:r w:rsidR="00216060" w:rsidRPr="004E6412">
        <w:rPr>
          <w:rFonts w:ascii="Times New Roman" w:hAnsi="Times New Roman"/>
        </w:rPr>
        <w:t xml:space="preserve"> (446%),</w:t>
      </w:r>
      <w:r w:rsidRPr="004E6412">
        <w:rPr>
          <w:rFonts w:ascii="Times New Roman" w:hAnsi="Times New Roman"/>
        </w:rPr>
        <w:t xml:space="preserve"> dok najveći pad te razlike imaju </w:t>
      </w:r>
      <w:r w:rsidR="00216060" w:rsidRPr="004E6412">
        <w:rPr>
          <w:rFonts w:ascii="Times New Roman" w:hAnsi="Times New Roman"/>
        </w:rPr>
        <w:t xml:space="preserve">djelatnosti </w:t>
      </w:r>
      <w:r w:rsidRPr="004E6412">
        <w:rPr>
          <w:rFonts w:ascii="Times New Roman" w:hAnsi="Times New Roman"/>
        </w:rPr>
        <w:t xml:space="preserve">C15 Proizvodnja kože i srodnih proizvoda (-859%), C20 Proizvodnja kemikalija i kemijskih proizvoda (-274%) i C17 Proizvodnja papira i proizvoda od papira (-147%).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0" w:name="_Toc372088112"/>
      <w:bookmarkStart w:id="221" w:name="_Toc377551043"/>
      <w:bookmarkStart w:id="222" w:name="_Toc37763523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31</w:t>
      </w:r>
      <w:r w:rsidRPr="007D0CFD">
        <w:rPr>
          <w:rStyle w:val="IntenseEmphasis"/>
          <w:b/>
          <w:bCs w:val="0"/>
          <w:iCs w:val="0"/>
          <w:color w:val="548DD4" w:themeColor="text2" w:themeTint="99"/>
          <w:sz w:val="20"/>
        </w:rPr>
        <w:t>. Analiza dobiti i gubitka nakon oporezivanja po djelatnostima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0"/>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8"/>
        <w:gridCol w:w="1264"/>
        <w:gridCol w:w="1331"/>
        <w:gridCol w:w="1264"/>
        <w:gridCol w:w="2163"/>
        <w:gridCol w:w="2164"/>
      </w:tblGrid>
      <w:tr w:rsidR="00B066F4" w:rsidRPr="004E6412" w:rsidTr="009E54FC">
        <w:trPr>
          <w:trHeight w:val="20"/>
        </w:trPr>
        <w:tc>
          <w:tcPr>
            <w:tcW w:w="543"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2101"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Razlika dobiti i gubitka nakon oporezivanja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Apsolutna promjena razlike dobiti i gubitka nakon oporezivanja 2012./2010.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Relativna promjena razlike dobiti i gubitka nakon oporezivanja 2012./2010. (%)</w:t>
            </w:r>
          </w:p>
        </w:tc>
      </w:tr>
      <w:tr w:rsidR="00B066F4" w:rsidRPr="004E6412" w:rsidTr="009E54FC">
        <w:trPr>
          <w:trHeight w:val="20"/>
        </w:trPr>
        <w:tc>
          <w:tcPr>
            <w:tcW w:w="543" w:type="pct"/>
            <w:vMerge/>
            <w:shd w:val="clear"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725"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71.597.349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642.698.630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342.685.999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271.088.650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151.421.553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306.883.252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420.546.782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269.125.229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423.460.256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350.331.021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277.619.246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-145.841.010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-25.033.322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-6.054.782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-299.182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24.734.140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-43.506.787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91.255.732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-67.786.416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-24.279.629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9.288.147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84.799.208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-70.470.244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-79.758.391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-188.095.391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-13.582.568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-93.410.335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94.685.056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-154.970.746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-1.075.129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-382.489.022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-227.518.276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20.341.616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12.046.690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20.447.992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106.376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1.784.331.715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1.941.345.714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1.316.414.287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-467.917.428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-250.208.399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-345.119.876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-935.064.830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-684.856.431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583.492.324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536.332.302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808.459.392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224.967.068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lastRenderedPageBreak/>
              <w:t>C22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-31.580.480</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34.160.727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33.126.861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64.707.341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-357.907.706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-360.942.309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-225.479.710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132.427.996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-726.174.953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-1.622.336.702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363.905.209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1.090.080.162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108.807.441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255.800.268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593.764.836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484.957.395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163.902.529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155.037.329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241.743.078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77.840.549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327.356.183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397.637.005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376.973.706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49.617.523</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28.751.544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166.687.100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167.058.729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138.307.185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-32.360.511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48.396.192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1.990.171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34.350.682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-607.332.232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3.676.613.220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3.211.734.497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3.819.066.729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-71.798.192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-57.983.766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-111.650.371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-39.852.179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14.916.185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21.026.935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28.676.084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13.759.899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-243.306.725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199.221.870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1.812.108.945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2.055.415.670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955.391.398</w:t>
            </w:r>
          </w:p>
        </w:tc>
        <w:tc>
          <w:tcPr>
            <w:tcW w:w="725"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6.513.178.063</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8.130.605.704</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7.175.214.306</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751</w:t>
            </w:r>
          </w:p>
        </w:tc>
      </w:tr>
    </w:tbl>
    <w:p w:rsidR="00B066F4" w:rsidRPr="004E6412" w:rsidRDefault="00216060"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 w:rsidR="004D32C6" w:rsidRPr="004E6412" w:rsidRDefault="00B066F4" w:rsidP="004D32C6">
      <w:pPr>
        <w:pStyle w:val="ListParagraph"/>
        <w:numPr>
          <w:ilvl w:val="0"/>
          <w:numId w:val="94"/>
        </w:numPr>
        <w:spacing w:after="0"/>
        <w:jc w:val="both"/>
        <w:rPr>
          <w:rFonts w:ascii="Times New Roman" w:hAnsi="Times New Roman"/>
        </w:rPr>
      </w:pPr>
      <w:r w:rsidRPr="004E6412">
        <w:rPr>
          <w:rFonts w:ascii="Times New Roman" w:hAnsi="Times New Roman"/>
        </w:rPr>
        <w:t>Prinos na imovinu (ROA) prerađivačke industrije pozitivan je u sve tri godine s tendencijom rasta. U 2010. iznosi tek 0,50%, da bi do 2012.  porastao na 4,29%, što ukazuje na poboljšanje profitabilnosti poslovanja prerađivačke industrije. Prinos na kapital (ROE) također u promatranom razdoblju ima pozitivan trend, s niskih stopa u 2010. (1,32%) je značajno porastao do 2012. u kojoj ostvaruje visokih 10,80%. Od 24 djelatnosti prerađivačke industrije u 2012., 10 ih ostvaruje ROA veći od prosjeka industrije (4,29%), dok ih 7 ostvaruje veće stope ROE u odnosu na prosječni ROE industrije (10,80%)</w:t>
      </w:r>
      <w:r w:rsidR="004D32C6" w:rsidRPr="004E6412">
        <w:rPr>
          <w:rFonts w:ascii="Times New Roman" w:hAnsi="Times New Roman"/>
        </w:rPr>
        <w:t>.</w:t>
      </w:r>
    </w:p>
    <w:p w:rsidR="004D32C6" w:rsidRPr="004E6412" w:rsidRDefault="004D32C6" w:rsidP="004D32C6">
      <w:pPr>
        <w:pStyle w:val="ListParagraph"/>
        <w:spacing w:after="0"/>
        <w:jc w:val="both"/>
        <w:rPr>
          <w:rFonts w:ascii="Times New Roman" w:hAnsi="Times New Roman"/>
        </w:rPr>
      </w:pPr>
    </w:p>
    <w:p w:rsidR="004D32C6" w:rsidRPr="004E6412" w:rsidRDefault="006355E8" w:rsidP="004D32C6">
      <w:pPr>
        <w:pStyle w:val="ListParagraph"/>
        <w:numPr>
          <w:ilvl w:val="0"/>
          <w:numId w:val="94"/>
        </w:numPr>
        <w:spacing w:after="0"/>
        <w:jc w:val="both"/>
        <w:rPr>
          <w:rFonts w:ascii="Times New Roman" w:hAnsi="Times New Roman"/>
        </w:rPr>
      </w:pPr>
      <w:r w:rsidRPr="004E6412">
        <w:rPr>
          <w:rFonts w:ascii="Times New Roman" w:hAnsi="Times New Roman"/>
        </w:rPr>
        <w:t>Prema kriteriju pozitivnih prinosa u 2012. godini ističu se djelatnosti C24 Proizvodnja metala (ROA 8,31%, ROE 69,61%)</w:t>
      </w:r>
      <w:r w:rsidR="00216060" w:rsidRPr="004E6412">
        <w:rPr>
          <w:rFonts w:ascii="Times New Roman" w:hAnsi="Times New Roman"/>
        </w:rPr>
        <w:t>, C21</w:t>
      </w:r>
      <w:r w:rsidRPr="004E6412">
        <w:rPr>
          <w:rFonts w:ascii="Times New Roman" w:hAnsi="Times New Roman"/>
        </w:rPr>
        <w:t xml:space="preserve"> </w:t>
      </w:r>
      <w:r w:rsidR="00B6692B" w:rsidRPr="004E6412">
        <w:rPr>
          <w:rFonts w:ascii="Times New Roman" w:hAnsi="Times New Roman"/>
        </w:rPr>
        <w:t xml:space="preserve">Proizvodnja osnovnih farmaceutskih proizvoda i farmaceutskih pripravaka </w:t>
      </w:r>
      <w:r w:rsidRPr="004E6412">
        <w:rPr>
          <w:rFonts w:ascii="Times New Roman" w:hAnsi="Times New Roman"/>
        </w:rPr>
        <w:t>i C12 Proizvodnja duhanskih proizvoda (ROA 7,20%, ROE 10,47%). Za</w:t>
      </w:r>
      <w:r w:rsidR="00216060" w:rsidRPr="004E6412">
        <w:rPr>
          <w:rFonts w:ascii="Times New Roman" w:hAnsi="Times New Roman"/>
        </w:rPr>
        <w:t>mjećuje se</w:t>
      </w:r>
      <w:r w:rsidR="003C6ADF" w:rsidRPr="004E6412">
        <w:rPr>
          <w:rFonts w:ascii="Times New Roman" w:hAnsi="Times New Roman"/>
        </w:rPr>
        <w:t xml:space="preserve"> da je djelatnost C24 P</w:t>
      </w:r>
      <w:r w:rsidRPr="004E6412">
        <w:rPr>
          <w:rFonts w:ascii="Times New Roman" w:hAnsi="Times New Roman"/>
        </w:rPr>
        <w:t>roizvodnja metala uspjela</w:t>
      </w:r>
      <w:r w:rsidR="00216060" w:rsidRPr="004E6412">
        <w:rPr>
          <w:rFonts w:ascii="Times New Roman" w:hAnsi="Times New Roman"/>
        </w:rPr>
        <w:t xml:space="preserve"> povećati svoje stope prinosa s</w:t>
      </w:r>
      <w:r w:rsidRPr="004E6412">
        <w:rPr>
          <w:rFonts w:ascii="Times New Roman" w:hAnsi="Times New Roman"/>
        </w:rPr>
        <w:t xml:space="preserve"> negativnih vrijednosti u 2010. do visokih pozitivnih vrijednosti u 2012</w:t>
      </w:r>
      <w:r w:rsidR="00216060" w:rsidRPr="004E6412">
        <w:rPr>
          <w:rFonts w:ascii="Times New Roman" w:hAnsi="Times New Roman"/>
        </w:rPr>
        <w:t>.</w:t>
      </w:r>
      <w:r w:rsidRPr="004E6412">
        <w:rPr>
          <w:rFonts w:ascii="Times New Roman" w:hAnsi="Times New Roman"/>
        </w:rPr>
        <w:t>, prema čemu se ističe u odnosu na druge djelatnosti.</w:t>
      </w:r>
    </w:p>
    <w:p w:rsidR="00B066F4" w:rsidRPr="004E6412" w:rsidRDefault="00B066F4" w:rsidP="00B066F4">
      <w:pPr>
        <w:rPr>
          <w:sz w:val="22"/>
        </w:rPr>
      </w:pPr>
    </w:p>
    <w:p w:rsidR="00B066F4" w:rsidRPr="004E6412" w:rsidRDefault="00B066F4" w:rsidP="00B066F4">
      <w:pPr>
        <w:pStyle w:val="ListParagraph"/>
        <w:numPr>
          <w:ilvl w:val="0"/>
          <w:numId w:val="94"/>
        </w:numPr>
        <w:spacing w:after="0"/>
        <w:jc w:val="both"/>
        <w:rPr>
          <w:rFonts w:ascii="Times New Roman" w:hAnsi="Times New Roman"/>
        </w:rPr>
      </w:pPr>
      <w:r w:rsidRPr="004E6412">
        <w:rPr>
          <w:rFonts w:ascii="Times New Roman" w:hAnsi="Times New Roman"/>
        </w:rPr>
        <w:t>U 2012.</w:t>
      </w:r>
      <w:r w:rsidR="00216060" w:rsidRPr="004E6412">
        <w:rPr>
          <w:rFonts w:ascii="Times New Roman" w:hAnsi="Times New Roman"/>
        </w:rPr>
        <w:t xml:space="preserve"> godini</w:t>
      </w:r>
      <w:r w:rsidRPr="004E6412">
        <w:rPr>
          <w:rFonts w:ascii="Times New Roman" w:hAnsi="Times New Roman"/>
        </w:rPr>
        <w:t>, 8 od ukupno 24 djel</w:t>
      </w:r>
      <w:r w:rsidR="00216060" w:rsidRPr="004E6412">
        <w:rPr>
          <w:rFonts w:ascii="Times New Roman" w:hAnsi="Times New Roman"/>
        </w:rPr>
        <w:t>atnosti prerađivačke industrije</w:t>
      </w:r>
      <w:r w:rsidRPr="004E6412">
        <w:rPr>
          <w:rFonts w:ascii="Times New Roman" w:hAnsi="Times New Roman"/>
        </w:rPr>
        <w:t xml:space="preserve"> ostvarivale su negativne stope prinosa na ukupnu imovinu (ROA), kao i negativne stope prinosa na kapital (ROE), među kojima se ističu djelatnosti C17 Proizvodnja papira i proizvoda od papira (ROA od -15,28% i ROE od -41,11%), te C20 Proizvodnja kemikalija i kemijskih proizvoda (ROA od -10,59%. i ROE od -34,35%). Kod tih djelatnosti, iako je zamjetan pad vrijednosti aktive, još su značajniji gubici koji su iz godine u godinu sve veći.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3" w:name="_Toc372088113"/>
      <w:bookmarkStart w:id="224" w:name="_Toc377551044"/>
      <w:bookmarkStart w:id="225" w:name="_Toc37763523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32</w:t>
      </w:r>
      <w:r w:rsidRPr="007D0CFD">
        <w:rPr>
          <w:rStyle w:val="IntenseEmphasis"/>
          <w:b/>
          <w:bCs w:val="0"/>
          <w:iCs w:val="0"/>
          <w:color w:val="548DD4" w:themeColor="text2" w:themeTint="99"/>
          <w:sz w:val="20"/>
        </w:rPr>
        <w:t>. Prinos na imovinu  i prinos na kapital po pojedinim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3"/>
      <w:bookmarkEnd w:id="224"/>
      <w:bookmarkEnd w:id="225"/>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1190"/>
        <w:gridCol w:w="1055"/>
        <w:gridCol w:w="1055"/>
        <w:gridCol w:w="1055"/>
        <w:gridCol w:w="266"/>
        <w:gridCol w:w="1189"/>
        <w:gridCol w:w="1246"/>
        <w:gridCol w:w="1116"/>
        <w:gridCol w:w="1114"/>
      </w:tblGrid>
      <w:tr w:rsidR="00B066F4" w:rsidRPr="004E6412" w:rsidTr="009E54FC">
        <w:trPr>
          <w:trHeight w:val="20"/>
        </w:trPr>
        <w:tc>
          <w:tcPr>
            <w:tcW w:w="641"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704"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ROA (%)</w:t>
            </w: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872"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ROE (%)</w:t>
            </w:r>
          </w:p>
        </w:tc>
      </w:tr>
      <w:tr w:rsidR="00B066F4" w:rsidRPr="004E6412" w:rsidTr="009E54FC">
        <w:trPr>
          <w:trHeight w:val="20"/>
        </w:trPr>
        <w:tc>
          <w:tcPr>
            <w:tcW w:w="641"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704"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872"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641"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67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60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00"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0,97</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4,53</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8,69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12,50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-0,06</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-14,02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-41,11</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8,39</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lastRenderedPageBreak/>
              <w:t>C20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8,31</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-462,28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438,54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69,52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6,12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7,45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49,54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20,63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-144,63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402,00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7,68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96,60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22,66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357,57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4,29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9,32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10,80</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Pr>
        <w:rPr>
          <w:szCs w:val="24"/>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Operativna marža pro</w:t>
      </w:r>
      <w:r w:rsidR="00B6692B" w:rsidRPr="004E6412">
        <w:rPr>
          <w:rFonts w:ascii="Times New Roman" w:hAnsi="Times New Roman"/>
        </w:rPr>
        <w:t xml:space="preserve">fita prerađivačke industrije </w:t>
      </w:r>
      <w:r w:rsidRPr="004E6412">
        <w:rPr>
          <w:rFonts w:ascii="Times New Roman" w:hAnsi="Times New Roman"/>
        </w:rPr>
        <w:t xml:space="preserve">u cijelom </w:t>
      </w:r>
      <w:r w:rsidR="00B6692B" w:rsidRPr="004E6412">
        <w:rPr>
          <w:rFonts w:ascii="Times New Roman" w:hAnsi="Times New Roman"/>
        </w:rPr>
        <w:t xml:space="preserve">je </w:t>
      </w:r>
      <w:r w:rsidRPr="004E6412">
        <w:rPr>
          <w:rFonts w:ascii="Times New Roman" w:hAnsi="Times New Roman"/>
        </w:rPr>
        <w:t>promatranom vremenskom razdoblju pozitivna, no kroz godine varira. U 2011. je najviša i iznosi 8,36%, što predstavlja udvostručenje u odnosu na 2010., međutim u 2012. blago opada, za manje od 0,5 postotnih poena, u odnosu na 2011.</w:t>
      </w:r>
    </w:p>
    <w:p w:rsidR="00B066F4" w:rsidRPr="004E6412" w:rsidRDefault="00B066F4" w:rsidP="00B066F4">
      <w:pPr>
        <w:rPr>
          <w:sz w:val="22"/>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U 2012. godini, 6 od 24 djelatnosti prerađivačke industrije ima</w:t>
      </w:r>
      <w:r w:rsidR="00B6692B" w:rsidRPr="004E6412">
        <w:rPr>
          <w:rFonts w:ascii="Times New Roman" w:hAnsi="Times New Roman"/>
        </w:rPr>
        <w:t>ju</w:t>
      </w:r>
      <w:r w:rsidRPr="004E6412">
        <w:rPr>
          <w:rFonts w:ascii="Times New Roman" w:hAnsi="Times New Roman"/>
        </w:rPr>
        <w:t xml:space="preserve"> stopu bruto operativne marže višu od prosjeka industrije (7,94%), pri čemu su najvišu operativnu maržu profita ostvarivale djelatnosti </w:t>
      </w:r>
      <w:r w:rsidR="001A4472" w:rsidRPr="004E6412">
        <w:rPr>
          <w:rFonts w:ascii="Times New Roman" w:hAnsi="Times New Roman"/>
        </w:rPr>
        <w:t>C21 Proizvodnja osnovnih farmaceutskih proizvoda i farmaceutskih pripravaka (17,60%), C24</w:t>
      </w:r>
      <w:r w:rsidR="003C6ADF" w:rsidRPr="004E6412">
        <w:rPr>
          <w:rFonts w:ascii="Times New Roman" w:hAnsi="Times New Roman"/>
        </w:rPr>
        <w:t xml:space="preserve"> Proizvodnja metala</w:t>
      </w:r>
      <w:r w:rsidR="001A4472" w:rsidRPr="004E6412">
        <w:rPr>
          <w:rFonts w:ascii="Times New Roman" w:hAnsi="Times New Roman"/>
        </w:rPr>
        <w:t xml:space="preserve"> (15,44%) i C12</w:t>
      </w:r>
      <w:r w:rsidR="003C6ADF" w:rsidRPr="004E6412">
        <w:rPr>
          <w:rFonts w:ascii="Times New Roman" w:hAnsi="Times New Roman"/>
        </w:rPr>
        <w:t xml:space="preserve"> Proizvodnja duhanskih proizvoda</w:t>
      </w:r>
      <w:r w:rsidR="001A4472" w:rsidRPr="004E6412">
        <w:rPr>
          <w:rFonts w:ascii="Times New Roman" w:hAnsi="Times New Roman"/>
        </w:rPr>
        <w:t xml:space="preserve"> (14,45%). Ostale djelatnosti ostvarile su operativnu maržu profita manju od 10%.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6" w:name="_Toc372088114"/>
      <w:bookmarkStart w:id="227" w:name="_Toc377551045"/>
      <w:bookmarkStart w:id="228" w:name="_Toc37763523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33</w:t>
      </w:r>
      <w:r w:rsidRPr="007D0CFD">
        <w:rPr>
          <w:rStyle w:val="IntenseEmphasis"/>
          <w:b/>
          <w:bCs w:val="0"/>
          <w:iCs w:val="0"/>
          <w:color w:val="548DD4" w:themeColor="text2" w:themeTint="99"/>
          <w:sz w:val="20"/>
        </w:rPr>
        <w:t>. Operativna marža profita po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6"/>
      <w:bookmarkEnd w:id="227"/>
      <w:bookmarkEnd w:id="22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68"/>
        <w:gridCol w:w="2353"/>
        <w:gridCol w:w="2353"/>
      </w:tblGrid>
      <w:tr w:rsidR="00B066F4" w:rsidRPr="004E6412" w:rsidTr="009E54FC">
        <w:trPr>
          <w:trHeight w:val="20"/>
        </w:trPr>
        <w:tc>
          <w:tcPr>
            <w:tcW w:w="1245"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755"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Operativna marža profita (%)</w:t>
            </w:r>
          </w:p>
        </w:tc>
      </w:tr>
      <w:tr w:rsidR="00B066F4" w:rsidRPr="004E6412" w:rsidTr="009E54FC">
        <w:trPr>
          <w:trHeight w:val="20"/>
        </w:trPr>
        <w:tc>
          <w:tcPr>
            <w:tcW w:w="1245" w:type="pct"/>
            <w:vMerge/>
            <w:shd w:val="pct15"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1221"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7,98</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21,49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6,56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18,44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17,33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-29,16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0,46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113,51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94,23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lastRenderedPageBreak/>
              <w:t>C33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26,50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21"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4,18</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8,36</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7,94</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Default="00B066F4" w:rsidP="00B066F4"/>
    <w:p w:rsidR="00C41442" w:rsidRPr="004E6412" w:rsidRDefault="00C41442" w:rsidP="00B066F4"/>
    <w:p w:rsidR="009E54FC" w:rsidRPr="004E6412" w:rsidRDefault="009E54FC" w:rsidP="009E54FC">
      <w:pPr>
        <w:pStyle w:val="Heading4"/>
      </w:pPr>
      <w:bookmarkStart w:id="229" w:name="_Toc372087958"/>
      <w:r w:rsidRPr="004E6412">
        <w:t>Međugodišnje promjene proizvođačkih cijena na domaćem tržištu 2008.</w:t>
      </w:r>
      <w:r w:rsidR="00B6692B" w:rsidRPr="004E6412">
        <w:t xml:space="preserve"> – </w:t>
      </w:r>
      <w:r w:rsidRPr="004E6412">
        <w:t>2012.</w:t>
      </w:r>
      <w:bookmarkEnd w:id="229"/>
      <w:r w:rsidRPr="004E6412">
        <w:tab/>
      </w: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Najveće povećanje proizvođačkih cijena ostvareno je u djelatnostima C18 Tisak i umnožavanje snimljenih zapisa (58,16% 2008.</w:t>
      </w:r>
      <w:r w:rsidR="00B6692B" w:rsidRPr="004E6412">
        <w:rPr>
          <w:rFonts w:ascii="Times New Roman" w:hAnsi="Times New Roman"/>
        </w:rPr>
        <w:t xml:space="preserve"> – </w:t>
      </w:r>
      <w:r w:rsidRPr="004E6412">
        <w:rPr>
          <w:rFonts w:ascii="Times New Roman" w:hAnsi="Times New Roman"/>
        </w:rPr>
        <w:t>2012.), zatim C20 Proizvodnja kemikalija i kemijskih proizvoda (26,96% 2008.</w:t>
      </w:r>
      <w:r w:rsidR="00B6692B" w:rsidRPr="004E6412">
        <w:rPr>
          <w:rFonts w:ascii="Times New Roman" w:hAnsi="Times New Roman"/>
        </w:rPr>
        <w:t xml:space="preserve"> – </w:t>
      </w:r>
      <w:r w:rsidRPr="004E6412">
        <w:rPr>
          <w:rFonts w:ascii="Times New Roman" w:hAnsi="Times New Roman"/>
        </w:rPr>
        <w:t>2012.) i C19 Proizvodnja koksa i rafiniranih naftnih proizvoda (26,70% 2008.</w:t>
      </w:r>
      <w:r w:rsidR="00B6692B" w:rsidRPr="004E6412">
        <w:rPr>
          <w:rFonts w:ascii="Times New Roman" w:hAnsi="Times New Roman"/>
        </w:rPr>
        <w:t xml:space="preserve"> – </w:t>
      </w:r>
      <w:r w:rsidRPr="004E6412">
        <w:rPr>
          <w:rFonts w:ascii="Times New Roman" w:hAnsi="Times New Roman"/>
        </w:rPr>
        <w:t>2012</w:t>
      </w:r>
      <w:r w:rsidR="00B6692B" w:rsidRPr="004E6412">
        <w:rPr>
          <w:rFonts w:ascii="Times New Roman" w:hAnsi="Times New Roman"/>
        </w:rPr>
        <w:t>.)</w:t>
      </w:r>
      <w:r w:rsidRPr="004E6412">
        <w:rPr>
          <w:rFonts w:ascii="Times New Roman" w:hAnsi="Times New Roman"/>
        </w:rPr>
        <w:t>. Cijene hrane su također u Hrvatskoj rasle visokom stopom (9,12% 2008.</w:t>
      </w:r>
      <w:r w:rsidR="00B6692B" w:rsidRPr="004E6412">
        <w:rPr>
          <w:rFonts w:ascii="Times New Roman" w:hAnsi="Times New Roman"/>
        </w:rPr>
        <w:t xml:space="preserve"> – </w:t>
      </w:r>
      <w:r w:rsidRPr="004E6412">
        <w:rPr>
          <w:rFonts w:ascii="Times New Roman" w:hAnsi="Times New Roman"/>
        </w:rPr>
        <w:t>2012.), što potvrđuje i porast proizvođačkih cijena djelatnosti C10 Proizvodnja hrane.</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Porast cijena u djelatnosti C19 nije neočekivan jer su cijene nafte i plina na svjetskom tržištu u promatranom razdoblju rasle visokom stopom pa su porasle i cijene gotovih naftnih proizvoda </w:t>
      </w:r>
      <w:r w:rsidR="00B6692B" w:rsidRPr="004E6412">
        <w:rPr>
          <w:rFonts w:ascii="Times New Roman" w:hAnsi="Times New Roman"/>
        </w:rPr>
        <w:t>kojima se koriste domaći potrošači</w:t>
      </w:r>
      <w:r w:rsidRPr="004E6412">
        <w:rPr>
          <w:rFonts w:ascii="Times New Roman" w:hAnsi="Times New Roman"/>
        </w:rPr>
        <w:t xml:space="preserve">. </w:t>
      </w:r>
    </w:p>
    <w:p w:rsidR="009E54FC" w:rsidRPr="004E6412" w:rsidRDefault="009E54FC" w:rsidP="009E54FC">
      <w:pPr>
        <w:pStyle w:val="ListParagraph"/>
        <w:spacing w:after="0"/>
        <w:jc w:val="both"/>
        <w:rPr>
          <w:rFonts w:ascii="Times New Roman" w:hAnsi="Times New Roman"/>
        </w:rPr>
      </w:pPr>
    </w:p>
    <w:p w:rsidR="009E54FC" w:rsidRPr="004E6412" w:rsidRDefault="00B6692B"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Proizvođačke cijene </w:t>
      </w:r>
      <w:r w:rsidR="009E54FC" w:rsidRPr="004E6412">
        <w:rPr>
          <w:rFonts w:ascii="Times New Roman" w:hAnsi="Times New Roman"/>
        </w:rPr>
        <w:t xml:space="preserve">najviše </w:t>
      </w:r>
      <w:r w:rsidRPr="004E6412">
        <w:rPr>
          <w:rFonts w:ascii="Times New Roman" w:hAnsi="Times New Roman"/>
        </w:rPr>
        <w:t xml:space="preserve">su </w:t>
      </w:r>
      <w:r w:rsidR="009E54FC" w:rsidRPr="004E6412">
        <w:rPr>
          <w:rFonts w:ascii="Times New Roman" w:hAnsi="Times New Roman"/>
        </w:rPr>
        <w:t>pale u djelatnosti C32 Ostala prerađivačka industrija (5,56% 2008. – 2012.) i C23 Proizvodnja ostalih nemetalnih mineralnih proizvoda (3,23% 2008. – 2012.)</w:t>
      </w:r>
    </w:p>
    <w:p w:rsidR="009E54FC" w:rsidRPr="004E6412" w:rsidRDefault="009E54FC" w:rsidP="009E54FC">
      <w:pPr>
        <w:rPr>
          <w:sz w:val="22"/>
        </w:rPr>
      </w:pPr>
    </w:p>
    <w:p w:rsidR="009E54FC" w:rsidRPr="004E6412" w:rsidRDefault="006F3430" w:rsidP="009E54FC">
      <w:pPr>
        <w:pStyle w:val="ListParagraph"/>
        <w:numPr>
          <w:ilvl w:val="0"/>
          <w:numId w:val="87"/>
        </w:numPr>
        <w:spacing w:after="0"/>
        <w:ind w:left="714" w:hanging="357"/>
        <w:jc w:val="both"/>
        <w:rPr>
          <w:rFonts w:ascii="Times New Roman" w:hAnsi="Times New Roman"/>
        </w:rPr>
      </w:pPr>
      <w:r w:rsidRPr="004E6412">
        <w:rPr>
          <w:rFonts w:ascii="Times New Roman" w:hAnsi="Times New Roman"/>
        </w:rPr>
        <w:t>U promatranom razdoblju</w:t>
      </w:r>
      <w:r w:rsidR="009E54FC" w:rsidRPr="004E6412">
        <w:rPr>
          <w:rFonts w:ascii="Times New Roman" w:hAnsi="Times New Roman"/>
        </w:rPr>
        <w:t xml:space="preserve"> ukupne ci</w:t>
      </w:r>
      <w:r w:rsidR="00B6692B" w:rsidRPr="004E6412">
        <w:rPr>
          <w:rFonts w:ascii="Times New Roman" w:hAnsi="Times New Roman"/>
        </w:rPr>
        <w:t xml:space="preserve">jene prerađivačke industrije </w:t>
      </w:r>
      <w:r w:rsidR="009E54FC" w:rsidRPr="004E6412">
        <w:rPr>
          <w:rFonts w:ascii="Times New Roman" w:hAnsi="Times New Roman"/>
        </w:rPr>
        <w:t xml:space="preserve">povećane </w:t>
      </w:r>
      <w:r w:rsidR="00B6692B" w:rsidRPr="004E6412">
        <w:rPr>
          <w:rFonts w:ascii="Times New Roman" w:hAnsi="Times New Roman"/>
        </w:rPr>
        <w:t xml:space="preserve">su </w:t>
      </w:r>
      <w:r w:rsidR="009E54FC" w:rsidRPr="004E6412">
        <w:rPr>
          <w:rFonts w:ascii="Times New Roman" w:hAnsi="Times New Roman"/>
        </w:rPr>
        <w:t>za 10,61% (2008.</w:t>
      </w:r>
      <w:r w:rsidR="00B6692B" w:rsidRPr="004E6412">
        <w:rPr>
          <w:rFonts w:ascii="Times New Roman" w:hAnsi="Times New Roman"/>
        </w:rPr>
        <w:t xml:space="preserve"> – </w:t>
      </w:r>
      <w:r w:rsidR="009E54FC" w:rsidRPr="004E6412">
        <w:rPr>
          <w:rFonts w:ascii="Times New Roman" w:hAnsi="Times New Roman"/>
        </w:rPr>
        <w:t xml:space="preserve">2012.). </w:t>
      </w:r>
    </w:p>
    <w:p w:rsidR="009E54FC" w:rsidRPr="004E6412" w:rsidRDefault="009E54FC" w:rsidP="009E54FC">
      <w:pPr>
        <w:rPr>
          <w:b/>
        </w:rPr>
      </w:pPr>
    </w:p>
    <w:p w:rsidR="009E54FC" w:rsidRPr="007D0CFD" w:rsidRDefault="009E54FC" w:rsidP="007D0CFD">
      <w:pPr>
        <w:pStyle w:val="Heading5"/>
        <w:rPr>
          <w:rStyle w:val="IntenseEmphasis"/>
          <w:b/>
          <w:bCs w:val="0"/>
          <w:iCs w:val="0"/>
          <w:color w:val="548DD4" w:themeColor="text2" w:themeTint="99"/>
          <w:sz w:val="20"/>
        </w:rPr>
      </w:pPr>
      <w:bookmarkStart w:id="230" w:name="_Toc372088104"/>
      <w:bookmarkStart w:id="231" w:name="_Toc377551046"/>
      <w:bookmarkStart w:id="232" w:name="_Toc37763523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34</w:t>
      </w:r>
      <w:r w:rsidRPr="007D0CFD">
        <w:rPr>
          <w:rStyle w:val="IntenseEmphasis"/>
          <w:b/>
          <w:bCs w:val="0"/>
          <w:iCs w:val="0"/>
          <w:color w:val="548DD4" w:themeColor="text2" w:themeTint="99"/>
          <w:sz w:val="20"/>
        </w:rPr>
        <w:t>. Međugodišnje promjene proizvođačkih cijena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0"/>
      <w:bookmarkEnd w:id="231"/>
      <w:bookmarkEnd w:id="232"/>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1725"/>
        <w:gridCol w:w="1211"/>
        <w:gridCol w:w="1211"/>
        <w:gridCol w:w="1211"/>
        <w:gridCol w:w="1211"/>
        <w:gridCol w:w="1211"/>
        <w:gridCol w:w="1506"/>
      </w:tblGrid>
      <w:tr w:rsidR="009E54FC" w:rsidRPr="004E6412" w:rsidTr="0097195F">
        <w:trPr>
          <w:trHeight w:val="651"/>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2008/2007</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2009/2008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2010/2009</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2011/2010</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2012/2011</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2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110,6</w:t>
            </w:r>
          </w:p>
        </w:tc>
      </w:tr>
      <w:tr w:rsidR="009E54FC" w:rsidRPr="004E6412" w:rsidTr="009E54FC">
        <w:trPr>
          <w:trHeight w:val="218"/>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r>
      <w:tr w:rsidR="009E54FC" w:rsidRPr="004E6412" w:rsidTr="009E54FC">
        <w:trPr>
          <w:trHeight w:val="22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111,7</w:t>
            </w:r>
          </w:p>
        </w:tc>
      </w:tr>
      <w:tr w:rsidR="009E54FC" w:rsidRPr="004E6412" w:rsidTr="009E54FC">
        <w:trPr>
          <w:trHeight w:val="12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r>
      <w:tr w:rsidR="009E54FC" w:rsidRPr="004E6412" w:rsidTr="009E54FC">
        <w:trPr>
          <w:trHeight w:val="16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113,6</w:t>
            </w:r>
          </w:p>
        </w:tc>
      </w:tr>
      <w:tr w:rsidR="009E54FC" w:rsidRPr="004E6412" w:rsidTr="009E54FC">
        <w:trPr>
          <w:trHeight w:val="94"/>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126,7</w:t>
            </w:r>
          </w:p>
        </w:tc>
      </w:tr>
      <w:tr w:rsidR="009E54FC" w:rsidRPr="004E6412" w:rsidTr="009E54FC">
        <w:trPr>
          <w:trHeight w:val="12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127,1</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r>
      <w:tr w:rsidR="009E54FC" w:rsidRPr="004E6412" w:rsidTr="009E54FC">
        <w:trPr>
          <w:trHeight w:val="17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95,5</w:t>
            </w:r>
          </w:p>
        </w:tc>
      </w:tr>
      <w:tr w:rsidR="009E54FC" w:rsidRPr="004E6412" w:rsidTr="009E54FC">
        <w:trPr>
          <w:trHeight w:val="19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r>
      <w:tr w:rsidR="009E54FC" w:rsidRPr="004E6412" w:rsidTr="009E54FC">
        <w:trPr>
          <w:trHeight w:val="8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r>
      <w:tr w:rsidR="009E54FC" w:rsidRPr="004E6412" w:rsidTr="009E54FC">
        <w:trPr>
          <w:trHeight w:val="13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r>
      <w:tr w:rsidR="009E54FC" w:rsidRPr="004E6412" w:rsidTr="009E54FC">
        <w:trPr>
          <w:trHeight w:val="9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lastRenderedPageBreak/>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9E54FC" w:rsidRPr="004E6412" w:rsidTr="009E54FC">
        <w:trPr>
          <w:trHeight w:val="793"/>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108,3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99,6</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104,3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106,3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107,0</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118,2</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9E54FC">
      <w:pPr>
        <w:pStyle w:val="Heading4"/>
      </w:pPr>
      <w:bookmarkStart w:id="233" w:name="_Toc372087959"/>
      <w:r w:rsidRPr="004E6412">
        <w:t>Međugodišnje promjene obujma industrijske proizvodnje 2008.</w:t>
      </w:r>
      <w:r w:rsidR="00B6692B" w:rsidRPr="004E6412">
        <w:t xml:space="preserve"> – </w:t>
      </w:r>
      <w:r w:rsidRPr="004E6412">
        <w:t>2012.</w:t>
      </w:r>
      <w:bookmarkEnd w:id="233"/>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Obujam industrijske proizvodnje prerađivačke industrije je 2012. godine bio 17,28% niži nego u pre</w:t>
      </w:r>
      <w:r w:rsidR="00B6692B" w:rsidRPr="004E6412">
        <w:rPr>
          <w:rFonts w:ascii="Times New Roman" w:hAnsi="Times New Roman"/>
        </w:rPr>
        <w:t>d</w:t>
      </w:r>
      <w:r w:rsidRPr="004E6412">
        <w:rPr>
          <w:rFonts w:ascii="Times New Roman" w:hAnsi="Times New Roman"/>
        </w:rPr>
        <w:t>kriznoj 2008. godini. Pad je bio veći nego na razini cjelokupne hrvatske industrije.</w:t>
      </w:r>
    </w:p>
    <w:p w:rsidR="009E54FC" w:rsidRPr="004E6412" w:rsidRDefault="009E54FC" w:rsidP="009E54FC">
      <w:pPr>
        <w:ind w:left="357"/>
      </w:pPr>
    </w:p>
    <w:p w:rsidR="009E54FC" w:rsidRPr="004E6412" w:rsidRDefault="003C6ADF"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Samo dvije</w:t>
      </w:r>
      <w:r w:rsidR="009E54FC" w:rsidRPr="004E6412">
        <w:rPr>
          <w:rFonts w:ascii="Times New Roman" w:hAnsi="Times New Roman"/>
        </w:rPr>
        <w:t xml:space="preserve"> djelatnosti</w:t>
      </w:r>
      <w:r w:rsidRPr="004E6412">
        <w:rPr>
          <w:rFonts w:ascii="Times New Roman" w:hAnsi="Times New Roman"/>
        </w:rPr>
        <w:t xml:space="preserve"> </w:t>
      </w:r>
      <w:r w:rsidR="009E54FC" w:rsidRPr="004E6412">
        <w:rPr>
          <w:rFonts w:ascii="Times New Roman" w:hAnsi="Times New Roman"/>
        </w:rPr>
        <w:t>prerađivačke industrije koje su uspjele ostvariti rast obujma industrijske proizvodnje su C17 Proizvodnja papira i proizvoda od papira (+</w:t>
      </w:r>
      <w:r w:rsidRPr="004E6412">
        <w:rPr>
          <w:rFonts w:ascii="Times New Roman" w:hAnsi="Times New Roman"/>
        </w:rPr>
        <w:t>24,33%) i</w:t>
      </w:r>
      <w:r w:rsidR="00B6692B" w:rsidRPr="004E6412">
        <w:rPr>
          <w:rFonts w:ascii="Times New Roman" w:hAnsi="Times New Roman"/>
        </w:rPr>
        <w:t xml:space="preserve"> C22 </w:t>
      </w:r>
      <w:r w:rsidR="009E54FC" w:rsidRPr="004E6412">
        <w:rPr>
          <w:rFonts w:ascii="Times New Roman" w:hAnsi="Times New Roman"/>
        </w:rPr>
        <w:t>Proizvodnja proizvoda od gume i plastike (+0,47%)</w:t>
      </w:r>
      <w:r w:rsidRPr="004E6412">
        <w:rPr>
          <w:rFonts w:ascii="Times New Roman" w:hAnsi="Times New Roman"/>
        </w:rPr>
        <w:t>.</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34" w:name="_Toc372088105"/>
      <w:bookmarkStart w:id="235" w:name="_Toc377551047"/>
      <w:bookmarkStart w:id="236" w:name="_Toc37763523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35</w:t>
      </w:r>
      <w:r w:rsidRPr="007D0CFD">
        <w:rPr>
          <w:rStyle w:val="IntenseEmphasis"/>
          <w:b/>
          <w:bCs w:val="0"/>
          <w:iCs w:val="0"/>
          <w:color w:val="548DD4" w:themeColor="text2" w:themeTint="99"/>
          <w:sz w:val="20"/>
        </w:rPr>
        <w:t>. Međugodišnje promjene obujma industrijske proizvodnje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4"/>
      <w:bookmarkEnd w:id="235"/>
      <w:bookmarkEnd w:id="236"/>
    </w:p>
    <w:tbl>
      <w:tblPr>
        <w:tblW w:w="5000" w:type="pct"/>
        <w:tblLook w:val="04A0" w:firstRow="1" w:lastRow="0" w:firstColumn="1" w:lastColumn="0" w:noHBand="0" w:noVBand="1"/>
      </w:tblPr>
      <w:tblGrid>
        <w:gridCol w:w="1725"/>
        <w:gridCol w:w="1211"/>
        <w:gridCol w:w="1211"/>
        <w:gridCol w:w="1211"/>
        <w:gridCol w:w="1211"/>
        <w:gridCol w:w="1211"/>
        <w:gridCol w:w="1506"/>
      </w:tblGrid>
      <w:tr w:rsidR="009E54FC" w:rsidRPr="004E6412" w:rsidTr="0097195F">
        <w:trPr>
          <w:trHeight w:val="825"/>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/2007</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0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82,72</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95,82</w:t>
            </w:r>
          </w:p>
        </w:tc>
      </w:tr>
      <w:tr w:rsidR="009E54FC" w:rsidRPr="004E6412" w:rsidTr="009E54FC">
        <w:trPr>
          <w:trHeight w:val="13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90,17</w:t>
            </w:r>
          </w:p>
        </w:tc>
      </w:tr>
      <w:tr w:rsidR="009E54FC" w:rsidRPr="004E6412" w:rsidTr="009E54FC">
        <w:trPr>
          <w:trHeight w:val="8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73,95</w:t>
            </w:r>
          </w:p>
        </w:tc>
      </w:tr>
      <w:tr w:rsidR="009E54FC" w:rsidRPr="004E6412" w:rsidTr="009E54FC">
        <w:trPr>
          <w:trHeight w:val="17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87,97</w:t>
            </w:r>
          </w:p>
        </w:tc>
      </w:tr>
      <w:tr w:rsidR="009E54FC" w:rsidRPr="004E6412" w:rsidTr="009E54FC">
        <w:trPr>
          <w:trHeight w:val="13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68,45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90,59</w:t>
            </w:r>
          </w:p>
        </w:tc>
      </w:tr>
      <w:tr w:rsidR="009E54FC" w:rsidRPr="004E6412" w:rsidTr="009E54FC">
        <w:trPr>
          <w:trHeight w:val="16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71,57</w:t>
            </w:r>
          </w:p>
        </w:tc>
      </w:tr>
      <w:tr w:rsidR="009E54FC" w:rsidRPr="004E6412" w:rsidTr="009E54FC">
        <w:trPr>
          <w:trHeight w:val="11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115,5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124,33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77,06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83,78</w:t>
            </w:r>
          </w:p>
        </w:tc>
      </w:tr>
      <w:tr w:rsidR="009E54FC" w:rsidRPr="004E6412" w:rsidTr="009E54FC">
        <w:trPr>
          <w:trHeight w:val="9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88,78</w:t>
            </w:r>
          </w:p>
        </w:tc>
      </w:tr>
      <w:tr w:rsidR="009E54FC" w:rsidRPr="004E6412" w:rsidTr="009E54FC">
        <w:trPr>
          <w:trHeight w:val="19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86,64</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64,48</w:t>
            </w:r>
          </w:p>
        </w:tc>
      </w:tr>
      <w:tr w:rsidR="009E54FC" w:rsidRPr="004E6412" w:rsidTr="009E54FC">
        <w:trPr>
          <w:trHeight w:val="15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60,80</w:t>
            </w:r>
          </w:p>
        </w:tc>
      </w:tr>
      <w:tr w:rsidR="009E54FC" w:rsidRPr="004E6412" w:rsidTr="009E54FC">
        <w:trPr>
          <w:trHeight w:val="10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66,10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31,56</w:t>
            </w:r>
          </w:p>
        </w:tc>
      </w:tr>
      <w:tr w:rsidR="009E54FC" w:rsidRPr="004E6412" w:rsidTr="009E54FC">
        <w:trPr>
          <w:trHeight w:val="15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66,80</w:t>
            </w:r>
          </w:p>
        </w:tc>
      </w:tr>
      <w:tr w:rsidR="009E54FC" w:rsidRPr="004E6412" w:rsidTr="009E54FC">
        <w:trPr>
          <w:trHeight w:val="100"/>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66,82</w:t>
            </w:r>
          </w:p>
        </w:tc>
      </w:tr>
      <w:tr w:rsidR="009E54FC" w:rsidRPr="004E6412" w:rsidTr="009E54FC">
        <w:trPr>
          <w:trHeight w:val="17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70,46</w:t>
            </w:r>
          </w:p>
        </w:tc>
      </w:tr>
      <w:tr w:rsidR="009E54FC" w:rsidRPr="004E6412" w:rsidTr="009E54FC">
        <w:trPr>
          <w:trHeight w:val="13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64,75</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84,60</w:t>
            </w:r>
          </w:p>
        </w:tc>
      </w:tr>
      <w:tr w:rsidR="009E54FC" w:rsidRPr="004E6412" w:rsidTr="009E54FC">
        <w:trPr>
          <w:trHeight w:val="1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32,41</w:t>
            </w:r>
          </w:p>
        </w:tc>
      </w:tr>
      <w:tr w:rsidR="009E54FC" w:rsidRPr="004E6412" w:rsidTr="009E54FC">
        <w:trPr>
          <w:trHeight w:val="8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133,43</w:t>
            </w:r>
          </w:p>
        </w:tc>
      </w:tr>
      <w:tr w:rsidR="009E54FC" w:rsidRPr="004E6412" w:rsidTr="009E54FC">
        <w:trPr>
          <w:trHeight w:val="361"/>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101,2</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98,6</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94,5</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83,59</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Uzimajući u o</w:t>
      </w:r>
      <w:r w:rsidR="00B6692B" w:rsidRPr="004E6412">
        <w:rPr>
          <w:rFonts w:ascii="Times New Roman" w:hAnsi="Times New Roman"/>
        </w:rPr>
        <w:t>bzir navedene podatke, očita</w:t>
      </w:r>
      <w:r w:rsidRPr="004E6412">
        <w:rPr>
          <w:rFonts w:ascii="Times New Roman" w:hAnsi="Times New Roman"/>
        </w:rPr>
        <w:t xml:space="preserve"> je činjenica da su ukupni prihodi većine djelatnosti, a tako i</w:t>
      </w:r>
      <w:r w:rsidR="00B6692B" w:rsidRPr="004E6412">
        <w:rPr>
          <w:rFonts w:ascii="Times New Roman" w:hAnsi="Times New Roman"/>
        </w:rPr>
        <w:t xml:space="preserve"> ukupne prerađivačke industrije,</w:t>
      </w:r>
      <w:r w:rsidRPr="004E6412">
        <w:rPr>
          <w:rFonts w:ascii="Times New Roman" w:hAnsi="Times New Roman"/>
        </w:rPr>
        <w:t xml:space="preserve"> u razdoblju 2010.</w:t>
      </w:r>
      <w:r w:rsidR="00B6692B" w:rsidRPr="004E6412">
        <w:rPr>
          <w:rFonts w:ascii="Times New Roman" w:hAnsi="Times New Roman"/>
        </w:rPr>
        <w:t xml:space="preserve"> </w:t>
      </w:r>
      <w:r w:rsidRPr="004E6412">
        <w:rPr>
          <w:rFonts w:ascii="Times New Roman" w:hAnsi="Times New Roman"/>
        </w:rPr>
        <w:t>–</w:t>
      </w:r>
      <w:r w:rsidR="00B6692B" w:rsidRPr="004E6412">
        <w:rPr>
          <w:rFonts w:ascii="Times New Roman" w:hAnsi="Times New Roman"/>
        </w:rPr>
        <w:t xml:space="preserve"> </w:t>
      </w:r>
      <w:r w:rsidRPr="004E6412">
        <w:rPr>
          <w:rFonts w:ascii="Times New Roman" w:hAnsi="Times New Roman"/>
        </w:rPr>
        <w:t xml:space="preserve">2012. povećani. Za navedeno povećanje prihoda zaslužno je povećanje razine proizvođačkih cijena koje je kompenziralo pad u obujmu proizvodnje. </w:t>
      </w:r>
    </w:p>
    <w:p w:rsidR="00F60896" w:rsidRPr="004E6412" w:rsidRDefault="00F60896" w:rsidP="009E54FC">
      <w:pPr>
        <w:rPr>
          <w:sz w:val="22"/>
        </w:rPr>
      </w:pPr>
    </w:p>
    <w:p w:rsidR="009E54FC" w:rsidRPr="004E6412" w:rsidRDefault="009E54FC" w:rsidP="009E54FC">
      <w:pPr>
        <w:pStyle w:val="Subtitle"/>
        <w:rPr>
          <w:lang w:val="hr-HR"/>
        </w:rPr>
      </w:pPr>
      <w:bookmarkStart w:id="237" w:name="_Toc372309194"/>
      <w:bookmarkStart w:id="238" w:name="_Toc377635345"/>
      <w:r w:rsidRPr="004E6412">
        <w:rPr>
          <w:lang w:val="hr-HR"/>
        </w:rPr>
        <w:t>Slika 2</w:t>
      </w:r>
      <w:r w:rsidR="005B7BDA" w:rsidRPr="004E6412">
        <w:rPr>
          <w:lang w:val="hr-HR"/>
        </w:rPr>
        <w:t>1</w:t>
      </w:r>
      <w:r w:rsidRPr="004E6412">
        <w:rPr>
          <w:rFonts w:eastAsia="Calibri"/>
          <w:lang w:val="hr-HR"/>
        </w:rPr>
        <w:t>. P</w:t>
      </w:r>
      <w:r w:rsidRPr="004E6412">
        <w:rPr>
          <w:lang w:val="hr-HR"/>
        </w:rPr>
        <w:t>romjena obujma industrijske proizvodnje prerađivačke industrije 2008. – 2012.</w:t>
      </w:r>
      <w:bookmarkEnd w:id="237"/>
      <w:bookmarkEnd w:id="238"/>
    </w:p>
    <w:p w:rsidR="009E54FC" w:rsidRPr="004E6412" w:rsidRDefault="001E199D" w:rsidP="009E54FC">
      <w:pPr>
        <w:rPr>
          <w:sz w:val="22"/>
        </w:rPr>
      </w:pPr>
      <w:r w:rsidRPr="004E6412">
        <w:rPr>
          <w:noProof/>
          <w:sz w:val="22"/>
          <w:lang w:eastAsia="hr-HR"/>
        </w:rPr>
        <w:drawing>
          <wp:inline distT="0" distB="0" distL="0" distR="0" wp14:anchorId="1B6FCF8E" wp14:editId="2B7A45AB">
            <wp:extent cx="5734812" cy="2747785"/>
            <wp:effectExtent l="6096" t="6089" r="7747" b="5201"/>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E54FC" w:rsidRPr="004E6412" w:rsidRDefault="009E54FC" w:rsidP="009E54FC">
      <w:pPr>
        <w:rPr>
          <w:sz w:val="20"/>
          <w:szCs w:val="24"/>
        </w:rPr>
      </w:pPr>
      <w:r w:rsidRPr="004E6412">
        <w:rPr>
          <w:sz w:val="20"/>
          <w:szCs w:val="24"/>
        </w:rPr>
        <w:t>Izvor: Državni zavod za st</w:t>
      </w:r>
      <w:r w:rsidR="00B6692B" w:rsidRPr="004E6412">
        <w:rPr>
          <w:sz w:val="20"/>
          <w:szCs w:val="24"/>
        </w:rPr>
        <w:t xml:space="preserve">atistiku. Dostupno na: </w:t>
      </w:r>
      <w:r w:rsidRPr="004E6412">
        <w:rPr>
          <w:sz w:val="20"/>
          <w:szCs w:val="24"/>
        </w:rPr>
        <w:t>www.dzs.hr [11.7.2013.]; obrada autora.</w:t>
      </w:r>
    </w:p>
    <w:p w:rsidR="009E54FC" w:rsidRPr="004E6412" w:rsidRDefault="009E54FC" w:rsidP="009E54FC">
      <w:pPr>
        <w:pStyle w:val="Heading3"/>
      </w:pPr>
    </w:p>
    <w:p w:rsidR="009E54FC" w:rsidRPr="004E6412" w:rsidRDefault="009E54FC" w:rsidP="00B066F4"/>
    <w:p w:rsidR="00B066F4" w:rsidRPr="004E6412" w:rsidRDefault="00B066F4" w:rsidP="00B066F4"/>
    <w:p w:rsidR="00B066F4" w:rsidRPr="004E6412" w:rsidRDefault="00B066F4" w:rsidP="008A2422">
      <w:pPr>
        <w:pStyle w:val="Heading4"/>
      </w:pPr>
      <w:bookmarkStart w:id="239" w:name="_Toc372087964"/>
      <w:r w:rsidRPr="004E6412">
        <w:t>Analiza odabranih pokazatelja iz strukture rashoda prerađivačke industrije 2010.</w:t>
      </w:r>
      <w:r w:rsidR="00B6692B" w:rsidRPr="004E6412">
        <w:t xml:space="preserve"> – </w:t>
      </w:r>
      <w:r w:rsidRPr="004E6412">
        <w:t>2012.</w:t>
      </w:r>
      <w:bookmarkEnd w:id="239"/>
      <w:r w:rsidRPr="004E6412">
        <w:t xml:space="preserve"> </w:t>
      </w: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U prerađivačkoj industriji daleko najveći dio rashoda otpada na materijalne troškove (66% u 2010., 67,67% u 2011. i 68,61% u 2012.), u koje ulaze troškovi sirovina i materijala, troškovi prodane robe i ostali vanjski troškovi.</w:t>
      </w:r>
    </w:p>
    <w:p w:rsidR="00B066F4" w:rsidRPr="004E6412" w:rsidRDefault="00B066F4" w:rsidP="00B066F4">
      <w:pPr>
        <w:rPr>
          <w:sz w:val="22"/>
        </w:rPr>
      </w:pP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Troškovi osoblja čine svega 13,18% ukupnih rashoda prerađivačke industrije u 2012., s trendom smanjenja udjela. Stoga smanjivanje troškova osoblja neće značajno utjecati na ukupno poslovanje prerađivačke industrije.</w:t>
      </w:r>
    </w:p>
    <w:p w:rsidR="00B066F4" w:rsidRPr="004E6412" w:rsidRDefault="00B066F4" w:rsidP="00B066F4">
      <w:pPr>
        <w:rPr>
          <w:sz w:val="22"/>
        </w:rPr>
      </w:pPr>
    </w:p>
    <w:p w:rsidR="009E54FC"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Financijski rashodi također n</w:t>
      </w:r>
      <w:r w:rsidR="00B6692B" w:rsidRPr="004E6412">
        <w:rPr>
          <w:rFonts w:ascii="Times New Roman" w:hAnsi="Times New Roman"/>
        </w:rPr>
        <w:t>e čine značajnu stavku u ukupnim</w:t>
      </w:r>
      <w:r w:rsidRPr="004E6412">
        <w:rPr>
          <w:rFonts w:ascii="Times New Roman" w:hAnsi="Times New Roman"/>
        </w:rPr>
        <w:t xml:space="preserve"> rashodima prerađivačke industrije. U 2012. udio im je iznosio svega 3,51% s trendom smanjenja.</w:t>
      </w:r>
    </w:p>
    <w:p w:rsidR="009E54FC" w:rsidRPr="004E6412" w:rsidRDefault="009E54FC" w:rsidP="009E54FC">
      <w:pPr>
        <w:pStyle w:val="ListParagraph"/>
        <w:rPr>
          <w:rFonts w:ascii="Times New Roman" w:hAnsi="Times New Roman"/>
        </w:rPr>
      </w:pPr>
    </w:p>
    <w:p w:rsidR="009E54FC" w:rsidRPr="004E6412" w:rsidRDefault="009E54FC" w:rsidP="009E54FC">
      <w:pPr>
        <w:pStyle w:val="ListParagraph"/>
        <w:numPr>
          <w:ilvl w:val="0"/>
          <w:numId w:val="96"/>
        </w:numPr>
        <w:spacing w:after="0"/>
        <w:jc w:val="both"/>
        <w:rPr>
          <w:rFonts w:ascii="Times New Roman" w:hAnsi="Times New Roman"/>
        </w:rPr>
      </w:pPr>
      <w:r w:rsidRPr="004E6412">
        <w:rPr>
          <w:rFonts w:ascii="Times New Roman" w:hAnsi="Times New Roman"/>
        </w:rPr>
        <w:t>Gotovo ni jedna djelatnost nije imala udio troškova za osoblje u ukupnim rashodima veći</w:t>
      </w:r>
      <w:r w:rsidR="00B6692B" w:rsidRPr="004E6412">
        <w:rPr>
          <w:rFonts w:ascii="Times New Roman" w:hAnsi="Times New Roman"/>
        </w:rPr>
        <w:t>m</w:t>
      </w:r>
      <w:r w:rsidRPr="004E6412">
        <w:rPr>
          <w:rFonts w:ascii="Times New Roman" w:hAnsi="Times New Roman"/>
        </w:rPr>
        <w:t xml:space="preserve"> od 20% ni u jednoj promatranoj godini. Izuzetak </w:t>
      </w:r>
      <w:r w:rsidR="003C6ADF" w:rsidRPr="004E6412">
        <w:rPr>
          <w:rFonts w:ascii="Times New Roman" w:hAnsi="Times New Roman"/>
        </w:rPr>
        <w:t>je djelatnost C14</w:t>
      </w:r>
      <w:r w:rsidRPr="004E6412">
        <w:rPr>
          <w:rFonts w:ascii="Times New Roman" w:hAnsi="Times New Roman"/>
        </w:rPr>
        <w:t xml:space="preserve"> koj</w:t>
      </w:r>
      <w:r w:rsidR="003C6ADF" w:rsidRPr="004E6412">
        <w:rPr>
          <w:rFonts w:ascii="Times New Roman" w:hAnsi="Times New Roman"/>
        </w:rPr>
        <w:t>a</w:t>
      </w:r>
      <w:r w:rsidRPr="004E6412">
        <w:rPr>
          <w:rFonts w:ascii="Times New Roman" w:hAnsi="Times New Roman"/>
        </w:rPr>
        <w:t xml:space="preserve"> iskazuj</w:t>
      </w:r>
      <w:r w:rsidR="003C6ADF" w:rsidRPr="004E6412">
        <w:rPr>
          <w:rFonts w:ascii="Times New Roman" w:hAnsi="Times New Roman"/>
        </w:rPr>
        <w:t>e</w:t>
      </w:r>
      <w:r w:rsidRPr="004E6412">
        <w:rPr>
          <w:rFonts w:ascii="Times New Roman" w:hAnsi="Times New Roman"/>
        </w:rPr>
        <w:t xml:space="preserve"> veću radnu intenzivnost.</w:t>
      </w:r>
    </w:p>
    <w:p w:rsidR="00B066F4" w:rsidRPr="004E6412" w:rsidRDefault="00B066F4" w:rsidP="009E54FC">
      <w:pPr>
        <w:pStyle w:val="ListParagraph"/>
        <w:spacing w:after="0"/>
        <w:jc w:val="both"/>
        <w:rPr>
          <w:rFonts w:ascii="Times New Roman" w:hAnsi="Times New Roman"/>
        </w:rPr>
      </w:pPr>
      <w:r w:rsidRPr="004E6412">
        <w:rPr>
          <w:rFonts w:ascii="Times New Roman" w:hAnsi="Times New Roman"/>
        </w:rPr>
        <w:t xml:space="preserve"> </w:t>
      </w:r>
    </w:p>
    <w:p w:rsidR="00B066F4" w:rsidRPr="004E6412" w:rsidRDefault="00B066F4" w:rsidP="00B066F4"/>
    <w:p w:rsidR="009E54FC" w:rsidRPr="004E6412" w:rsidRDefault="009E54FC" w:rsidP="00B066F4"/>
    <w:p w:rsidR="009E54FC" w:rsidRPr="004E6412" w:rsidRDefault="009E54FC" w:rsidP="00B066F4">
      <w:pPr>
        <w:sectPr w:rsidR="009E54FC"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40" w:name="_Toc372088115"/>
      <w:bookmarkStart w:id="241" w:name="_Toc377551048"/>
      <w:bookmarkStart w:id="242" w:name="_Toc377635237"/>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36</w:t>
      </w:r>
      <w:r w:rsidRPr="007D0CFD">
        <w:rPr>
          <w:rStyle w:val="IntenseEmphasis"/>
          <w:b/>
          <w:bCs w:val="0"/>
          <w:iCs w:val="0"/>
          <w:color w:val="548DD4" w:themeColor="text2" w:themeTint="99"/>
          <w:sz w:val="20"/>
        </w:rPr>
        <w:t>. Struktura odabranih stavki rashoda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0"/>
      <w:bookmarkEnd w:id="241"/>
      <w:bookmarkEnd w:id="242"/>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2746"/>
        <w:gridCol w:w="2389"/>
        <w:gridCol w:w="2545"/>
        <w:gridCol w:w="2545"/>
        <w:gridCol w:w="1331"/>
        <w:gridCol w:w="1331"/>
        <w:gridCol w:w="1331"/>
      </w:tblGrid>
      <w:tr w:rsidR="00B066F4" w:rsidRPr="004E6412" w:rsidTr="009E54FC">
        <w:trPr>
          <w:trHeight w:val="20"/>
        </w:trPr>
        <w:tc>
          <w:tcPr>
            <w:tcW w:w="966"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Stavka rashoda (HRK)</w:t>
            </w:r>
          </w:p>
        </w:tc>
        <w:tc>
          <w:tcPr>
            <w:tcW w:w="1404"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Udio u ukupnim rashodima (%)</w:t>
            </w:r>
          </w:p>
        </w:tc>
      </w:tr>
      <w:tr w:rsidR="00B066F4" w:rsidRPr="004E6412" w:rsidTr="009E54FC">
        <w:trPr>
          <w:trHeight w:val="20"/>
        </w:trPr>
        <w:tc>
          <w:tcPr>
            <w:tcW w:w="966" w:type="pct"/>
            <w:tcBorders>
              <w:top w:val="nil"/>
              <w:left w:val="nil"/>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404" w:type="pct"/>
            <w:gridSpan w:val="3"/>
            <w:vMerge/>
            <w:tcBorders>
              <w:top w:val="nil"/>
              <w:left w:val="single" w:sz="4" w:space="0" w:color="auto"/>
              <w:bottom w:val="single" w:sz="4" w:space="0" w:color="auto"/>
              <w:right w:val="nil"/>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r>
      <w:tr w:rsidR="00B066F4" w:rsidRPr="004E6412" w:rsidTr="009E54FC">
        <w:trPr>
          <w:trHeight w:val="20"/>
        </w:trPr>
        <w:tc>
          <w:tcPr>
            <w:tcW w:w="966" w:type="pct"/>
            <w:tcBorders>
              <w:top w:val="nil"/>
              <w:left w:val="nil"/>
              <w:bottom w:val="nil"/>
              <w:right w:val="nil"/>
            </w:tcBorders>
            <w:shd w:val="clear" w:color="auto" w:fill="auto"/>
            <w:vAlign w:val="center"/>
          </w:tcPr>
          <w:p w:rsidR="00B066F4" w:rsidRPr="004E6412" w:rsidRDefault="00B066F4" w:rsidP="009E54FC">
            <w:pPr>
              <w:spacing w:line="240" w:lineRule="auto"/>
              <w:rPr>
                <w:rFonts w:eastAsia="Times New Roman"/>
                <w:sz w:val="20"/>
                <w:szCs w:val="20"/>
                <w:lang w:eastAsia="hr-HR"/>
              </w:rPr>
            </w:pPr>
          </w:p>
        </w:tc>
        <w:tc>
          <w:tcPr>
            <w:tcW w:w="840" w:type="pct"/>
            <w:tcBorders>
              <w:top w:val="single" w:sz="4" w:space="0" w:color="auto"/>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Materijalni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97.426.484.840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105.174.140.328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107.267.687.617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66,00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67,67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68,61</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sirovina i materijala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60.872.161.651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65.816.688.030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67.972.162.431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41,24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43,48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prodane robe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20.643.456.885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23.188.827.013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22.618.388.412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Ostali vanjski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15.910.866.304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16.168.625.284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16.677.136.775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Troškovi osoblja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20.916.681.398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20.538.359.628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20.599.509.124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14,17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13,21</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13,18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Neto plaće i nadnice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12.619.152.855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12.537.191.698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12.723.127.915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poreza i doprinosa iz plaća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5.240.506.212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5.006.046.582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5.055.749.213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Doprinosi na plaće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3.057.022.331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2.995.121.346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2.820.632.000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Financijski rashodi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6.396.291.947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7.365.958.093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5.494.625.408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4,33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4,74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3,51</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840"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31.236.064.750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32.357.420.265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31.547.243.647 </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21,16</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20,82</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20,18</w:t>
            </w:r>
          </w:p>
        </w:tc>
      </w:tr>
    </w:tbl>
    <w:p w:rsidR="00B066F4" w:rsidRPr="004E6412" w:rsidRDefault="00B066F4" w:rsidP="00B066F4">
      <w:pPr>
        <w:rPr>
          <w:sz w:val="20"/>
          <w:szCs w:val="20"/>
        </w:rPr>
      </w:pPr>
      <w:r w:rsidRPr="004E6412">
        <w:rPr>
          <w:sz w:val="20"/>
          <w:szCs w:val="20"/>
        </w:rPr>
        <w:t xml:space="preserve">Izvor: FINA, </w:t>
      </w:r>
      <w:r w:rsidR="00B6692B" w:rsidRPr="004E6412">
        <w:rPr>
          <w:sz w:val="20"/>
          <w:szCs w:val="20"/>
        </w:rPr>
        <w:t xml:space="preserve">podaci </w:t>
      </w:r>
      <w:r w:rsidR="00B6692B" w:rsidRPr="004E6412">
        <w:rPr>
          <w:color w:val="222222"/>
          <w:sz w:val="20"/>
          <w:szCs w:val="20"/>
          <w:shd w:val="clear" w:color="auto" w:fill="FFFFFF"/>
        </w:rPr>
        <w:t>iz objedinjenih</w:t>
      </w:r>
      <w:r w:rsidRPr="004E6412">
        <w:rPr>
          <w:color w:val="222222"/>
          <w:sz w:val="20"/>
          <w:szCs w:val="20"/>
          <w:shd w:val="clear" w:color="auto" w:fill="FFFFFF"/>
        </w:rPr>
        <w:t xml:space="preserve"> godišnjih financijskih izvještaja djelatnosti prerađivačke industrije.</w:t>
      </w:r>
    </w:p>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8A2422" w:rsidRPr="004E6412" w:rsidRDefault="008A2422" w:rsidP="008A2422">
      <w:pPr>
        <w:pStyle w:val="Heading3"/>
      </w:pPr>
      <w:bookmarkStart w:id="243" w:name="_Toc378069024"/>
      <w:r w:rsidRPr="004E6412">
        <w:lastRenderedPageBreak/>
        <w:t xml:space="preserve">Analiza zaposlenih </w:t>
      </w:r>
      <w:r w:rsidR="00B6692B" w:rsidRPr="004E6412">
        <w:t>u prerađivačkoj industriji</w:t>
      </w:r>
      <w:r w:rsidRPr="004E6412">
        <w:t xml:space="preserve"> 2010.</w:t>
      </w:r>
      <w:r w:rsidR="00B6692B" w:rsidRPr="004E6412">
        <w:t xml:space="preserve"> – </w:t>
      </w:r>
      <w:r w:rsidRPr="004E6412">
        <w:t>2012.</w:t>
      </w:r>
      <w:bookmarkEnd w:id="243"/>
      <w:r w:rsidRPr="004E6412">
        <w:t xml:space="preserve"> </w:t>
      </w:r>
    </w:p>
    <w:p w:rsidR="008A2422" w:rsidRPr="004E6412" w:rsidRDefault="008A2422" w:rsidP="008A2422">
      <w:r w:rsidRPr="004E6412">
        <w:tab/>
      </w: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Broj zaposlenih (prema satima rada) u prerađivačkoj industriji u promatranom razdoblju se kontinuirano smanjivao, sa 230.257 zaposlenika u 2010. na 224.441 zaposlenih osoba u 2012., što u apsolutnom iznosu čini smanjenje od 5.816 osoba, odnosno 2,53%. Rezultat je to smanjenja broja zaposlenih u 15 od 24 djelatnosti prerađivačke industrije.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Najviše zaposlenika u 2012. radilo je u djelatnosti C10 Proizvodnja prehrambenih proizvoda, s udjelom u ukupnoj prerađivačkoj industriji od 19,53% (43.826 zaposlenika). Na drugom mjestu po broju zaposlenika nalazi se djelatnost C25 Proizvodnja gotovih metalnih proizvoda, osim strojeva i opreme, koja je u 2012. zapošljavala 26.950 osoba, što čini udio od 12,01%. Te dvije djelatnosti zapošljavaju više od 30% ukupno zaposlenih u prerađivačkoj industriji. S druge strane, najmanji udio u zapošljavanju cijele industrije ima djelatnost C12 Proizvodnja duhanskih proizvoda, s udjelom od tek 0,33%.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Do najvećeg relativnog smanjenja zaposlenih u promatranom razdoblju došlo je u djelatnosti C13 Proizvodnja tekstila, gdje se broj zaposlenih smanjio za 16,85%. U apsolutnom iznosu, do najvećeg smanjenja zaposlenih došlo je u djelatnosti</w:t>
      </w:r>
      <w:r w:rsidR="003C6ADF" w:rsidRPr="004E6412">
        <w:rPr>
          <w:rFonts w:ascii="Times New Roman" w:hAnsi="Times New Roman"/>
        </w:rPr>
        <w:t>ma</w:t>
      </w:r>
      <w:r w:rsidRPr="004E6412">
        <w:rPr>
          <w:rFonts w:ascii="Times New Roman" w:hAnsi="Times New Roman"/>
        </w:rPr>
        <w:t xml:space="preserve"> C14 Proizvodnja odjeće (1.932 osobe), zatim u C19 Proizvodnja koksa i rafiniranih naftnih proizvoda (1.018 osoba) te u C</w:t>
      </w:r>
      <w:r w:rsidR="000E7950" w:rsidRPr="004E6412">
        <w:rPr>
          <w:rFonts w:ascii="Times New Roman" w:hAnsi="Times New Roman"/>
        </w:rPr>
        <w:t>22</w:t>
      </w:r>
      <w:r w:rsidRPr="004E6412">
        <w:rPr>
          <w:rFonts w:ascii="Times New Roman" w:hAnsi="Times New Roman"/>
        </w:rPr>
        <w:t xml:space="preserve"> </w:t>
      </w:r>
      <w:r w:rsidR="000E7950" w:rsidRPr="004E6412">
        <w:rPr>
          <w:rFonts w:ascii="Times New Roman" w:hAnsi="Times New Roman"/>
        </w:rPr>
        <w:t xml:space="preserve">Proizvodnja proizvoda od gume i plastike </w:t>
      </w:r>
      <w:r w:rsidRPr="004E6412">
        <w:rPr>
          <w:rFonts w:ascii="Times New Roman" w:hAnsi="Times New Roman"/>
        </w:rPr>
        <w:t>(</w:t>
      </w:r>
      <w:r w:rsidR="000E7950" w:rsidRPr="004E6412">
        <w:rPr>
          <w:rFonts w:ascii="Times New Roman" w:hAnsi="Times New Roman"/>
        </w:rPr>
        <w:t>861</w:t>
      </w:r>
      <w:r w:rsidRPr="004E6412">
        <w:rPr>
          <w:rFonts w:ascii="Times New Roman" w:hAnsi="Times New Roman"/>
        </w:rPr>
        <w:t xml:space="preserve"> osoba). Zajedno je smanjenje zaposlenih u navedene tri djelatnosti (3.</w:t>
      </w:r>
      <w:r w:rsidR="000E7950" w:rsidRPr="004E6412">
        <w:rPr>
          <w:rFonts w:ascii="Times New Roman" w:hAnsi="Times New Roman"/>
        </w:rPr>
        <w:t>811</w:t>
      </w:r>
      <w:r w:rsidRPr="004E6412">
        <w:rPr>
          <w:rFonts w:ascii="Times New Roman" w:hAnsi="Times New Roman"/>
        </w:rPr>
        <w:t xml:space="preserve"> od 5.816 osoba) činilo udio od </w:t>
      </w:r>
      <w:r w:rsidR="000E7950" w:rsidRPr="004E6412">
        <w:rPr>
          <w:rFonts w:ascii="Times New Roman" w:hAnsi="Times New Roman"/>
        </w:rPr>
        <w:t>65,52</w:t>
      </w:r>
      <w:r w:rsidRPr="004E6412">
        <w:rPr>
          <w:rFonts w:ascii="Times New Roman" w:hAnsi="Times New Roman"/>
        </w:rPr>
        <w:t xml:space="preserve">% ukupnog smanjenja zaposlenih u prerađivačkoj industriji.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S druge strane, djelatnost C25 Proizvodnja gotovih metalnih proizvoda, osim strojeva i opreme zaposlila je čak 1.257 osoba što je djelomično ublažilo drastičan pad broja zaposlenika u prethodno navedenim djelatnostima. </w:t>
      </w:r>
      <w:bookmarkStart w:id="244" w:name="_Toc372088107"/>
    </w:p>
    <w:p w:rsidR="008A2422" w:rsidRPr="004E6412" w:rsidRDefault="008A2422" w:rsidP="008A2422">
      <w:pPr>
        <w:pStyle w:val="ListParagraph"/>
        <w:rPr>
          <w:rFonts w:ascii="Times New Roman" w:hAnsi="Times New Roman"/>
        </w:rPr>
      </w:pPr>
    </w:p>
    <w:p w:rsidR="008A2422" w:rsidRPr="007D0CFD" w:rsidRDefault="008A2422" w:rsidP="007D0CFD">
      <w:pPr>
        <w:pStyle w:val="Heading5"/>
        <w:rPr>
          <w:rStyle w:val="IntenseEmphasis"/>
          <w:b/>
          <w:bCs w:val="0"/>
          <w:iCs w:val="0"/>
          <w:color w:val="548DD4" w:themeColor="text2" w:themeTint="99"/>
          <w:sz w:val="20"/>
        </w:rPr>
      </w:pPr>
      <w:bookmarkStart w:id="245" w:name="_Toc377551049"/>
      <w:bookmarkStart w:id="246" w:name="_Toc377635238"/>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37</w:t>
      </w:r>
      <w:r w:rsidRPr="007D0CFD">
        <w:rPr>
          <w:rStyle w:val="IntenseEmphasis"/>
          <w:b/>
          <w:bCs w:val="0"/>
          <w:iCs w:val="0"/>
          <w:color w:val="548DD4" w:themeColor="text2" w:themeTint="99"/>
          <w:sz w:val="20"/>
        </w:rPr>
        <w:t>. Kretanje broja zaposlenih po djelatnostima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4"/>
      <w:bookmarkEnd w:id="245"/>
      <w:bookmarkEnd w:id="24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801"/>
        <w:gridCol w:w="801"/>
        <w:gridCol w:w="801"/>
        <w:gridCol w:w="1288"/>
        <w:gridCol w:w="1382"/>
        <w:gridCol w:w="1129"/>
        <w:gridCol w:w="1037"/>
        <w:gridCol w:w="1037"/>
      </w:tblGrid>
      <w:tr w:rsidR="008A2422" w:rsidRPr="004E6412" w:rsidTr="004F2B97">
        <w:trPr>
          <w:trHeight w:val="20"/>
        </w:trPr>
        <w:tc>
          <w:tcPr>
            <w:tcW w:w="543" w:type="pct"/>
            <w:vMerge w:val="restart"/>
            <w:tcBorders>
              <w:bottom w:val="single" w:sz="4" w:space="0" w:color="auto"/>
            </w:tcBorders>
            <w:shd w:val="pct15" w:color="auto" w:fill="auto"/>
            <w:noWrap/>
            <w:vAlign w:val="center"/>
          </w:tcPr>
          <w:p w:rsidR="008A2422" w:rsidRPr="004E6412" w:rsidRDefault="008A2422" w:rsidP="004F2B97">
            <w:pPr>
              <w:spacing w:line="240" w:lineRule="auto"/>
              <w:jc w:val="center"/>
              <w:rPr>
                <w:rFonts w:eastAsia="Times New Roman"/>
                <w:sz w:val="18"/>
                <w:szCs w:val="18"/>
                <w:lang w:eastAsia="hr-HR"/>
              </w:rPr>
            </w:pPr>
            <w:r w:rsidRPr="004E6412">
              <w:rPr>
                <w:rFonts w:eastAsia="Times New Roman"/>
                <w:b/>
                <w:bCs/>
                <w:sz w:val="18"/>
                <w:szCs w:val="18"/>
                <w:lang w:eastAsia="hr-HR"/>
              </w:rPr>
              <w:t>Šifra</w:t>
            </w:r>
          </w:p>
        </w:tc>
        <w:tc>
          <w:tcPr>
            <w:tcW w:w="1290"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Broj zaposlenih prema satima rada</w:t>
            </w:r>
          </w:p>
        </w:tc>
        <w:tc>
          <w:tcPr>
            <w:tcW w:w="697"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Apsolutna promjena broja zaposlenih 2012./2010.</w:t>
            </w:r>
          </w:p>
        </w:tc>
        <w:tc>
          <w:tcPr>
            <w:tcW w:w="748"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Relativna promjena broja zaposlenih 2012./2010. (%)</w:t>
            </w:r>
          </w:p>
        </w:tc>
        <w:tc>
          <w:tcPr>
            <w:tcW w:w="1722"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 xml:space="preserve">Udio zaposlenih u ukupnom broju zaposlenih </w:t>
            </w:r>
            <w:r w:rsidR="00954A88" w:rsidRPr="004E6412">
              <w:rPr>
                <w:rFonts w:eastAsia="Times New Roman"/>
                <w:b/>
                <w:bCs/>
                <w:sz w:val="18"/>
                <w:szCs w:val="18"/>
                <w:lang w:eastAsia="hr-HR"/>
              </w:rPr>
              <w:t>u industriji</w:t>
            </w:r>
            <w:r w:rsidRPr="004E6412">
              <w:rPr>
                <w:rFonts w:eastAsia="Times New Roman"/>
                <w:b/>
                <w:bCs/>
                <w:sz w:val="18"/>
                <w:szCs w:val="18"/>
                <w:lang w:eastAsia="hr-HR"/>
              </w:rPr>
              <w:t xml:space="preserve"> (%)</w:t>
            </w:r>
          </w:p>
        </w:tc>
      </w:tr>
      <w:tr w:rsidR="008A2422" w:rsidRPr="004E6412" w:rsidTr="004F2B97">
        <w:trPr>
          <w:trHeight w:val="20"/>
        </w:trPr>
        <w:tc>
          <w:tcPr>
            <w:tcW w:w="543" w:type="pct"/>
            <w:vMerge/>
            <w:shd w:val="pct15" w:color="auto" w:fill="auto"/>
            <w:noWrap/>
            <w:vAlign w:val="bottom"/>
          </w:tcPr>
          <w:p w:rsidR="008A2422" w:rsidRPr="004E6412" w:rsidRDefault="008A2422" w:rsidP="004F2B97">
            <w:pPr>
              <w:spacing w:line="240" w:lineRule="auto"/>
              <w:rPr>
                <w:rFonts w:eastAsia="Times New Roman"/>
                <w:b/>
                <w:bCs/>
                <w:sz w:val="18"/>
                <w:szCs w:val="18"/>
                <w:lang w:eastAsia="hr-HR"/>
              </w:rPr>
            </w:pP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2010.</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2011.</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2012.</w:t>
            </w:r>
          </w:p>
        </w:tc>
        <w:tc>
          <w:tcPr>
            <w:tcW w:w="697"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748"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611"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2010.</w:t>
            </w:r>
          </w:p>
        </w:tc>
        <w:tc>
          <w:tcPr>
            <w:tcW w:w="556"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2011.</w:t>
            </w:r>
          </w:p>
        </w:tc>
        <w:tc>
          <w:tcPr>
            <w:tcW w:w="555"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43.536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43.044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43.826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0,67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19,03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19,53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6.027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2,83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734</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-16,85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16.646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15.275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-1.932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8.257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7.882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8.362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3,48</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3,73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11.930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-13,40</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5.957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5.865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5.892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9.843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8.899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8.825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-10,34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4,27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7.455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7.546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7.180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3,34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7.449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6.588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-861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-11,56</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10.734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10.146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-5,48</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4,52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-660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-12,12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2,44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25.693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25.766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26.950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1.257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11,16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12,01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6.134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9.652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8.973</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10.699</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4,42</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4,77</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lastRenderedPageBreak/>
              <w:t>C29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3.064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2.772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2.967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-3,17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13.007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11.776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9.425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9.140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9.038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2.141</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8,74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0,95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6.280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5.282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-998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Ukupno C</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230.257</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226.183</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224.441</w:t>
            </w:r>
          </w:p>
        </w:tc>
        <w:tc>
          <w:tcPr>
            <w:tcW w:w="697"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-5.816</w:t>
            </w:r>
          </w:p>
        </w:tc>
        <w:tc>
          <w:tcPr>
            <w:tcW w:w="748"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-2,53</w:t>
            </w:r>
          </w:p>
        </w:tc>
        <w:tc>
          <w:tcPr>
            <w:tcW w:w="611"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6"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5"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r>
    </w:tbl>
    <w:p w:rsidR="008A2422" w:rsidRPr="004E6412" w:rsidRDefault="00954A88" w:rsidP="008A2422">
      <w:r w:rsidRPr="004E6412">
        <w:rPr>
          <w:sz w:val="20"/>
          <w:szCs w:val="20"/>
        </w:rPr>
        <w:t>Izvor: FINA;</w:t>
      </w:r>
      <w:r w:rsidR="008A2422" w:rsidRPr="004E6412">
        <w:rPr>
          <w:sz w:val="20"/>
          <w:szCs w:val="20"/>
        </w:rPr>
        <w:t xml:space="preserve"> obrada autora</w:t>
      </w:r>
    </w:p>
    <w:p w:rsidR="008A2422" w:rsidRPr="004E6412" w:rsidRDefault="008A2422" w:rsidP="008A2422">
      <w:pPr>
        <w:ind w:left="360"/>
      </w:pPr>
    </w:p>
    <w:p w:rsidR="008A2422" w:rsidRPr="004E6412" w:rsidRDefault="008A2422" w:rsidP="008A2422">
      <w:pPr>
        <w:ind w:left="360"/>
      </w:pPr>
    </w:p>
    <w:p w:rsidR="008A2422" w:rsidRPr="004E6412" w:rsidRDefault="008A2422" w:rsidP="008A2422">
      <w:pPr>
        <w:pStyle w:val="ListParagraph"/>
        <w:numPr>
          <w:ilvl w:val="0"/>
          <w:numId w:val="89"/>
        </w:numPr>
        <w:spacing w:after="0"/>
        <w:jc w:val="both"/>
        <w:rPr>
          <w:rFonts w:ascii="Times New Roman" w:hAnsi="Times New Roman"/>
        </w:rPr>
      </w:pPr>
      <w:r w:rsidRPr="004E6412">
        <w:rPr>
          <w:rFonts w:ascii="Times New Roman" w:hAnsi="Times New Roman"/>
        </w:rPr>
        <w:t>U 2010. poslovala su 11.653 poduzeća, da bi u 2011. taj broj porastao za 163, čineći tako ukupan broj od 11.817 aktivnih poduzeća. U 2012. došlo je do naglog smanjenja broja na razinu još nižu od one iz 2010. (ukupno 11.562). Gledano u ukupnom razdoblju 2010.</w:t>
      </w:r>
      <w:r w:rsidR="00954A88" w:rsidRPr="004E6412">
        <w:rPr>
          <w:rFonts w:ascii="Times New Roman" w:hAnsi="Times New Roman"/>
        </w:rPr>
        <w:t xml:space="preserve"> – </w:t>
      </w:r>
      <w:r w:rsidRPr="004E6412">
        <w:rPr>
          <w:rFonts w:ascii="Times New Roman" w:hAnsi="Times New Roman"/>
        </w:rPr>
        <w:t xml:space="preserve">2012., broj poduzeća je smanjen za 0,78%.  </w:t>
      </w:r>
    </w:p>
    <w:p w:rsidR="008A2422" w:rsidRPr="004E6412" w:rsidRDefault="008A2422" w:rsidP="008A2422"/>
    <w:p w:rsidR="008A2422" w:rsidRPr="004E6412" w:rsidRDefault="008A2422" w:rsidP="008A2422"/>
    <w:p w:rsidR="008A2422" w:rsidRPr="004E6412" w:rsidRDefault="008A2422" w:rsidP="008A2422">
      <w:pPr>
        <w:pStyle w:val="Heading4"/>
      </w:pPr>
      <w:r w:rsidRPr="004E6412">
        <w:t>Obrazovna struktura zaposlenih</w:t>
      </w:r>
    </w:p>
    <w:p w:rsidR="008A2422" w:rsidRPr="004E6412" w:rsidRDefault="008A2422" w:rsidP="008A2422">
      <w:pPr>
        <w:pStyle w:val="ListParagraph"/>
        <w:numPr>
          <w:ilvl w:val="0"/>
          <w:numId w:val="90"/>
        </w:numPr>
        <w:spacing w:after="0"/>
        <w:jc w:val="both"/>
        <w:rPr>
          <w:rFonts w:ascii="Times New Roman" w:hAnsi="Times New Roman"/>
        </w:rPr>
      </w:pPr>
      <w:r w:rsidRPr="004E6412">
        <w:rPr>
          <w:rFonts w:ascii="Times New Roman" w:hAnsi="Times New Roman"/>
        </w:rPr>
        <w:t xml:space="preserve">Prema stupnju obrazovanja, najviše zaposlenih u prerađivačkoj industriji u 2012. godini je srednje stručne spreme (SSS), čak 94.309 osoba, zatim slijede kvalificirani radnici (KV), njih 32.341, i potom niskokvalificirani radnici (NKV), 22.800. Visokoobrazovanih osoba (VSS) zaposleno je </w:t>
      </w:r>
      <w:smartTag w:uri="urn:schemas-microsoft-com:office:smarttags" w:element="metricconverter">
        <w:smartTagPr>
          <w:attr w:name="ProductID" w:val="17.981, a"/>
        </w:smartTagPr>
        <w:r w:rsidRPr="004E6412">
          <w:rPr>
            <w:rFonts w:ascii="Times New Roman" w:hAnsi="Times New Roman"/>
          </w:rPr>
          <w:t>17.981, a</w:t>
        </w:r>
      </w:smartTag>
      <w:r w:rsidRPr="004E6412">
        <w:rPr>
          <w:rFonts w:ascii="Times New Roman" w:hAnsi="Times New Roman"/>
        </w:rPr>
        <w:t xml:space="preserve"> magistara znanosti 841. Najmanje je zaposlenika s titulom doktora znanosti, njih 154.   </w:t>
      </w:r>
    </w:p>
    <w:p w:rsidR="008A2422" w:rsidRPr="004E6412" w:rsidRDefault="008A2422" w:rsidP="008A2422">
      <w:pPr>
        <w:rPr>
          <w:sz w:val="22"/>
        </w:rPr>
      </w:pPr>
    </w:p>
    <w:p w:rsidR="008A2422" w:rsidRPr="004E6412" w:rsidRDefault="008A2422" w:rsidP="008A2422"/>
    <w:p w:rsidR="008A2422" w:rsidRPr="004E6412" w:rsidRDefault="008A2422" w:rsidP="008A2422">
      <w:pPr>
        <w:rPr>
          <w:sz w:val="22"/>
        </w:rPr>
        <w:sectPr w:rsidR="008A2422" w:rsidRPr="004E6412" w:rsidSect="003C1346">
          <w:pgSz w:w="11906" w:h="16838"/>
          <w:pgMar w:top="1417" w:right="1417" w:bottom="1417" w:left="1417" w:header="709" w:footer="709" w:gutter="0"/>
          <w:cols w:space="708"/>
          <w:docGrid w:linePitch="360"/>
        </w:sectPr>
      </w:pPr>
    </w:p>
    <w:p w:rsidR="008A2422" w:rsidRPr="007D0CFD" w:rsidRDefault="008A2422" w:rsidP="007D0CFD">
      <w:pPr>
        <w:pStyle w:val="Heading5"/>
        <w:rPr>
          <w:rStyle w:val="IntenseEmphasis"/>
          <w:b/>
          <w:bCs w:val="0"/>
          <w:iCs w:val="0"/>
          <w:color w:val="548DD4" w:themeColor="text2" w:themeTint="99"/>
          <w:sz w:val="20"/>
        </w:rPr>
      </w:pPr>
      <w:bookmarkStart w:id="247" w:name="_Toc372088109"/>
      <w:bookmarkStart w:id="248" w:name="_Toc377551050"/>
      <w:bookmarkStart w:id="249" w:name="_Toc377635239"/>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38</w:t>
      </w:r>
      <w:r w:rsidRPr="007D0CFD">
        <w:rPr>
          <w:rStyle w:val="IntenseEmphasis"/>
          <w:b/>
          <w:bCs w:val="0"/>
          <w:iCs w:val="0"/>
          <w:color w:val="548DD4" w:themeColor="text2" w:themeTint="99"/>
          <w:sz w:val="20"/>
        </w:rPr>
        <w:t>. Obrazovna struktura zaposlenih po djelatnostima prerađivačke industrije 2012.</w:t>
      </w:r>
      <w:bookmarkEnd w:id="247"/>
      <w:bookmarkEnd w:id="248"/>
      <w:bookmarkEnd w:id="249"/>
      <w:r w:rsidRPr="007D0CFD">
        <w:rPr>
          <w:rStyle w:val="IntenseEmphasis"/>
          <w:b/>
          <w:bCs w:val="0"/>
          <w:iCs w:val="0"/>
          <w:color w:val="548DD4" w:themeColor="text2" w:themeTint="99"/>
          <w:sz w:val="20"/>
        </w:rPr>
        <w:t xml:space="preserve"> </w:t>
      </w:r>
    </w:p>
    <w:tbl>
      <w:tblPr>
        <w:tblW w:w="0" w:type="auto"/>
        <w:tblLayout w:type="fixed"/>
        <w:tblLook w:val="04A0" w:firstRow="1" w:lastRow="0" w:firstColumn="1" w:lastColumn="0" w:noHBand="0" w:noVBand="1"/>
      </w:tblPr>
      <w:tblGrid>
        <w:gridCol w:w="959"/>
        <w:gridCol w:w="662"/>
        <w:gridCol w:w="663"/>
        <w:gridCol w:w="663"/>
        <w:gridCol w:w="663"/>
        <w:gridCol w:w="663"/>
        <w:gridCol w:w="663"/>
        <w:gridCol w:w="663"/>
        <w:gridCol w:w="663"/>
        <w:gridCol w:w="663"/>
        <w:gridCol w:w="663"/>
        <w:gridCol w:w="663"/>
        <w:gridCol w:w="663"/>
        <w:gridCol w:w="663"/>
        <w:gridCol w:w="663"/>
        <w:gridCol w:w="663"/>
        <w:gridCol w:w="663"/>
        <w:gridCol w:w="663"/>
        <w:gridCol w:w="663"/>
        <w:gridCol w:w="663"/>
        <w:gridCol w:w="663"/>
      </w:tblGrid>
      <w:tr w:rsidR="008A2422" w:rsidRPr="004E6412" w:rsidTr="004F2B97">
        <w:trPr>
          <w:cantSplit/>
          <w:trHeight w:val="1134"/>
        </w:trPr>
        <w:tc>
          <w:tcPr>
            <w:tcW w:w="959" w:type="dxa"/>
            <w:tcBorders>
              <w:top w:val="single" w:sz="4" w:space="0" w:color="auto"/>
              <w:left w:val="single" w:sz="4" w:space="0" w:color="auto"/>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Šifra</w:t>
            </w:r>
          </w:p>
        </w:tc>
        <w:tc>
          <w:tcPr>
            <w:tcW w:w="662"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dr.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mr.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VŠS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10,43</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w:t>
            </w:r>
          </w:p>
        </w:tc>
      </w:tr>
      <w:tr w:rsidR="008A2422" w:rsidRPr="004E6412" w:rsidTr="004F2B97">
        <w:trPr>
          <w:trHeight w:val="20"/>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17.981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32.341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22.800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r>
    </w:tbl>
    <w:p w:rsidR="008A2422" w:rsidRPr="004E6412" w:rsidRDefault="00954A88" w:rsidP="008A2422">
      <w:pPr>
        <w:rPr>
          <w:sz w:val="20"/>
          <w:szCs w:val="20"/>
        </w:rPr>
      </w:pPr>
      <w:r w:rsidRPr="004E6412">
        <w:rPr>
          <w:sz w:val="20"/>
          <w:szCs w:val="20"/>
        </w:rPr>
        <w:t>Izvor: I</w:t>
      </w:r>
      <w:r w:rsidR="008A2422" w:rsidRPr="004E6412">
        <w:rPr>
          <w:sz w:val="20"/>
          <w:szCs w:val="20"/>
        </w:rPr>
        <w:t>zrada autora prema podacima DZS</w:t>
      </w:r>
      <w:r w:rsidRPr="004E6412">
        <w:rPr>
          <w:sz w:val="20"/>
          <w:szCs w:val="20"/>
        </w:rPr>
        <w:t>-a</w:t>
      </w:r>
      <w:r w:rsidR="008A2422" w:rsidRPr="004E6412">
        <w:rPr>
          <w:sz w:val="20"/>
          <w:szCs w:val="20"/>
        </w:rPr>
        <w:t xml:space="preserve">. </w:t>
      </w:r>
    </w:p>
    <w:p w:rsidR="008A2422" w:rsidRPr="004E6412" w:rsidRDefault="008A2422" w:rsidP="008A2422">
      <w:pPr>
        <w:rPr>
          <w:b/>
        </w:rPr>
      </w:pPr>
    </w:p>
    <w:p w:rsidR="008A2422" w:rsidRPr="004E6412" w:rsidRDefault="008A2422" w:rsidP="008A2422">
      <w:pPr>
        <w:rPr>
          <w:b/>
        </w:rPr>
        <w:sectPr w:rsidR="008A2422" w:rsidRPr="004E6412" w:rsidSect="00F81C4C">
          <w:pgSz w:w="16838" w:h="11906" w:orient="landscape"/>
          <w:pgMar w:top="1418" w:right="1418" w:bottom="1418" w:left="1418" w:header="709" w:footer="709" w:gutter="0"/>
          <w:cols w:space="708"/>
          <w:docGrid w:linePitch="360"/>
        </w:sectPr>
      </w:pPr>
    </w:p>
    <w:p w:rsidR="009E54FC" w:rsidRPr="004E6412" w:rsidRDefault="009E54FC" w:rsidP="009E54FC">
      <w:pPr>
        <w:pStyle w:val="Heading3"/>
      </w:pPr>
      <w:bookmarkStart w:id="250" w:name="_Toc378069025"/>
      <w:r w:rsidRPr="004E6412">
        <w:lastRenderedPageBreak/>
        <w:t xml:space="preserve">Analiza međunarodne razmjene prerađivačke industrije </w:t>
      </w:r>
      <w:r w:rsidR="00954A88" w:rsidRPr="004E6412">
        <w:t xml:space="preserve">u razdoblju </w:t>
      </w:r>
      <w:r w:rsidRPr="004E6412">
        <w:t>2010.</w:t>
      </w:r>
      <w:r w:rsidR="00954A88" w:rsidRPr="004E6412">
        <w:t xml:space="preserve"> – </w:t>
      </w:r>
      <w:r w:rsidRPr="004E6412">
        <w:t>2012</w:t>
      </w:r>
      <w:r w:rsidR="00954A88" w:rsidRPr="004E6412">
        <w:t>.</w:t>
      </w:r>
      <w:bookmarkEnd w:id="250"/>
      <w:r w:rsidR="00954A88" w:rsidRPr="004E6412">
        <w:t xml:space="preserve"> </w:t>
      </w:r>
    </w:p>
    <w:p w:rsidR="009E54FC" w:rsidRPr="004E6412" w:rsidRDefault="009E54FC" w:rsidP="009E54FC">
      <w:r w:rsidRPr="004E6412">
        <w:t xml:space="preserve"> </w:t>
      </w: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Analiza međunarodne razmjene temel</w:t>
      </w:r>
      <w:r w:rsidR="00954A88" w:rsidRPr="004E6412">
        <w:rPr>
          <w:rFonts w:ascii="Times New Roman" w:hAnsi="Times New Roman"/>
        </w:rPr>
        <w:t>ji se na podacima iz objedinjenih</w:t>
      </w:r>
      <w:r w:rsidRPr="004E6412">
        <w:rPr>
          <w:rFonts w:ascii="Times New Roman" w:hAnsi="Times New Roman"/>
        </w:rPr>
        <w:t xml:space="preserve"> godišnjih financijskih izvještaja poduzetnika.</w:t>
      </w:r>
    </w:p>
    <w:p w:rsidR="009E54FC" w:rsidRPr="004E6412" w:rsidRDefault="009E54FC" w:rsidP="009E54FC">
      <w:pPr>
        <w:ind w:firstLine="60"/>
        <w:rPr>
          <w:sz w:val="22"/>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Prerađivačka industrija u svim promatranim godinama ima vrijednost izvoza znatno veću od vrijednosti uvoza</w:t>
      </w:r>
      <w:r w:rsidR="00954A88" w:rsidRPr="004E6412">
        <w:rPr>
          <w:rFonts w:ascii="Times New Roman" w:hAnsi="Times New Roman"/>
        </w:rPr>
        <w:t>, a njihova razlika stalno</w:t>
      </w:r>
      <w:r w:rsidRPr="004E6412">
        <w:rPr>
          <w:rFonts w:ascii="Times New Roman" w:hAnsi="Times New Roman"/>
        </w:rPr>
        <w:t xml:space="preserve"> raste. Odnos izvoza i uvoza prerađivačke industrije po promatranim godinama iznosi 1,678, 1,756 i 1,812.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51" w:name="_Toc372088123"/>
      <w:bookmarkStart w:id="252" w:name="_Toc377551051"/>
      <w:bookmarkStart w:id="253" w:name="_Toc377635240"/>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39</w:t>
      </w:r>
      <w:r w:rsidRPr="007D0CFD">
        <w:rPr>
          <w:rStyle w:val="IntenseEmphasis"/>
          <w:b/>
          <w:bCs w:val="0"/>
          <w:iCs w:val="0"/>
          <w:color w:val="548DD4" w:themeColor="text2" w:themeTint="99"/>
          <w:sz w:val="20"/>
        </w:rPr>
        <w:t>. Odnos izvoza i uvoza pojedine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1"/>
      <w:r w:rsidR="00954A88" w:rsidRPr="007D0CFD">
        <w:rPr>
          <w:rStyle w:val="IntenseEmphasis"/>
          <w:b/>
          <w:bCs w:val="0"/>
          <w:iCs w:val="0"/>
          <w:color w:val="548DD4" w:themeColor="text2" w:themeTint="99"/>
          <w:sz w:val="20"/>
        </w:rPr>
        <w:t>.</w:t>
      </w:r>
      <w:bookmarkEnd w:id="252"/>
      <w:bookmarkEnd w:id="253"/>
      <w:r w:rsidR="00954A88" w:rsidRPr="007D0CFD">
        <w:rPr>
          <w:rStyle w:val="IntenseEmphasis"/>
          <w:b/>
          <w:bCs w:val="0"/>
          <w:iCs w:val="0"/>
          <w:color w:val="548DD4" w:themeColor="text2" w:themeTint="99"/>
          <w:sz w:val="20"/>
        </w:rPr>
        <w:t xml:space="preserve"> </w:t>
      </w:r>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Odnos izvoza i uvoza</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1,034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3,152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15,815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32,223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1,521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1,322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2,237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2,641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4,090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1,678</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1,756</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1,812</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 xml:space="preserve">Gotovo sve djelatnosti (19 od 24) prerađivačke industrije mogu se smatrati neto izvoznicama jer su u 2012. imale odnos izvoza i uvoza veći od 1. Djelatnosti s najvećim omjerom su C19 Proizvodnja koksa i rafiniranih naftnih proizvoda (32,22), </w:t>
      </w:r>
      <w:r w:rsidR="00954A88" w:rsidRPr="004E6412">
        <w:rPr>
          <w:rFonts w:ascii="Times New Roman" w:hAnsi="Times New Roman"/>
        </w:rPr>
        <w:t xml:space="preserve">s </w:t>
      </w:r>
      <w:r w:rsidRPr="004E6412">
        <w:rPr>
          <w:rFonts w:ascii="Times New Roman" w:hAnsi="Times New Roman"/>
        </w:rPr>
        <w:t>vel</w:t>
      </w:r>
      <w:r w:rsidR="00954A88" w:rsidRPr="004E6412">
        <w:rPr>
          <w:rFonts w:ascii="Times New Roman" w:hAnsi="Times New Roman"/>
        </w:rPr>
        <w:t>ikim povećanjem u odnosu na 2010.</w:t>
      </w:r>
      <w:r w:rsidRPr="004E6412">
        <w:rPr>
          <w:rFonts w:ascii="Times New Roman" w:hAnsi="Times New Roman"/>
        </w:rPr>
        <w:t xml:space="preserve">, zatim C16 Prerada drva i proizvoda od drva i pluta, osim namještaja; proizvodnja proizvoda od slame </w:t>
      </w:r>
      <w:r w:rsidR="00212A70" w:rsidRPr="004E6412">
        <w:rPr>
          <w:rFonts w:ascii="Times New Roman" w:hAnsi="Times New Roman"/>
        </w:rPr>
        <w:t xml:space="preserve">i pletarskih materijala (4,91). </w:t>
      </w:r>
      <w:r w:rsidRPr="004E6412">
        <w:rPr>
          <w:rFonts w:ascii="Times New Roman" w:hAnsi="Times New Roman"/>
        </w:rPr>
        <w:t>Djelatnosti koje su u 2012. imale uvoz veći od izvoza su C10 Proizvodnja prehrambenih proizvoda, C18 Tiskanje i umnožavanje snimljenih zapisa (0,78), C22 Proizvodnja proizvoda od gume i plastike (0,75), C26 Proizvodnja računala te elektro</w:t>
      </w:r>
      <w:r w:rsidR="00954A88" w:rsidRPr="004E6412">
        <w:rPr>
          <w:rFonts w:ascii="Times New Roman" w:hAnsi="Times New Roman"/>
        </w:rPr>
        <w:t>ničkih optičkih proizvoda i C32</w:t>
      </w:r>
      <w:r w:rsidRPr="004E6412">
        <w:rPr>
          <w:rFonts w:ascii="Times New Roman" w:hAnsi="Times New Roman"/>
        </w:rPr>
        <w:t xml:space="preserve"> Ostala prerađivačka industrija (0,99).</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U promatrano</w:t>
      </w:r>
      <w:r w:rsidR="00954A88" w:rsidRPr="004E6412">
        <w:rPr>
          <w:rFonts w:ascii="Times New Roman" w:hAnsi="Times New Roman"/>
        </w:rPr>
        <w:t>m razdoblju, dio djelatnosti smanjio je</w:t>
      </w:r>
      <w:r w:rsidRPr="004E6412">
        <w:rPr>
          <w:rFonts w:ascii="Times New Roman" w:hAnsi="Times New Roman"/>
        </w:rPr>
        <w:t xml:space="preserve"> svoj omjer izvoza i uvoza, njih 8 od ukupno 24, među kojima se ističu C12 Proizvodnja duhanskih proizvoda, C15 Proizvodnja </w:t>
      </w:r>
      <w:r w:rsidRPr="004E6412">
        <w:rPr>
          <w:rFonts w:ascii="Times New Roman" w:hAnsi="Times New Roman"/>
        </w:rPr>
        <w:lastRenderedPageBreak/>
        <w:t>kože i srodnih proizvoda i C17 Proizvodnja papira i proizvoda od papira. U razdoblju 2010.</w:t>
      </w:r>
      <w:r w:rsidR="00954A88" w:rsidRPr="004E6412">
        <w:rPr>
          <w:rFonts w:ascii="Times New Roman" w:hAnsi="Times New Roman"/>
        </w:rPr>
        <w:t xml:space="preserve"> </w:t>
      </w:r>
      <w:r w:rsidRPr="004E6412">
        <w:rPr>
          <w:rFonts w:ascii="Times New Roman" w:hAnsi="Times New Roman"/>
        </w:rPr>
        <w:t>-</w:t>
      </w:r>
      <w:r w:rsidR="00954A88" w:rsidRPr="004E6412">
        <w:rPr>
          <w:rFonts w:ascii="Times New Roman" w:hAnsi="Times New Roman"/>
        </w:rPr>
        <w:t xml:space="preserve">  </w:t>
      </w:r>
      <w:r w:rsidRPr="004E6412">
        <w:rPr>
          <w:rFonts w:ascii="Times New Roman" w:hAnsi="Times New Roman"/>
        </w:rPr>
        <w:t>2012</w:t>
      </w:r>
      <w:r w:rsidR="00954A88" w:rsidRPr="004E6412">
        <w:rPr>
          <w:rFonts w:ascii="Times New Roman" w:hAnsi="Times New Roman"/>
        </w:rPr>
        <w:t xml:space="preserve">. status neto izvoznika </w:t>
      </w:r>
      <w:r w:rsidRPr="004E6412">
        <w:rPr>
          <w:rFonts w:ascii="Times New Roman" w:hAnsi="Times New Roman"/>
        </w:rPr>
        <w:t xml:space="preserve">pretvorio </w:t>
      </w:r>
      <w:r w:rsidR="00954A88" w:rsidRPr="004E6412">
        <w:rPr>
          <w:rFonts w:ascii="Times New Roman" w:hAnsi="Times New Roman"/>
        </w:rPr>
        <w:t xml:space="preserve">se </w:t>
      </w:r>
      <w:r w:rsidRPr="004E6412">
        <w:rPr>
          <w:rFonts w:ascii="Times New Roman" w:hAnsi="Times New Roman"/>
        </w:rPr>
        <w:t xml:space="preserve">u status neto uvoznika samo kod djelatnosti C10 Proizvodnja prehrambenih proizvoda. </w:t>
      </w:r>
    </w:p>
    <w:p w:rsidR="009E54FC" w:rsidRPr="004E6412" w:rsidRDefault="009E54FC" w:rsidP="009E54FC">
      <w:pPr>
        <w:pStyle w:val="ListParagraph"/>
        <w:spacing w:after="0"/>
        <w:ind w:left="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Međutim, na temelju odnosa izvoza i u</w:t>
      </w:r>
      <w:r w:rsidR="00954A88" w:rsidRPr="004E6412">
        <w:rPr>
          <w:rFonts w:ascii="Times New Roman" w:hAnsi="Times New Roman"/>
        </w:rPr>
        <w:t>voza može se dobiti tek opći</w:t>
      </w:r>
      <w:r w:rsidRPr="004E6412">
        <w:rPr>
          <w:rFonts w:ascii="Times New Roman" w:hAnsi="Times New Roman"/>
        </w:rPr>
        <w:t xml:space="preserve"> uvid u međunarodnu r</w:t>
      </w:r>
      <w:r w:rsidR="00954A88" w:rsidRPr="004E6412">
        <w:rPr>
          <w:rFonts w:ascii="Times New Roman" w:hAnsi="Times New Roman"/>
        </w:rPr>
        <w:t>azmjenu prerađivačke industrije</w:t>
      </w:r>
      <w:r w:rsidRPr="004E6412">
        <w:rPr>
          <w:rFonts w:ascii="Times New Roman" w:hAnsi="Times New Roman"/>
        </w:rPr>
        <w:t xml:space="preserve"> pa je potrebno je sagledati apsolutne vrijednosti neto izvoza pojedine djelatnosti i njihov doprinos ukupnom neto izvozu prerađivačke industrije. </w:t>
      </w:r>
    </w:p>
    <w:p w:rsidR="009E54FC" w:rsidRPr="004E6412" w:rsidRDefault="009E54FC" w:rsidP="009E54FC">
      <w:pPr>
        <w:rPr>
          <w:sz w:val="22"/>
        </w:rPr>
      </w:pPr>
    </w:p>
    <w:p w:rsidR="009E54FC" w:rsidRPr="007D0CFD" w:rsidRDefault="009E54FC" w:rsidP="007D0CFD">
      <w:pPr>
        <w:pStyle w:val="Heading5"/>
        <w:rPr>
          <w:rStyle w:val="IntenseEmphasis"/>
          <w:b/>
          <w:bCs w:val="0"/>
          <w:iCs w:val="0"/>
          <w:color w:val="548DD4" w:themeColor="text2" w:themeTint="99"/>
          <w:sz w:val="20"/>
        </w:rPr>
      </w:pPr>
      <w:bookmarkStart w:id="254" w:name="_Toc372088124"/>
      <w:bookmarkStart w:id="255" w:name="_Toc377551052"/>
      <w:bookmarkStart w:id="256" w:name="_Toc37763524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40</w:t>
      </w:r>
      <w:r w:rsidRPr="007D0CFD">
        <w:rPr>
          <w:rStyle w:val="IntenseEmphasis"/>
          <w:b/>
          <w:bCs w:val="0"/>
          <w:iCs w:val="0"/>
          <w:color w:val="548DD4" w:themeColor="text2" w:themeTint="99"/>
          <w:sz w:val="20"/>
        </w:rPr>
        <w:t>. Trgovinska bilanca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4"/>
      <w:bookmarkEnd w:id="255"/>
      <w:bookmarkEnd w:id="25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2476"/>
        <w:gridCol w:w="2474"/>
        <w:gridCol w:w="2474"/>
      </w:tblGrid>
      <w:tr w:rsidR="009E54FC" w:rsidRPr="004E6412" w:rsidTr="009E54FC">
        <w:trPr>
          <w:trHeight w:val="20"/>
        </w:trPr>
        <w:tc>
          <w:tcPr>
            <w:tcW w:w="1003"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997"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Trgovinska bilanca djelatnosti (HRK)</w:t>
            </w:r>
          </w:p>
        </w:tc>
      </w:tr>
      <w:tr w:rsidR="009E54FC" w:rsidRPr="004E6412" w:rsidTr="009E54FC">
        <w:trPr>
          <w:trHeight w:val="20"/>
        </w:trPr>
        <w:tc>
          <w:tcPr>
            <w:tcW w:w="1003"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33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18.857.164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159.587.929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-9.220.416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35.775.610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-18.865.101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1.739.593</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296.884.148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108.771.105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135.864.826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91.889.461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72.808.564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37.520.579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939.799.573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886.334.014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1.578.993.546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1.094.434.736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730.783.469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619.810.512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1.304.410.002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1.533.157.168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1.756.738.034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393.267.255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321.541.955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164.437.414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-157.983.143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-110.851.143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-63.407.477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6.872.077.151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9.857.836.363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8.981.996.682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690.907.509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874.096.653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891.754.119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1.237.526.521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918.278.343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1.225.654.565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-149.700.231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-436.259.250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-394.444.875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655.357.691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878.843.413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855.315.024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310.589.993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810.723.801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570.620.322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1.654.579.307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1.881.013.307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2.764.791.902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-976.510.092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-514.417.465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-332.769.677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1.983.600.146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2.051.704.432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1.952.351.001</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1.161.660.263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1.590.141.126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1.878.395.060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319.752.248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-66.548.047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33.156.146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2.635.559.375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1.927.112.764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1.878.257.684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501.842.159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584.211.472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665.279.872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-26.779.842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-12.723.879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-1.964.557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304.889.530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432.562.272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432.011.860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3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21.192.686.534</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24.459.843.265</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25.622.881.739</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U razdoblju 2010.</w:t>
      </w:r>
      <w:r w:rsidR="00954A88" w:rsidRPr="004E6412">
        <w:rPr>
          <w:rFonts w:ascii="Times New Roman" w:hAnsi="Times New Roman"/>
        </w:rPr>
        <w:t xml:space="preserve"> – </w:t>
      </w:r>
      <w:r w:rsidRPr="004E6412">
        <w:rPr>
          <w:rFonts w:ascii="Times New Roman" w:hAnsi="Times New Roman"/>
        </w:rPr>
        <w:t>2011.</w:t>
      </w:r>
      <w:r w:rsidR="00954A88" w:rsidRPr="004E6412">
        <w:rPr>
          <w:rFonts w:ascii="Times New Roman" w:hAnsi="Times New Roman"/>
        </w:rPr>
        <w:t xml:space="preserve"> </w:t>
      </w:r>
      <w:r w:rsidRPr="004E6412">
        <w:rPr>
          <w:rFonts w:ascii="Times New Roman" w:hAnsi="Times New Roman"/>
        </w:rPr>
        <w:t xml:space="preserve"> dogodio se nagli skok izvoza prerađivačke industrije, a trend rasta (iako usporen) nastavio se i u 2012. Uslijed negativnih učinaka gospodarske krize mnoga poduzeća iz ove industrije okrenula su se izvozu zbog smanjivanja domaće potražnje. Nasuprot povećanju izvoza, poduzeća iz prerađivačke industrije nisu značajnije povećala uvoz. U tri promatrane godine uvoz se p</w:t>
      </w:r>
      <w:r w:rsidR="00954A88" w:rsidRPr="004E6412">
        <w:rPr>
          <w:rFonts w:ascii="Times New Roman" w:hAnsi="Times New Roman"/>
        </w:rPr>
        <w:t>ovećao za svega 400 milijuna kuna</w:t>
      </w:r>
      <w:r w:rsidRPr="004E6412">
        <w:rPr>
          <w:rFonts w:ascii="Times New Roman" w:hAnsi="Times New Roman"/>
        </w:rPr>
        <w:t xml:space="preserve">.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Primjetno je i kako je neto izvoz prera</w:t>
      </w:r>
      <w:r w:rsidR="001060D2" w:rsidRPr="004E6412">
        <w:rPr>
          <w:rFonts w:ascii="Times New Roman" w:hAnsi="Times New Roman"/>
        </w:rPr>
        <w:t>đivačke industrije u stalnom porastu, s 21 milijarde kuna</w:t>
      </w:r>
      <w:r w:rsidRPr="004E6412">
        <w:rPr>
          <w:rFonts w:ascii="Times New Roman" w:hAnsi="Times New Roman"/>
        </w:rPr>
        <w:t xml:space="preserve"> u 2010. godini na 25,6 milijardi u 2012. godini, što predstavlja porast od 20,9%. Neto izvozu prerađivačke industrije najviše pridonose djelatnosti C19 Proizvodnja koksa i rafiniranih naftnih proizvoda, C25 Proizvodnja gotovih metalnih proizvoda, osim strojeva i opreme, C27 Proizvodnja električne opreme, C28 Proizvodnja strojeva i uređaja, d. n. i C30 Proizvodnja ostalih prijevoznih sredstava.</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lastRenderedPageBreak/>
        <w:t>U ukupnom promatranom razdoblju djelatnosti C24 Proizvodnja metala, C14 Proizvodnja odjeće, C25 Proizvodnja gotovih metalnih proizvoda, osim strojeva i opreme i C28 Proizvodn</w:t>
      </w:r>
      <w:r w:rsidR="001060D2" w:rsidRPr="004E6412">
        <w:rPr>
          <w:rFonts w:ascii="Times New Roman" w:hAnsi="Times New Roman"/>
        </w:rPr>
        <w:t xml:space="preserve">ja strojeva i uređaja, d. n. </w:t>
      </w:r>
      <w:r w:rsidRPr="004E6412">
        <w:rPr>
          <w:rFonts w:ascii="Times New Roman" w:hAnsi="Times New Roman"/>
        </w:rPr>
        <w:t xml:space="preserve">imale </w:t>
      </w:r>
      <w:r w:rsidR="001060D2" w:rsidRPr="004E6412">
        <w:rPr>
          <w:rFonts w:ascii="Times New Roman" w:hAnsi="Times New Roman"/>
        </w:rPr>
        <w:t xml:space="preserve">su </w:t>
      </w:r>
      <w:r w:rsidRPr="004E6412">
        <w:rPr>
          <w:rFonts w:ascii="Times New Roman" w:hAnsi="Times New Roman"/>
        </w:rPr>
        <w:t>najveći porast vrijednosti neto izvoza, dok su djelatnosti C11 Proizvodnja pića i C29 Proizvodnja motornih vozila, prikolica i poluprikolica imale najveće smanjenje neto izvoza (s tim da su to djelatnosti koje relativno malo pridonose neto izvozu ukupne industrije).</w:t>
      </w:r>
    </w:p>
    <w:p w:rsidR="009E54FC" w:rsidRPr="004E6412" w:rsidRDefault="009E54FC" w:rsidP="009E54FC">
      <w:pPr>
        <w:pStyle w:val="ListParagraph"/>
        <w:spacing w:after="0"/>
        <w:ind w:left="0"/>
        <w:jc w:val="both"/>
        <w:rPr>
          <w:rFonts w:ascii="Times New Roman" w:hAnsi="Times New Roman"/>
        </w:rPr>
      </w:pPr>
    </w:p>
    <w:p w:rsidR="009E54FC" w:rsidRPr="007D0CFD" w:rsidRDefault="009E54FC" w:rsidP="007D0CFD">
      <w:pPr>
        <w:pStyle w:val="Heading5"/>
        <w:rPr>
          <w:rStyle w:val="IntenseEmphasis"/>
          <w:b/>
          <w:bCs w:val="0"/>
          <w:iCs w:val="0"/>
          <w:color w:val="548DD4" w:themeColor="text2" w:themeTint="99"/>
          <w:sz w:val="20"/>
        </w:rPr>
      </w:pPr>
      <w:bookmarkStart w:id="257" w:name="_Toc372088125"/>
      <w:bookmarkStart w:id="258" w:name="_Toc377551053"/>
      <w:bookmarkStart w:id="259" w:name="_Toc37763524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41</w:t>
      </w:r>
      <w:r w:rsidRPr="007D0CFD">
        <w:rPr>
          <w:rStyle w:val="IntenseEmphasis"/>
          <w:b/>
          <w:bCs w:val="0"/>
          <w:iCs w:val="0"/>
          <w:color w:val="548DD4" w:themeColor="text2" w:themeTint="99"/>
          <w:sz w:val="20"/>
        </w:rPr>
        <w:t>. Udio izvoza djelatnosti u ukupnim prihodima te djelatnosti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7"/>
      <w:bookmarkEnd w:id="258"/>
      <w:bookmarkEnd w:id="25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ukupnim prihodima djelatnosti (%)</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15,51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12,46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53,91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61,13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79,43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47,63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40,89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36,80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52,03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29,55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62,82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49,84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31,79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58,54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55,74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53,14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52,47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54,35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39,77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24,75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34,89</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34,70</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34,54</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Default="009E54FC" w:rsidP="00B15A78">
      <w:pPr>
        <w:pStyle w:val="ListParagraph"/>
        <w:numPr>
          <w:ilvl w:val="0"/>
          <w:numId w:val="104"/>
        </w:numPr>
        <w:jc w:val="both"/>
        <w:rPr>
          <w:rFonts w:ascii="Times New Roman" w:hAnsi="Times New Roman"/>
        </w:rPr>
      </w:pPr>
      <w:r w:rsidRPr="004E6412">
        <w:rPr>
          <w:rFonts w:ascii="Times New Roman" w:hAnsi="Times New Roman"/>
        </w:rPr>
        <w:t>Također su analizirani udjeli izvoza pojedine djelatnosti u ukupnim prihodima, pri čemu je namjera bila pokazati koliko prihoda djelatnosti ostvaruju izvozom. Može se vidjeti da ukupna prerađivačka industrija smanjuje udio izvoza u ukupnim prihodima s 34,89% u 2010.</w:t>
      </w:r>
      <w:r w:rsidR="001060D2" w:rsidRPr="004E6412">
        <w:rPr>
          <w:rFonts w:ascii="Times New Roman" w:hAnsi="Times New Roman"/>
        </w:rPr>
        <w:t xml:space="preserve"> na 34,54%, što predstavlja neznatno</w:t>
      </w:r>
      <w:r w:rsidRPr="004E6412">
        <w:rPr>
          <w:rFonts w:ascii="Times New Roman" w:hAnsi="Times New Roman"/>
        </w:rPr>
        <w:t xml:space="preserve"> smanjenje od tek 0,35 postotnih poena. Budući da ukupni prihodi prerađivačke industrije rastu, može se </w:t>
      </w:r>
      <w:r w:rsidR="001060D2" w:rsidRPr="004E6412">
        <w:rPr>
          <w:rFonts w:ascii="Times New Roman" w:hAnsi="Times New Roman"/>
        </w:rPr>
        <w:t>zaključiti da se djelatnosti te</w:t>
      </w:r>
      <w:r w:rsidRPr="004E6412">
        <w:rPr>
          <w:rFonts w:ascii="Times New Roman" w:hAnsi="Times New Roman"/>
        </w:rPr>
        <w:t xml:space="preserve"> industrije počinju više okretati domaćem tržištu. Djelatnosti najviše usmjerene na domaće tržište su C18 Tiskanje i umnožavanje snimljenih zapisa (91,72%)</w:t>
      </w:r>
      <w:r w:rsidR="00212A70" w:rsidRPr="004E6412">
        <w:rPr>
          <w:rFonts w:ascii="Times New Roman" w:hAnsi="Times New Roman"/>
        </w:rPr>
        <w:t>, C11 Proizvodnja pića (87,54%) i</w:t>
      </w:r>
      <w:r w:rsidRPr="004E6412">
        <w:rPr>
          <w:rFonts w:ascii="Times New Roman" w:hAnsi="Times New Roman"/>
        </w:rPr>
        <w:t xml:space="preserve"> C10 Proizvodnja </w:t>
      </w:r>
      <w:r w:rsidR="00212A70" w:rsidRPr="004E6412">
        <w:rPr>
          <w:rFonts w:ascii="Times New Roman" w:hAnsi="Times New Roman"/>
        </w:rPr>
        <w:t xml:space="preserve">prehrambenih proizvoda (84,49%). </w:t>
      </w:r>
    </w:p>
    <w:p w:rsidR="00692CD9" w:rsidRPr="004E6412" w:rsidRDefault="00692CD9" w:rsidP="00692CD9">
      <w:pPr>
        <w:pStyle w:val="ListParagraph"/>
        <w:jc w:val="both"/>
        <w:rPr>
          <w:rFonts w:ascii="Times New Roman" w:hAnsi="Times New Roman"/>
        </w:rPr>
      </w:pPr>
    </w:p>
    <w:p w:rsidR="009E54FC" w:rsidRPr="004E6412" w:rsidRDefault="009E54FC" w:rsidP="00B15A78">
      <w:pPr>
        <w:pStyle w:val="ListParagraph"/>
        <w:numPr>
          <w:ilvl w:val="0"/>
          <w:numId w:val="104"/>
        </w:numPr>
        <w:jc w:val="both"/>
        <w:rPr>
          <w:rFonts w:ascii="Times New Roman" w:hAnsi="Times New Roman"/>
        </w:rPr>
      </w:pPr>
      <w:r w:rsidRPr="004E6412">
        <w:rPr>
          <w:rFonts w:ascii="Times New Roman" w:hAnsi="Times New Roman"/>
        </w:rPr>
        <w:t xml:space="preserve">S druge strane, djelatnosti C15 Proizvodnja kože i srodnih proizvoda (81%), C14 Proizvodnja odjeće (61,13%), C21 Proizvodnja osnovnih farmaceutskih proizvoda i farmaceutskih pripravaka (61,65%), C27 Proizvodnja električne opreme (53,14%), C28 Proizvodnja strojeva i uređaja, d. n. (52,47%), i C29 Proizvodnja motornih vozila, prikolica i poluprikolica (54,35%) ostvaruju više od polovice svojih prihoda na inozemnim tržištima.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lastRenderedPageBreak/>
        <w:t xml:space="preserve">U ukupnom izvozu prerađivačke industrije u 2012. </w:t>
      </w:r>
      <w:r w:rsidR="001060D2" w:rsidRPr="004E6412">
        <w:rPr>
          <w:rFonts w:ascii="Times New Roman" w:hAnsi="Times New Roman"/>
        </w:rPr>
        <w:t xml:space="preserve">godini </w:t>
      </w:r>
      <w:r w:rsidRPr="004E6412">
        <w:rPr>
          <w:rFonts w:ascii="Times New Roman" w:hAnsi="Times New Roman"/>
        </w:rPr>
        <w:t xml:space="preserve">najveći udio ima djelatnost C19 Proizvodnja koksa i rafiniranih naftnih proizvoda s visokih 16,21%, dok je na drugom mjestu C10 Proizvodnja </w:t>
      </w:r>
      <w:r w:rsidR="001060D2" w:rsidRPr="004E6412">
        <w:rPr>
          <w:rFonts w:ascii="Times New Roman" w:hAnsi="Times New Roman"/>
        </w:rPr>
        <w:t>prehrambenih proizvoda, sa skoro</w:t>
      </w:r>
      <w:r w:rsidRPr="004E6412">
        <w:rPr>
          <w:rFonts w:ascii="Times New Roman" w:hAnsi="Times New Roman"/>
        </w:rPr>
        <w:t xml:space="preserve"> dvostruko manjim udjelom od 8,88%. S najmanjim udjelom sudjeluju djelatnosti C18 Tiskanje i umnožavanje snimljenih zapisa (0,41%) i C32 Ostala prerađivačka industrija (0,43%).</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0" w:name="_Toc372088126"/>
      <w:bookmarkStart w:id="261" w:name="_Toc377551054"/>
      <w:bookmarkStart w:id="262" w:name="_Toc37763524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42</w:t>
      </w:r>
      <w:r w:rsidRPr="007D0CFD">
        <w:rPr>
          <w:rStyle w:val="IntenseEmphasis"/>
          <w:b/>
          <w:bCs w:val="0"/>
          <w:iCs w:val="0"/>
          <w:color w:val="548DD4" w:themeColor="text2" w:themeTint="99"/>
          <w:sz w:val="20"/>
        </w:rPr>
        <w:t>. Udio izvoza pojedine djelatnosti u ukupnom izvozu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0"/>
      <w:bookmarkEnd w:id="261"/>
      <w:bookmarkEnd w:id="26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375"/>
        <w:gridCol w:w="2375"/>
        <w:gridCol w:w="2374"/>
      </w:tblGrid>
      <w:tr w:rsidR="009E54FC" w:rsidRPr="004E6412" w:rsidTr="009E54FC">
        <w:trPr>
          <w:trHeight w:val="20"/>
        </w:trPr>
        <w:tc>
          <w:tcPr>
            <w:tcW w:w="1164"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836"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ukupnom izvozu promatrane industrije (%)</w:t>
            </w:r>
          </w:p>
        </w:tc>
      </w:tr>
      <w:tr w:rsidR="009E54FC" w:rsidRPr="004E6412" w:rsidTr="009E54FC">
        <w:trPr>
          <w:trHeight w:val="20"/>
        </w:trPr>
        <w:tc>
          <w:tcPr>
            <w:tcW w:w="1164"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18,52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16,21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5,61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t>RCA indeks predstavlja pokazatelj koji</w:t>
      </w:r>
      <w:r w:rsidR="0072448B" w:rsidRPr="004E6412">
        <w:rPr>
          <w:rFonts w:ascii="Times New Roman" w:hAnsi="Times New Roman"/>
        </w:rPr>
        <w:t>m se mjeri relativna usporedna</w:t>
      </w:r>
      <w:r w:rsidRPr="004E6412">
        <w:rPr>
          <w:rFonts w:ascii="Times New Roman" w:hAnsi="Times New Roman"/>
        </w:rPr>
        <w:t xml:space="preserve"> prednost zemlje, pojedine industrije i djelatnosti. Ukoliko je RCA indeks veći od 1, smatra se da zemlja ostvaruje relativnu komparativnu prednost u promatranoj industriji/djelatnosti. U promatranom trogodišnjem razdoblju vrijednost RCA indeksa za ukupnu prerađivač</w:t>
      </w:r>
      <w:r w:rsidR="001060D2" w:rsidRPr="004E6412">
        <w:rPr>
          <w:rFonts w:ascii="Times New Roman" w:hAnsi="Times New Roman"/>
        </w:rPr>
        <w:t>ku industriju raste s</w:t>
      </w:r>
      <w:r w:rsidRPr="004E6412">
        <w:rPr>
          <w:rFonts w:ascii="Times New Roman" w:hAnsi="Times New Roman"/>
        </w:rPr>
        <w:t xml:space="preserve"> 0,869 u 2010. na 1,077 u 2012. Također se može primijetiti da 9 od 24 djelatnosti ostvaruje komparativne prednosti u 2012., među kojima se ističe djelatnost C19 Proizvodnja koksa i rafiniranih naftnih proizvoda s najvišim RCA indeksom od 6,293.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3" w:name="_Toc372088127"/>
      <w:bookmarkStart w:id="264" w:name="_Toc377551055"/>
      <w:bookmarkStart w:id="265" w:name="_Toc37763524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43</w:t>
      </w:r>
      <w:r w:rsidRPr="007D0CFD">
        <w:rPr>
          <w:rStyle w:val="IntenseEmphasis"/>
          <w:b/>
          <w:bCs w:val="0"/>
          <w:iCs w:val="0"/>
          <w:color w:val="548DD4" w:themeColor="text2" w:themeTint="99"/>
          <w:sz w:val="20"/>
        </w:rPr>
        <w:t>. Relativne komparativne prednosti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3"/>
      <w:bookmarkEnd w:id="264"/>
      <w:bookmarkEnd w:id="26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149"/>
        <w:gridCol w:w="2151"/>
        <w:gridCol w:w="2152"/>
      </w:tblGrid>
      <w:tr w:rsidR="009E54FC" w:rsidRPr="004E6412" w:rsidTr="009E54FC">
        <w:trPr>
          <w:trHeight w:val="20"/>
        </w:trPr>
        <w:tc>
          <w:tcPr>
            <w:tcW w:w="1526"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74"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Relativne komparativne prednosti</w:t>
            </w:r>
          </w:p>
        </w:tc>
      </w:tr>
      <w:tr w:rsidR="009E54FC" w:rsidRPr="004E6412" w:rsidTr="009E54FC">
        <w:trPr>
          <w:trHeight w:val="20"/>
        </w:trPr>
        <w:tc>
          <w:tcPr>
            <w:tcW w:w="1526"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7"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0,094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2,080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lastRenderedPageBreak/>
              <w:t>C16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2,446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2,831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2,885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0,348</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4,848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-0,584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-0,527</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0,506</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-0,233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0,926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1,149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1,416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1,157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-0,399</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-0,015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1,770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2,553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7"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0,869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0,989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1,077</w:t>
            </w:r>
          </w:p>
        </w:tc>
      </w:tr>
    </w:tbl>
    <w:p w:rsidR="009E54FC" w:rsidRPr="004E6412" w:rsidRDefault="009E54FC" w:rsidP="009E54FC">
      <w:pPr>
        <w:rPr>
          <w:sz w:val="20"/>
          <w:szCs w:val="20"/>
        </w:rPr>
      </w:pPr>
      <w:r w:rsidRPr="004E6412">
        <w:rPr>
          <w:sz w:val="20"/>
          <w:szCs w:val="20"/>
        </w:rPr>
        <w:t>Izvor</w:t>
      </w:r>
      <w:r w:rsidR="001060D2" w:rsidRPr="004E6412">
        <w:rPr>
          <w:sz w:val="20"/>
          <w:szCs w:val="20"/>
        </w:rPr>
        <w:t>: I</w:t>
      </w:r>
      <w:r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Kao pokazatelj specijalizacije djelatnosti koristi se Grubell-Lloydov indeks (GL indeks), koji ukazuje na to odvija li se u djelatnosti međunarodna razmjena većinom s povezanim djelatnostima (intraindustrijska) ili s nesrodnim djelatnostima (interindustrijska). GL indeks poprima vrijednosti u intervalu od 0 do 1, pri čemu vrijednost 0 označava savršenu interindustrijsku razmjenu, a vrijednost 1 savršenu intraindustrijsku razmjenu.</w:t>
      </w:r>
    </w:p>
    <w:p w:rsidR="009E54FC" w:rsidRPr="004E6412" w:rsidRDefault="009E54FC" w:rsidP="009E54FC">
      <w:pPr>
        <w:rPr>
          <w:sz w:val="22"/>
        </w:rPr>
      </w:pPr>
    </w:p>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 xml:space="preserve">GL indeks prerađivačke industrije bilježi smanjenje vrijednosti s 0,747 u 2010. na 0,711 u 2012. Međutim, u svim </w:t>
      </w:r>
      <w:r w:rsidR="001060D2" w:rsidRPr="004E6412">
        <w:rPr>
          <w:rFonts w:ascii="Times New Roman" w:hAnsi="Times New Roman"/>
        </w:rPr>
        <w:t xml:space="preserve">je godinama </w:t>
      </w:r>
      <w:r w:rsidRPr="004E6412">
        <w:rPr>
          <w:rFonts w:ascii="Times New Roman" w:hAnsi="Times New Roman"/>
        </w:rPr>
        <w:t>bliži gornjoj graničnoj vrijednosti (1) što upućuje da se u prosjeku većina međunarodne razmjene ove industrije odvija s povezanim djelatnostima. Djelatnosti koje iskazuju savršenu (0,999) intraindustrijsku međunarodnu razmjenu su C10 Proizvodnja prehrambenih proizvoda i C11 Proizvodnja pića, dok s druge strane gotovo savršenu (0,06) interindustrijsku međunarodnu razmjenu ima djelatnost C19 Proizvodnja koksa i rafiniranih naftnih proizvoda.</w:t>
      </w:r>
    </w:p>
    <w:p w:rsidR="008A2422" w:rsidRPr="004E6412" w:rsidRDefault="008A2422" w:rsidP="009E54FC"/>
    <w:p w:rsidR="009E54FC" w:rsidRPr="007D0CFD" w:rsidRDefault="009E54FC" w:rsidP="007D0CFD">
      <w:pPr>
        <w:pStyle w:val="Heading5"/>
        <w:rPr>
          <w:rStyle w:val="IntenseEmphasis"/>
          <w:b/>
          <w:bCs w:val="0"/>
          <w:iCs w:val="0"/>
          <w:color w:val="548DD4" w:themeColor="text2" w:themeTint="99"/>
          <w:sz w:val="20"/>
        </w:rPr>
      </w:pPr>
      <w:bookmarkStart w:id="266" w:name="_Toc372088128"/>
      <w:bookmarkStart w:id="267" w:name="_Toc377551056"/>
      <w:bookmarkStart w:id="268" w:name="_Toc37763524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44</w:t>
      </w:r>
      <w:r w:rsidRPr="007D0CFD">
        <w:rPr>
          <w:rStyle w:val="IntenseEmphasis"/>
          <w:b/>
          <w:bCs w:val="0"/>
          <w:iCs w:val="0"/>
          <w:color w:val="548DD4" w:themeColor="text2" w:themeTint="99"/>
          <w:sz w:val="20"/>
        </w:rPr>
        <w:t>. Grubell-Lloydov indeks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6"/>
      <w:bookmarkEnd w:id="267"/>
      <w:bookmarkEnd w:id="26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2143"/>
        <w:gridCol w:w="2143"/>
        <w:gridCol w:w="2143"/>
      </w:tblGrid>
      <w:tr w:rsidR="009E54FC" w:rsidRPr="004E6412" w:rsidTr="009E54FC">
        <w:trPr>
          <w:trHeight w:val="20"/>
        </w:trPr>
        <w:tc>
          <w:tcPr>
            <w:tcW w:w="1538"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62"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Grubell-Lloydov indeks</w:t>
            </w:r>
          </w:p>
        </w:tc>
      </w:tr>
      <w:tr w:rsidR="009E54FC" w:rsidRPr="004E6412" w:rsidTr="009E54FC">
        <w:trPr>
          <w:trHeight w:val="20"/>
        </w:trPr>
        <w:tc>
          <w:tcPr>
            <w:tcW w:w="1538"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0,950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0,482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0,378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0,060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0,861</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lastRenderedPageBreak/>
              <w:t>C25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0,936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0,549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0,477</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0,747</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0,726</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0,711</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B066F4" w:rsidRPr="004E6412" w:rsidRDefault="00B066F4" w:rsidP="00C42D9A">
      <w:pPr>
        <w:ind w:right="57"/>
        <w:rPr>
          <w:rFonts w:eastAsia="Times New Roman"/>
          <w:spacing w:val="-2"/>
          <w:lang w:eastAsia="hr-HR"/>
        </w:rPr>
      </w:pPr>
    </w:p>
    <w:p w:rsidR="001B41B0" w:rsidRPr="004E6412" w:rsidRDefault="001B41B0" w:rsidP="006A7CFE">
      <w:pPr>
        <w:pStyle w:val="ListParagraph"/>
        <w:spacing w:after="0"/>
        <w:ind w:left="0"/>
      </w:pPr>
    </w:p>
    <w:p w:rsidR="001B41B0" w:rsidRPr="004E6412" w:rsidRDefault="001B41B0" w:rsidP="001B41B0"/>
    <w:p w:rsidR="003E3F44" w:rsidRPr="004E6412" w:rsidRDefault="001B41B0" w:rsidP="00F65AE4">
      <w:pPr>
        <w:pStyle w:val="Heading3"/>
      </w:pPr>
      <w:bookmarkStart w:id="269" w:name="_Toc372087962"/>
      <w:bookmarkStart w:id="270" w:name="_Toc378069026"/>
      <w:r w:rsidRPr="004E6412">
        <w:t>Struktura prerađivačke industrije prema tehnološkoj intenzivnosti 2012.</w:t>
      </w:r>
      <w:bookmarkEnd w:id="269"/>
      <w:bookmarkEnd w:id="270"/>
    </w:p>
    <w:p w:rsidR="001B41B0" w:rsidRPr="004E6412" w:rsidRDefault="001B41B0" w:rsidP="003E3F44">
      <w:r w:rsidRPr="004E6412">
        <w:tab/>
      </w:r>
    </w:p>
    <w:p w:rsidR="001B41B0" w:rsidRPr="004E6412" w:rsidRDefault="001B41B0" w:rsidP="007B5618">
      <w:pPr>
        <w:pStyle w:val="ListParagraph"/>
        <w:numPr>
          <w:ilvl w:val="0"/>
          <w:numId w:val="91"/>
        </w:numPr>
        <w:spacing w:after="0"/>
        <w:jc w:val="both"/>
        <w:rPr>
          <w:rFonts w:ascii="Times New Roman" w:hAnsi="Times New Roman"/>
        </w:rPr>
      </w:pPr>
      <w:r w:rsidRPr="004E6412">
        <w:rPr>
          <w:rFonts w:ascii="Times New Roman" w:hAnsi="Times New Roman"/>
        </w:rPr>
        <w:t>Tehnološka intenzivnost pojedine djelatnosti određuje se prema klasifikaciji tehnološke intenzivnosti OE</w:t>
      </w:r>
      <w:r w:rsidR="00043CE9" w:rsidRPr="004E6412">
        <w:rPr>
          <w:rFonts w:ascii="Times New Roman" w:hAnsi="Times New Roman"/>
        </w:rPr>
        <w:t xml:space="preserve">CD-a. OECD </w:t>
      </w:r>
      <w:r w:rsidR="001060D2" w:rsidRPr="004E6412">
        <w:rPr>
          <w:rFonts w:ascii="Times New Roman" w:hAnsi="Times New Roman"/>
        </w:rPr>
        <w:t xml:space="preserve">svrstava djelatnosti </w:t>
      </w:r>
      <w:r w:rsidRPr="004E6412">
        <w:rPr>
          <w:rFonts w:ascii="Times New Roman" w:hAnsi="Times New Roman"/>
        </w:rPr>
        <w:t>u 4 skupine: (1)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High Technology</w:t>
      </w:r>
      <w:r w:rsidRPr="004E6412">
        <w:rPr>
          <w:rFonts w:ascii="Times New Roman" w:hAnsi="Times New Roman"/>
        </w:rPr>
        <w:t>), (2) srednje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High Technology</w:t>
      </w:r>
      <w:r w:rsidRPr="004E6412">
        <w:rPr>
          <w:rFonts w:ascii="Times New Roman" w:hAnsi="Times New Roman"/>
        </w:rPr>
        <w:t>), (3) srednje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Low Technology</w:t>
      </w:r>
      <w:r w:rsidRPr="004E6412">
        <w:rPr>
          <w:rFonts w:ascii="Times New Roman" w:hAnsi="Times New Roman"/>
        </w:rPr>
        <w:t>) i (4)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Low Technology</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Prema OECD-u, 2 od 24 pripadajuće djelatnosti prerađivačke industrije klasificiraju se kao visoko tehnološki intenzivne, 5 od 24 kao srednje visoko tehnološki intenzivne, 6 od 24 kao srednje nisko tehnološki intenzivne, dok je najveći broj djelatnosti, njih 11 od 24, klasificiran kao nisko tehnološki intenzivne.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visoko tehnološki intenzivne djelatnosti klasificirane su djelatnosti</w:t>
      </w:r>
      <w:r w:rsidR="001060D2" w:rsidRPr="004E6412">
        <w:rPr>
          <w:rFonts w:ascii="Times New Roman" w:hAnsi="Times New Roman"/>
        </w:rPr>
        <w:t>:</w:t>
      </w:r>
    </w:p>
    <w:p w:rsidR="001B41B0" w:rsidRPr="004E6412" w:rsidRDefault="001B41B0" w:rsidP="00FA5F29">
      <w:pPr>
        <w:numPr>
          <w:ilvl w:val="1"/>
          <w:numId w:val="91"/>
        </w:numPr>
        <w:rPr>
          <w:sz w:val="22"/>
        </w:rPr>
      </w:pPr>
      <w:r w:rsidRPr="004E6412">
        <w:rPr>
          <w:sz w:val="22"/>
        </w:rPr>
        <w:t>C21 Proizvodnja osnovnih farmaceutskih proizvoda i farmaceutskih pripravaka, i</w:t>
      </w:r>
    </w:p>
    <w:p w:rsidR="001B41B0" w:rsidRPr="004E6412" w:rsidRDefault="001B41B0" w:rsidP="00FA5F29">
      <w:pPr>
        <w:numPr>
          <w:ilvl w:val="1"/>
          <w:numId w:val="91"/>
        </w:numPr>
        <w:rPr>
          <w:sz w:val="22"/>
        </w:rPr>
      </w:pPr>
      <w:r w:rsidRPr="004E6412">
        <w:rPr>
          <w:sz w:val="22"/>
        </w:rPr>
        <w:t>C26 Proizvodnja računala te elektroničkih i optičkih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Dvije navedene djelatnosti ostvarile su u 2012. </w:t>
      </w:r>
      <w:r w:rsidR="004B111A" w:rsidRPr="004E6412">
        <w:rPr>
          <w:rFonts w:ascii="Times New Roman" w:hAnsi="Times New Roman"/>
        </w:rPr>
        <w:t xml:space="preserve">godini </w:t>
      </w:r>
      <w:r w:rsidRPr="004E6412">
        <w:rPr>
          <w:rFonts w:ascii="Times New Roman" w:hAnsi="Times New Roman"/>
        </w:rPr>
        <w:t>7,83% ukupne bruto dodane vrijednosti prerađivačke industrije i zapošljavale 10.006 osoba, odnosno 4,46%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visoko tehnološki intenzivne djelatnosti su:</w:t>
      </w:r>
    </w:p>
    <w:p w:rsidR="001B41B0" w:rsidRPr="004E6412" w:rsidRDefault="001B41B0" w:rsidP="00FA5F29">
      <w:pPr>
        <w:numPr>
          <w:ilvl w:val="1"/>
          <w:numId w:val="91"/>
        </w:numPr>
        <w:rPr>
          <w:sz w:val="22"/>
        </w:rPr>
      </w:pPr>
      <w:r w:rsidRPr="004E6412">
        <w:rPr>
          <w:sz w:val="22"/>
        </w:rPr>
        <w:t>C20 Proizvodnja kemikalija i kemijskih proizvoda,</w:t>
      </w:r>
    </w:p>
    <w:p w:rsidR="001B41B0" w:rsidRPr="004E6412" w:rsidRDefault="001B41B0" w:rsidP="00FA5F29">
      <w:pPr>
        <w:numPr>
          <w:ilvl w:val="1"/>
          <w:numId w:val="91"/>
        </w:numPr>
        <w:rPr>
          <w:sz w:val="22"/>
        </w:rPr>
      </w:pPr>
      <w:r w:rsidRPr="004E6412">
        <w:rPr>
          <w:sz w:val="22"/>
        </w:rPr>
        <w:t>C27 Proizvodnja električne opreme,</w:t>
      </w:r>
    </w:p>
    <w:p w:rsidR="001B41B0" w:rsidRPr="004E6412" w:rsidRDefault="001B41B0" w:rsidP="00FA5F29">
      <w:pPr>
        <w:numPr>
          <w:ilvl w:val="1"/>
          <w:numId w:val="91"/>
        </w:numPr>
        <w:rPr>
          <w:sz w:val="22"/>
        </w:rPr>
      </w:pPr>
      <w:r w:rsidRPr="004E6412">
        <w:rPr>
          <w:sz w:val="22"/>
        </w:rPr>
        <w:t>C28 Proizvodnja strojeva i uređaja, d. n.,</w:t>
      </w:r>
    </w:p>
    <w:p w:rsidR="001B41B0" w:rsidRPr="004E6412" w:rsidRDefault="001B41B0" w:rsidP="00FA5F29">
      <w:pPr>
        <w:numPr>
          <w:ilvl w:val="1"/>
          <w:numId w:val="91"/>
        </w:numPr>
        <w:rPr>
          <w:sz w:val="22"/>
        </w:rPr>
      </w:pPr>
      <w:r w:rsidRPr="004E6412">
        <w:rPr>
          <w:sz w:val="22"/>
        </w:rPr>
        <w:t>C29 Proizvodnja motornih vozila, prikolica i poluprikolica, i</w:t>
      </w:r>
    </w:p>
    <w:p w:rsidR="001B41B0" w:rsidRPr="004E6412" w:rsidRDefault="001B41B0" w:rsidP="00FA5F29">
      <w:pPr>
        <w:numPr>
          <w:ilvl w:val="1"/>
          <w:numId w:val="91"/>
        </w:numPr>
        <w:rPr>
          <w:sz w:val="22"/>
        </w:rPr>
      </w:pPr>
      <w:r w:rsidRPr="004E6412">
        <w:rPr>
          <w:sz w:val="22"/>
        </w:rPr>
        <w:t>C30 Proizvodnja ostalih prijevoznih sredstava.</w:t>
      </w:r>
    </w:p>
    <w:p w:rsidR="001B41B0" w:rsidRPr="004E6412" w:rsidRDefault="001B41B0" w:rsidP="001B41B0">
      <w:pPr>
        <w:pStyle w:val="ListParagraph"/>
        <w:spacing w:after="0"/>
        <w:jc w:val="both"/>
        <w:rPr>
          <w:rFonts w:ascii="Times New Roman" w:hAnsi="Times New Roman"/>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Prethodno navedene djelatnosti u 2012. ostvarile su 24,14% ukupne bruto dodane vrijednosti prerađivačke industrije i zapošljavale ukupno 41.595 osoba odnosno 18,53%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Najveću bruto dodanu vrijednost u ovoj skupini djelatnosti ostvarila je djelatnost C30 Proizvodnja ostalih prijevoznih sredstava, a ujedno zapošljava i apsolutno i relativno gledano najveći broj zaposlenih. Isto tako, djelatnost C30 Proizvodnja ostalih prijevoznih sredstava </w:t>
      </w:r>
      <w:r w:rsidRPr="004E6412">
        <w:rPr>
          <w:rFonts w:ascii="Times New Roman" w:hAnsi="Times New Roman"/>
        </w:rPr>
        <w:lastRenderedPageBreak/>
        <w:t>iskazuje najveću produktivnost, s obzirom da je omjer ostvarene bruto dodane vrijednosti i broja zaposlenih najveći.</w:t>
      </w:r>
      <w:r w:rsidRPr="004E6412">
        <w:rPr>
          <w:rStyle w:val="FootnoteReference"/>
          <w:rFonts w:ascii="Times New Roman" w:hAnsi="Times New Roman"/>
        </w:rPr>
        <w:footnoteReference w:id="5"/>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nisko tehnološki intenzivne djelatnosti su:</w:t>
      </w:r>
    </w:p>
    <w:p w:rsidR="001B41B0" w:rsidRPr="004E6412" w:rsidRDefault="001B41B0" w:rsidP="00FA5F29">
      <w:pPr>
        <w:numPr>
          <w:ilvl w:val="1"/>
          <w:numId w:val="91"/>
        </w:numPr>
        <w:rPr>
          <w:sz w:val="22"/>
        </w:rPr>
      </w:pPr>
      <w:r w:rsidRPr="004E6412">
        <w:rPr>
          <w:sz w:val="22"/>
        </w:rPr>
        <w:t>C19 Proizvodnja koksa i rafiniranih naftnih proizvoda,</w:t>
      </w:r>
    </w:p>
    <w:p w:rsidR="001B41B0" w:rsidRPr="004E6412" w:rsidRDefault="001B41B0" w:rsidP="00FA5F29">
      <w:pPr>
        <w:numPr>
          <w:ilvl w:val="1"/>
          <w:numId w:val="91"/>
        </w:numPr>
        <w:rPr>
          <w:sz w:val="22"/>
        </w:rPr>
      </w:pPr>
      <w:r w:rsidRPr="004E6412">
        <w:rPr>
          <w:sz w:val="22"/>
        </w:rPr>
        <w:t>C22 Proizvodnja proizvoda od gume i plastike,</w:t>
      </w:r>
    </w:p>
    <w:p w:rsidR="001B41B0" w:rsidRPr="004E6412" w:rsidRDefault="001B41B0" w:rsidP="00FA5F29">
      <w:pPr>
        <w:numPr>
          <w:ilvl w:val="1"/>
          <w:numId w:val="91"/>
        </w:numPr>
        <w:rPr>
          <w:sz w:val="22"/>
        </w:rPr>
      </w:pPr>
      <w:r w:rsidRPr="004E6412">
        <w:rPr>
          <w:sz w:val="22"/>
        </w:rPr>
        <w:t>C23 Proizvodnja ostalih nemetalnih mineralnih proizvoda,</w:t>
      </w:r>
    </w:p>
    <w:p w:rsidR="001B41B0" w:rsidRPr="004E6412" w:rsidRDefault="001B41B0" w:rsidP="00FA5F29">
      <w:pPr>
        <w:numPr>
          <w:ilvl w:val="1"/>
          <w:numId w:val="91"/>
        </w:numPr>
        <w:rPr>
          <w:sz w:val="22"/>
        </w:rPr>
      </w:pPr>
      <w:r w:rsidRPr="004E6412">
        <w:rPr>
          <w:sz w:val="22"/>
        </w:rPr>
        <w:t>C24 Proizvodnja metala,</w:t>
      </w:r>
    </w:p>
    <w:p w:rsidR="001B41B0" w:rsidRPr="004E6412" w:rsidRDefault="001B41B0" w:rsidP="00FA5F29">
      <w:pPr>
        <w:numPr>
          <w:ilvl w:val="1"/>
          <w:numId w:val="91"/>
        </w:numPr>
        <w:rPr>
          <w:sz w:val="22"/>
        </w:rPr>
      </w:pPr>
      <w:r w:rsidRPr="004E6412">
        <w:rPr>
          <w:sz w:val="22"/>
        </w:rPr>
        <w:t>C25 Proizvodnja gotovih metalnih proizvoda, osim strojeva i opreme, i</w:t>
      </w:r>
    </w:p>
    <w:p w:rsidR="001B41B0" w:rsidRPr="004E6412" w:rsidRDefault="001B41B0" w:rsidP="00FA5F29">
      <w:pPr>
        <w:numPr>
          <w:ilvl w:val="1"/>
          <w:numId w:val="91"/>
        </w:numPr>
        <w:rPr>
          <w:sz w:val="22"/>
        </w:rPr>
      </w:pPr>
      <w:r w:rsidRPr="004E6412">
        <w:rPr>
          <w:sz w:val="22"/>
        </w:rPr>
        <w:t>C33 Popravak i instaliranje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Navedene djelatnosti </w:t>
      </w:r>
      <w:r w:rsidR="004B111A" w:rsidRPr="004E6412">
        <w:rPr>
          <w:rFonts w:ascii="Times New Roman" w:hAnsi="Times New Roman"/>
        </w:rPr>
        <w:t>su u 2012. ostvarile</w:t>
      </w:r>
      <w:r w:rsidRPr="004E6412">
        <w:rPr>
          <w:rFonts w:ascii="Times New Roman" w:hAnsi="Times New Roman"/>
        </w:rPr>
        <w:t xml:space="preserve"> 36,08% ukupne bruto dodane vrijednosti prerađivačke industrije i zapošljavale ukupno 62.758 osoba, odnosno 27,88%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Djelatnost C19 Proizvodnja koksa i rafiniranih naftnih proizvoda ostvaruje najveći omjer bruto dodane vrijednosti i broja zaposlenih, iskazujući time najveću proizvodnost u ovoj skupini djelatnosti. S druge strane, relativno nisku bruto dodanu vrijednost u odnosu na broj zaposlenih ostvaruje djelatnost C25 Proizvodnja gotovih metalnih proizvoda, osim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nisko tehnološki intenzivne djelatno</w:t>
      </w:r>
      <w:r w:rsidR="004B111A" w:rsidRPr="004E6412">
        <w:rPr>
          <w:rFonts w:ascii="Times New Roman" w:hAnsi="Times New Roman"/>
        </w:rPr>
        <w:t>sti klasificirane su</w:t>
      </w:r>
      <w:r w:rsidRPr="004E6412">
        <w:rPr>
          <w:rFonts w:ascii="Times New Roman" w:hAnsi="Times New Roman"/>
        </w:rPr>
        <w:t>:</w:t>
      </w:r>
    </w:p>
    <w:p w:rsidR="001B41B0" w:rsidRPr="004E6412" w:rsidRDefault="001B41B0" w:rsidP="00FA5F29">
      <w:pPr>
        <w:numPr>
          <w:ilvl w:val="1"/>
          <w:numId w:val="91"/>
        </w:numPr>
        <w:rPr>
          <w:sz w:val="22"/>
        </w:rPr>
      </w:pPr>
      <w:r w:rsidRPr="004E6412">
        <w:rPr>
          <w:sz w:val="22"/>
        </w:rPr>
        <w:t>C10 Proizvodnja prehrambenih proizvoda,</w:t>
      </w:r>
    </w:p>
    <w:p w:rsidR="001B41B0" w:rsidRPr="004E6412" w:rsidRDefault="001B41B0" w:rsidP="00FA5F29">
      <w:pPr>
        <w:numPr>
          <w:ilvl w:val="1"/>
          <w:numId w:val="91"/>
        </w:numPr>
        <w:rPr>
          <w:sz w:val="22"/>
        </w:rPr>
      </w:pPr>
      <w:r w:rsidRPr="004E6412">
        <w:rPr>
          <w:sz w:val="22"/>
        </w:rPr>
        <w:t>C11 Proizvodnja pića,</w:t>
      </w:r>
    </w:p>
    <w:p w:rsidR="001B41B0" w:rsidRPr="004E6412" w:rsidRDefault="001B41B0" w:rsidP="00FA5F29">
      <w:pPr>
        <w:numPr>
          <w:ilvl w:val="1"/>
          <w:numId w:val="91"/>
        </w:numPr>
        <w:rPr>
          <w:sz w:val="22"/>
        </w:rPr>
      </w:pPr>
      <w:r w:rsidRPr="004E6412">
        <w:rPr>
          <w:sz w:val="22"/>
        </w:rPr>
        <w:t>C12 Proizvodnja duhanskih proizvoda,</w:t>
      </w:r>
    </w:p>
    <w:p w:rsidR="001B41B0" w:rsidRPr="004E6412" w:rsidRDefault="001B41B0" w:rsidP="00FA5F29">
      <w:pPr>
        <w:numPr>
          <w:ilvl w:val="1"/>
          <w:numId w:val="91"/>
        </w:numPr>
        <w:rPr>
          <w:sz w:val="22"/>
        </w:rPr>
      </w:pPr>
      <w:r w:rsidRPr="004E6412">
        <w:rPr>
          <w:sz w:val="22"/>
        </w:rPr>
        <w:t>C13 Proizvodnja tekstila,</w:t>
      </w:r>
    </w:p>
    <w:p w:rsidR="001B41B0" w:rsidRPr="004E6412" w:rsidRDefault="001B41B0" w:rsidP="00FA5F29">
      <w:pPr>
        <w:numPr>
          <w:ilvl w:val="1"/>
          <w:numId w:val="91"/>
        </w:numPr>
        <w:rPr>
          <w:sz w:val="22"/>
        </w:rPr>
      </w:pPr>
      <w:r w:rsidRPr="004E6412">
        <w:rPr>
          <w:sz w:val="22"/>
        </w:rPr>
        <w:t>C14 Proizvodnja odjeće,</w:t>
      </w:r>
    </w:p>
    <w:p w:rsidR="001B41B0" w:rsidRPr="004E6412" w:rsidRDefault="001B41B0" w:rsidP="00FA5F29">
      <w:pPr>
        <w:numPr>
          <w:ilvl w:val="1"/>
          <w:numId w:val="91"/>
        </w:numPr>
        <w:rPr>
          <w:sz w:val="22"/>
        </w:rPr>
      </w:pPr>
      <w:r w:rsidRPr="004E6412">
        <w:rPr>
          <w:sz w:val="22"/>
        </w:rPr>
        <w:t>C15 Proizvodnja kože i srodnih proizvoda,</w:t>
      </w:r>
    </w:p>
    <w:p w:rsidR="001B41B0" w:rsidRPr="004E6412" w:rsidRDefault="001B41B0" w:rsidP="00FA5F29">
      <w:pPr>
        <w:numPr>
          <w:ilvl w:val="1"/>
          <w:numId w:val="91"/>
        </w:numPr>
        <w:rPr>
          <w:sz w:val="22"/>
        </w:rPr>
      </w:pPr>
      <w:r w:rsidRPr="004E6412">
        <w:rPr>
          <w:sz w:val="22"/>
        </w:rPr>
        <w:t>C16 Prerada drva i proizvoda od drva i pluta, osim namještaja; proizvodnja proizvoda od slame i pletarskih materijala,</w:t>
      </w:r>
    </w:p>
    <w:p w:rsidR="001B41B0" w:rsidRPr="004E6412" w:rsidRDefault="001B41B0" w:rsidP="00FA5F29">
      <w:pPr>
        <w:numPr>
          <w:ilvl w:val="1"/>
          <w:numId w:val="91"/>
        </w:numPr>
        <w:rPr>
          <w:sz w:val="22"/>
        </w:rPr>
      </w:pPr>
      <w:r w:rsidRPr="004E6412">
        <w:rPr>
          <w:sz w:val="22"/>
        </w:rPr>
        <w:t>C17 Proizvodnja papira i proizvoda od papira,</w:t>
      </w:r>
    </w:p>
    <w:p w:rsidR="001B41B0" w:rsidRPr="004E6412" w:rsidRDefault="001B41B0" w:rsidP="00FA5F29">
      <w:pPr>
        <w:numPr>
          <w:ilvl w:val="1"/>
          <w:numId w:val="91"/>
        </w:numPr>
        <w:rPr>
          <w:sz w:val="22"/>
        </w:rPr>
      </w:pPr>
      <w:r w:rsidRPr="004E6412">
        <w:rPr>
          <w:sz w:val="22"/>
        </w:rPr>
        <w:t>C18 Tiskanje i umnožavanje snimljenih zapisa,</w:t>
      </w:r>
    </w:p>
    <w:p w:rsidR="001B41B0" w:rsidRPr="004E6412" w:rsidRDefault="001B41B0" w:rsidP="00FA5F29">
      <w:pPr>
        <w:numPr>
          <w:ilvl w:val="1"/>
          <w:numId w:val="91"/>
        </w:numPr>
        <w:rPr>
          <w:sz w:val="22"/>
        </w:rPr>
      </w:pPr>
      <w:r w:rsidRPr="004E6412">
        <w:rPr>
          <w:sz w:val="22"/>
        </w:rPr>
        <w:t>C31 Proizvodnja namještaja,</w:t>
      </w:r>
    </w:p>
    <w:p w:rsidR="001B41B0" w:rsidRPr="004E6412" w:rsidRDefault="001B41B0" w:rsidP="00FA5F29">
      <w:pPr>
        <w:numPr>
          <w:ilvl w:val="1"/>
          <w:numId w:val="91"/>
        </w:numPr>
        <w:rPr>
          <w:sz w:val="22"/>
        </w:rPr>
      </w:pPr>
      <w:r w:rsidRPr="004E6412">
        <w:rPr>
          <w:sz w:val="22"/>
        </w:rPr>
        <w:t>C32 Ostala prerađivačka industrija.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Navedene nisko tehnološki intenzivne djelatnosti su u 2012. ostvarile 31,95% ukupne bruto</w:t>
      </w:r>
      <w:r w:rsidRPr="004E6412">
        <w:rPr>
          <w:rFonts w:ascii="Times New Roman" w:hAnsi="Times New Roman"/>
          <w:i/>
        </w:rPr>
        <w:t xml:space="preserve"> </w:t>
      </w:r>
      <w:r w:rsidRPr="004E6412">
        <w:rPr>
          <w:rFonts w:ascii="Times New Roman" w:hAnsi="Times New Roman"/>
        </w:rPr>
        <w:t>dodane vrijednosti prerađivačke industr</w:t>
      </w:r>
      <w:r w:rsidR="004B111A" w:rsidRPr="004E6412">
        <w:rPr>
          <w:rFonts w:ascii="Times New Roman" w:hAnsi="Times New Roman"/>
        </w:rPr>
        <w:t>ije i zapošljavale 110.262 osobe</w:t>
      </w:r>
      <w:r w:rsidRPr="004E6412">
        <w:rPr>
          <w:rFonts w:ascii="Times New Roman" w:hAnsi="Times New Roman"/>
        </w:rPr>
        <w:t>, odnosno 49,13%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Najveću bruto dodanu vrijednost u ovoj skupini djelatnosti u 2012. ostvarila je djelatnost C10 Proizvodnja prehrambenih proizvoda u kojoj je ujedno bio najveći broj zaposlenih. S druge strane, ovdje je bitno naglasiti kako je omjer udjela bruto dodane vrijednosti i broja zaposlenih u ovoj djelatnosti na niskoj</w:t>
      </w:r>
      <w:r w:rsidR="004B111A" w:rsidRPr="004E6412">
        <w:rPr>
          <w:rFonts w:ascii="Times New Roman" w:hAnsi="Times New Roman"/>
        </w:rPr>
        <w:t xml:space="preserve"> razini, dok se kao produktivne</w:t>
      </w:r>
      <w:r w:rsidRPr="004E6412">
        <w:rPr>
          <w:rFonts w:ascii="Times New Roman" w:hAnsi="Times New Roman"/>
        </w:rPr>
        <w:t xml:space="preserve"> prema tom kriteriju u ovoj skupini djelatnosti ističu C11 Proizvodnja pića i C12 Proizvodnja duhanskih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lastRenderedPageBreak/>
        <w:t>Na razini cijele prerađivačke industrije, najveći udio bruto dodane vrijednosti u ukupnoj bruto dodanoj vrijednosti prerađivačke industrije u 2012. ostvarila je skupina djelatnosti klasificirana kao srednje nisko tehnološki intenzivna. S druge strane, najveći je udio zaposlenih u nisko tehnološki intenzivnim djelatnostima, a ova je skupina djelatnosti i najmanje produktivna.</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271" w:name="_Toc372088110"/>
      <w:bookmarkStart w:id="272" w:name="_Toc377551057"/>
      <w:bookmarkStart w:id="273" w:name="_Toc377635246"/>
      <w:r w:rsidRPr="007D0CFD">
        <w:rPr>
          <w:rStyle w:val="IntenseEmphasis"/>
          <w:b/>
          <w:bCs w:val="0"/>
          <w:iCs w:val="0"/>
          <w:color w:val="548DD4" w:themeColor="text2" w:themeTint="99"/>
          <w:sz w:val="20"/>
        </w:rPr>
        <w:lastRenderedPageBreak/>
        <w:t xml:space="preserve">Tablica </w:t>
      </w:r>
      <w:r w:rsidR="00035C7B" w:rsidRPr="007D0CFD">
        <w:rPr>
          <w:rStyle w:val="IntenseEmphasis"/>
          <w:b/>
          <w:bCs w:val="0"/>
          <w:iCs w:val="0"/>
          <w:color w:val="548DD4" w:themeColor="text2" w:themeTint="99"/>
          <w:sz w:val="20"/>
        </w:rPr>
        <w:t>45</w:t>
      </w:r>
      <w:r w:rsidRPr="007D0CFD">
        <w:rPr>
          <w:rStyle w:val="IntenseEmphasis"/>
          <w:b/>
          <w:bCs w:val="0"/>
          <w:iCs w:val="0"/>
          <w:color w:val="548DD4" w:themeColor="text2" w:themeTint="99"/>
          <w:sz w:val="20"/>
        </w:rPr>
        <w:t>. Struktura prerađivačke industrije prema tehnološkoj intenzivnosti 2012.</w:t>
      </w:r>
      <w:bookmarkEnd w:id="271"/>
      <w:bookmarkEnd w:id="272"/>
      <w:bookmarkEnd w:id="273"/>
      <w:r w:rsidRPr="007D0CFD">
        <w:rPr>
          <w:rStyle w:val="IntenseEmphasis"/>
          <w:b/>
          <w:bCs w:val="0"/>
          <w:iCs w:val="0"/>
          <w:color w:val="548DD4" w:themeColor="text2" w:themeTint="99"/>
          <w:sz w:val="20"/>
        </w:rPr>
        <w:t xml:space="preserve"> </w:t>
      </w:r>
    </w:p>
    <w:tbl>
      <w:tblPr>
        <w:tblW w:w="5000" w:type="pct"/>
        <w:tblCellMar>
          <w:top w:w="28" w:type="dxa"/>
          <w:bottom w:w="28" w:type="dxa"/>
        </w:tblCellMar>
        <w:tblLook w:val="04A0" w:firstRow="1" w:lastRow="0" w:firstColumn="1" w:lastColumn="0" w:noHBand="0" w:noVBand="1"/>
      </w:tblPr>
      <w:tblGrid>
        <w:gridCol w:w="7565"/>
        <w:gridCol w:w="1696"/>
        <w:gridCol w:w="1604"/>
        <w:gridCol w:w="1412"/>
        <w:gridCol w:w="1941"/>
      </w:tblGrid>
      <w:tr w:rsidR="00B33FE9" w:rsidRPr="004E6412" w:rsidTr="00035C7B">
        <w:trPr>
          <w:trHeight w:val="870"/>
        </w:trPr>
        <w:tc>
          <w:tcPr>
            <w:tcW w:w="2663" w:type="pct"/>
            <w:tcBorders>
              <w:top w:val="single" w:sz="8" w:space="0" w:color="auto"/>
              <w:left w:val="single" w:sz="8" w:space="0" w:color="auto"/>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Struktura prerađivačke industrije prema tehnološkoj intenzivnosti (2012.)</w:t>
            </w:r>
          </w:p>
        </w:tc>
        <w:tc>
          <w:tcPr>
            <w:tcW w:w="586"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BDV (HRK)</w:t>
            </w:r>
          </w:p>
        </w:tc>
        <w:tc>
          <w:tcPr>
            <w:tcW w:w="567"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Udio BDV skupina djelatnosti u uku</w:t>
            </w:r>
            <w:r w:rsidR="00F4729F" w:rsidRPr="004E6412">
              <w:rPr>
                <w:rFonts w:eastAsia="Times New Roman"/>
                <w:b/>
                <w:bCs/>
                <w:color w:val="000000"/>
                <w:sz w:val="16"/>
                <w:szCs w:val="16"/>
                <w:lang w:eastAsia="hr-HR"/>
              </w:rPr>
              <w:t>pnom</w:t>
            </w:r>
            <w:r w:rsidRPr="004E6412">
              <w:rPr>
                <w:rFonts w:eastAsia="Times New Roman"/>
                <w:b/>
                <w:bCs/>
                <w:color w:val="000000"/>
                <w:sz w:val="16"/>
                <w:szCs w:val="16"/>
                <w:lang w:eastAsia="hr-HR"/>
              </w:rPr>
              <w:t xml:space="preserve"> BDV</w:t>
            </w:r>
            <w:r w:rsidR="00F4729F" w:rsidRPr="004E6412">
              <w:rPr>
                <w:rFonts w:eastAsia="Times New Roman"/>
                <w:b/>
                <w:bCs/>
                <w:color w:val="000000"/>
                <w:sz w:val="16"/>
                <w:szCs w:val="16"/>
                <w:lang w:eastAsia="hr-HR"/>
              </w:rPr>
              <w:t>-u</w:t>
            </w:r>
            <w:r w:rsidRPr="004E6412">
              <w:rPr>
                <w:rFonts w:eastAsia="Times New Roman"/>
                <w:b/>
                <w:bCs/>
                <w:color w:val="000000"/>
                <w:sz w:val="16"/>
                <w:szCs w:val="16"/>
                <w:lang w:eastAsia="hr-HR"/>
              </w:rPr>
              <w:t xml:space="preserve"> prerađivačke industrije</w:t>
            </w:r>
          </w:p>
        </w:tc>
        <w:tc>
          <w:tcPr>
            <w:tcW w:w="499"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Broj zaposlenih</w:t>
            </w:r>
          </w:p>
        </w:tc>
        <w:tc>
          <w:tcPr>
            <w:tcW w:w="684"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xml:space="preserve">Udio u ukupnom broju zaposlenih </w:t>
            </w:r>
            <w:r w:rsidR="00F4729F" w:rsidRPr="004E6412">
              <w:rPr>
                <w:rFonts w:eastAsia="Times New Roman"/>
                <w:b/>
                <w:bCs/>
                <w:color w:val="000000"/>
                <w:sz w:val="16"/>
                <w:szCs w:val="16"/>
                <w:lang w:eastAsia="hr-HR"/>
              </w:rPr>
              <w:t>u prerađivačkoj industriji</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High Technology- visoka tehnološka intenzivnost</w:t>
            </w:r>
          </w:p>
        </w:tc>
        <w:tc>
          <w:tcPr>
            <w:tcW w:w="1153" w:type="pct"/>
            <w:gridSpan w:val="2"/>
            <w:tcBorders>
              <w:top w:val="single" w:sz="8" w:space="0" w:color="auto"/>
              <w:left w:val="nil"/>
              <w:bottom w:val="single" w:sz="8" w:space="0" w:color="auto"/>
              <w:right w:val="single" w:sz="8" w:space="0" w:color="000000"/>
            </w:tcBorders>
            <w:shd w:val="clear" w:color="auto" w:fill="auto"/>
            <w:vAlign w:val="bottom"/>
          </w:tcPr>
          <w:p w:rsidR="00B33FE9" w:rsidRPr="004E6412" w:rsidRDefault="00B33FE9" w:rsidP="00B33FE9">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C21 Proizvodnja osnovnih farmaceutskih proizvoda i farmaceutskih pripravaka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2,121,205,262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4,126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C26 Proizvodnja računala te elektroničkih i optičkih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1,459,894,897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3,581,100,159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7.83%</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10,006</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4.46%</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High Technology - srednje visoka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C20 Proizvodnja kemikalija i kemijskih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1,073,102,013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7,18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C27 Proizvodnja električne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2,116,070,805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4.62%</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8,973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C28 Proizvodnja strojeva i uređaja, d. n.</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1,743,157,518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10,699</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4.77%</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C29 Proizvodnja motornih vozila, prikolica i poluprikolica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487,195,203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2,967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C30 Proizvodnja ostalih prijevoznih sredstava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5,625,971,913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11,776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11,045,497,452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24.14%</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41,595</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18.53%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Low Technology - srednje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C19 Proizvodnja koksa i rafiniranih naftnih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5,746,155,514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12.56%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8,825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C22 Proizvodnja proizvoda od gume i plastike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908,903,357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C23 Proizvodnja ostalih nemetalnih mineralnih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2,049,148,317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10,146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C24 Proizvodnja metala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1,193,334,794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4,787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C25 Proizvodnja gotovih metalnih proizvoda, osim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4,110,882,605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8.98%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26,95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C33 Popravak i instaliranje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2,500,455,329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5,282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16,508,879,916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36.08%</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62,578</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27.88%</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Low Technology -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C10 Proizvodnja prehrambenih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6,426,279,587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14.04%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43,826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C11 Proizvodnja pića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2,100,932,553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6,027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C12 Proizvodnja duhanskih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709,797,800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734</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C13 Proizvodnja tekstila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321,503,095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3,475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C14 Proizvodnja odjeće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1,141,238,931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15,275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lastRenderedPageBreak/>
              <w:t>C15 Proizvodnja kože i srodnih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530,253,848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8,362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C16 Prerada drva i proizvoda od drva i pluta, osim namještaja; proizvodnja proizvoda od slame i pletarskih materijala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1,064,899,693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11,93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C17 Proizvodnja papira i proizvoda od papira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339,870,598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3,562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C18 Tiskanje i umnožavanje snimljenih zapisa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914,202,390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5,892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C31 Proizvodnja namještaja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805,591,297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9,038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C32 Ostala prerađivačka industrija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265,114,674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2,141</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14,619,684,466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31.95%</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110,262</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49.13%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prerađivačka industrija</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45,755,161,993</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224,441</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100.00%</w:t>
            </w:r>
          </w:p>
        </w:tc>
      </w:tr>
    </w:tbl>
    <w:p w:rsidR="00F61F46" w:rsidRPr="004E6412" w:rsidRDefault="00F4729F" w:rsidP="00F61F46">
      <w:pPr>
        <w:rPr>
          <w:sz w:val="20"/>
          <w:szCs w:val="20"/>
        </w:rPr>
      </w:pPr>
      <w:r w:rsidRPr="004E6412">
        <w:rPr>
          <w:sz w:val="20"/>
          <w:szCs w:val="20"/>
        </w:rPr>
        <w:t>Izvor: I</w:t>
      </w:r>
      <w:r w:rsidR="00F61F46" w:rsidRPr="004E6412">
        <w:rPr>
          <w:sz w:val="20"/>
          <w:szCs w:val="20"/>
        </w:rPr>
        <w:t>zrada autora.</w:t>
      </w:r>
    </w:p>
    <w:p w:rsidR="00F61F46" w:rsidRPr="004E6412" w:rsidRDefault="00F61F46" w:rsidP="00F61F46">
      <w:pPr>
        <w:rPr>
          <w:sz w:val="22"/>
          <w:lang w:eastAsia="hr-HR"/>
        </w:rPr>
      </w:pPr>
    </w:p>
    <w:p w:rsidR="00F61F46" w:rsidRPr="004E6412" w:rsidRDefault="00F61F46" w:rsidP="001B41B0">
      <w:pPr>
        <w:rPr>
          <w:b/>
        </w:rPr>
        <w:sectPr w:rsidR="00F61F46" w:rsidRPr="004E6412" w:rsidSect="00F81C4C">
          <w:pgSz w:w="16838" w:h="11906" w:orient="landscape"/>
          <w:pgMar w:top="1418" w:right="1418" w:bottom="1418" w:left="1418" w:header="709" w:footer="709" w:gutter="0"/>
          <w:cols w:space="708"/>
          <w:docGrid w:linePitch="360"/>
        </w:sectPr>
      </w:pPr>
    </w:p>
    <w:p w:rsidR="003E3F44" w:rsidRPr="004E6412" w:rsidRDefault="001B41B0" w:rsidP="00F65AE4">
      <w:pPr>
        <w:pStyle w:val="Heading3"/>
      </w:pPr>
      <w:bookmarkStart w:id="274" w:name="_Toc372087965"/>
      <w:bookmarkStart w:id="275" w:name="_Toc378069027"/>
      <w:r w:rsidRPr="004E6412">
        <w:lastRenderedPageBreak/>
        <w:t>Analiza proizvodnosti prerađivačke industrije 2010.</w:t>
      </w:r>
      <w:r w:rsidR="00E236AB" w:rsidRPr="004E6412">
        <w:t xml:space="preserve"> – </w:t>
      </w:r>
      <w:r w:rsidRPr="004E6412">
        <w:t>2012.</w:t>
      </w:r>
      <w:bookmarkEnd w:id="274"/>
      <w:bookmarkEnd w:id="275"/>
    </w:p>
    <w:p w:rsidR="003E3F44" w:rsidRPr="004E6412" w:rsidRDefault="003E3F44" w:rsidP="003E3F44"/>
    <w:p w:rsidR="00AE6668" w:rsidRPr="004E6412" w:rsidRDefault="00AE6668" w:rsidP="00B15A78">
      <w:pPr>
        <w:pStyle w:val="ListParagraph"/>
        <w:numPr>
          <w:ilvl w:val="0"/>
          <w:numId w:val="97"/>
        </w:numPr>
        <w:spacing w:after="0"/>
        <w:jc w:val="both"/>
        <w:rPr>
          <w:rFonts w:ascii="Times New Roman" w:hAnsi="Times New Roman"/>
        </w:rPr>
      </w:pPr>
      <w:r w:rsidRPr="004E6412">
        <w:rPr>
          <w:rFonts w:ascii="Times New Roman" w:hAnsi="Times New Roman"/>
        </w:rPr>
        <w:t>Proizvo</w:t>
      </w:r>
      <w:r w:rsidR="00E236AB" w:rsidRPr="004E6412">
        <w:rPr>
          <w:rFonts w:ascii="Times New Roman" w:hAnsi="Times New Roman"/>
        </w:rPr>
        <w:t>dnost rada i kapitala promatra</w:t>
      </w:r>
      <w:r w:rsidRPr="004E6412">
        <w:rPr>
          <w:rFonts w:ascii="Times New Roman" w:hAnsi="Times New Roman"/>
        </w:rPr>
        <w:t xml:space="preserve"> se </w:t>
      </w:r>
      <w:r w:rsidR="00AF4CFD" w:rsidRPr="004E6412">
        <w:rPr>
          <w:rFonts w:ascii="Times New Roman" w:hAnsi="Times New Roman"/>
        </w:rPr>
        <w:t>s obzirom na njihov doprinos</w:t>
      </w:r>
      <w:r w:rsidRPr="004E6412">
        <w:rPr>
          <w:rFonts w:ascii="Times New Roman" w:hAnsi="Times New Roman"/>
        </w:rPr>
        <w:t xml:space="preserve"> ostvarivanju bruto dodane vrijednosti u svakoj pojedinoj djelatnosti.</w:t>
      </w:r>
    </w:p>
    <w:p w:rsidR="00AE6668" w:rsidRPr="004E6412" w:rsidRDefault="00AE6668" w:rsidP="00AE6668"/>
    <w:p w:rsidR="00AE6668"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U razdoblju 2010.</w:t>
      </w:r>
      <w:r w:rsidR="00E236AB" w:rsidRPr="004E6412">
        <w:rPr>
          <w:rFonts w:ascii="Times New Roman" w:hAnsi="Times New Roman"/>
        </w:rPr>
        <w:t xml:space="preserve"> – </w:t>
      </w:r>
      <w:r w:rsidRPr="004E6412">
        <w:rPr>
          <w:rFonts w:ascii="Times New Roman" w:hAnsi="Times New Roman"/>
        </w:rPr>
        <w:t>2012., p</w:t>
      </w:r>
      <w:r w:rsidR="00E236AB" w:rsidRPr="004E6412">
        <w:rPr>
          <w:rFonts w:ascii="Times New Roman" w:hAnsi="Times New Roman"/>
        </w:rPr>
        <w:t xml:space="preserve">roizvodnost rada i </w:t>
      </w:r>
      <w:r w:rsidRPr="004E6412">
        <w:rPr>
          <w:rFonts w:ascii="Times New Roman" w:hAnsi="Times New Roman"/>
        </w:rPr>
        <w:t>kapitala za ukup</w:t>
      </w:r>
      <w:r w:rsidR="00E236AB" w:rsidRPr="004E6412">
        <w:rPr>
          <w:rFonts w:ascii="Times New Roman" w:hAnsi="Times New Roman"/>
        </w:rPr>
        <w:t>nu prerađivačku industriju raste</w:t>
      </w:r>
      <w:r w:rsidR="00AE6668" w:rsidRPr="004E6412">
        <w:rPr>
          <w:rFonts w:ascii="Times New Roman" w:hAnsi="Times New Roman"/>
        </w:rPr>
        <w:t>, s time da je kod proizvodnost</w:t>
      </w:r>
      <w:r w:rsidR="00E236AB" w:rsidRPr="004E6412">
        <w:rPr>
          <w:rFonts w:ascii="Times New Roman" w:hAnsi="Times New Roman"/>
        </w:rPr>
        <w:t>i</w:t>
      </w:r>
      <w:r w:rsidR="00AE6668" w:rsidRPr="004E6412">
        <w:rPr>
          <w:rFonts w:ascii="Times New Roman" w:hAnsi="Times New Roman"/>
        </w:rPr>
        <w:t xml:space="preserve"> rada zabilježen manji pad od 2011. </w:t>
      </w:r>
      <w:r w:rsidR="00E236AB" w:rsidRPr="004E6412">
        <w:rPr>
          <w:rFonts w:ascii="Times New Roman" w:hAnsi="Times New Roman"/>
        </w:rPr>
        <w:t>do 2012., dok je u istom razdoblju</w:t>
      </w:r>
      <w:r w:rsidR="00AE6668" w:rsidRPr="004E6412">
        <w:rPr>
          <w:rFonts w:ascii="Times New Roman" w:hAnsi="Times New Roman"/>
        </w:rPr>
        <w:t xml:space="preserve"> proizvodnost kapitala stagnirala</w:t>
      </w:r>
      <w:r w:rsidRPr="004E6412">
        <w:rPr>
          <w:rFonts w:ascii="Times New Roman" w:hAnsi="Times New Roman"/>
        </w:rPr>
        <w:t xml:space="preserve">. </w:t>
      </w:r>
    </w:p>
    <w:p w:rsidR="00AE6668" w:rsidRPr="004E6412" w:rsidRDefault="00AE6668" w:rsidP="00AE6668">
      <w:pPr>
        <w:ind w:left="360"/>
      </w:pPr>
    </w:p>
    <w:p w:rsidR="001B41B0"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Proizvodno</w:t>
      </w:r>
      <w:r w:rsidR="00E236AB" w:rsidRPr="004E6412">
        <w:rPr>
          <w:rFonts w:ascii="Times New Roman" w:hAnsi="Times New Roman"/>
        </w:rPr>
        <w:t xml:space="preserve">st rada </w:t>
      </w:r>
      <w:r w:rsidRPr="004E6412">
        <w:rPr>
          <w:rFonts w:ascii="Times New Roman" w:hAnsi="Times New Roman"/>
        </w:rPr>
        <w:t xml:space="preserve">porasla </w:t>
      </w:r>
      <w:r w:rsidR="00E236AB" w:rsidRPr="004E6412">
        <w:rPr>
          <w:rFonts w:ascii="Times New Roman" w:hAnsi="Times New Roman"/>
        </w:rPr>
        <w:t xml:space="preserve">je </w:t>
      </w:r>
      <w:r w:rsidRPr="004E6412">
        <w:rPr>
          <w:rFonts w:ascii="Times New Roman" w:hAnsi="Times New Roman"/>
        </w:rPr>
        <w:t xml:space="preserve">sa </w:t>
      </w:r>
      <w:r w:rsidR="00AE6668" w:rsidRPr="004E6412">
        <w:rPr>
          <w:rFonts w:ascii="Times New Roman" w:hAnsi="Times New Roman"/>
        </w:rPr>
        <w:t>172.604</w:t>
      </w:r>
      <w:r w:rsidR="00E236AB" w:rsidRPr="004E6412">
        <w:rPr>
          <w:rFonts w:ascii="Times New Roman" w:hAnsi="Times New Roman"/>
        </w:rPr>
        <w:t xml:space="preserve"> kune</w:t>
      </w:r>
      <w:r w:rsidRPr="004E6412">
        <w:rPr>
          <w:rFonts w:ascii="Times New Roman" w:hAnsi="Times New Roman"/>
        </w:rPr>
        <w:t xml:space="preserve"> u 2010. na </w:t>
      </w:r>
      <w:r w:rsidR="00AE6668" w:rsidRPr="004E6412">
        <w:rPr>
          <w:rFonts w:ascii="Times New Roman" w:hAnsi="Times New Roman"/>
        </w:rPr>
        <w:t>203.863</w:t>
      </w:r>
      <w:r w:rsidR="00E236AB" w:rsidRPr="004E6412">
        <w:rPr>
          <w:rFonts w:ascii="Times New Roman" w:hAnsi="Times New Roman"/>
        </w:rPr>
        <w:t xml:space="preserve"> kune</w:t>
      </w:r>
      <w:r w:rsidRPr="004E6412">
        <w:rPr>
          <w:rFonts w:ascii="Times New Roman" w:hAnsi="Times New Roman"/>
        </w:rPr>
        <w:t xml:space="preserve"> u 2012., što predstavlja porast od </w:t>
      </w:r>
      <w:r w:rsidR="00AE6668" w:rsidRPr="004E6412">
        <w:rPr>
          <w:rFonts w:ascii="Times New Roman" w:hAnsi="Times New Roman"/>
        </w:rPr>
        <w:t>18,11</w:t>
      </w:r>
      <w:r w:rsidRPr="004E6412">
        <w:rPr>
          <w:rFonts w:ascii="Times New Roman" w:hAnsi="Times New Roman"/>
        </w:rPr>
        <w:t xml:space="preserve">%. Međutim, rezultat je to značajnog povećanja </w:t>
      </w:r>
      <w:r w:rsidR="00AF4CFD" w:rsidRPr="004E6412">
        <w:rPr>
          <w:rFonts w:ascii="Times New Roman" w:hAnsi="Times New Roman"/>
        </w:rPr>
        <w:t>o</w:t>
      </w:r>
      <w:r w:rsidR="00AE6668" w:rsidRPr="004E6412">
        <w:rPr>
          <w:rFonts w:ascii="Times New Roman" w:hAnsi="Times New Roman"/>
        </w:rPr>
        <w:t xml:space="preserve">stvarene bruto dodane vrijednosti </w:t>
      </w:r>
      <w:r w:rsidRPr="004E6412">
        <w:rPr>
          <w:rFonts w:ascii="Times New Roman" w:hAnsi="Times New Roman"/>
        </w:rPr>
        <w:t xml:space="preserve">u cjelokupnom razdoblju za </w:t>
      </w:r>
      <w:r w:rsidR="00AE6668" w:rsidRPr="004E6412">
        <w:rPr>
          <w:rFonts w:ascii="Times New Roman" w:hAnsi="Times New Roman"/>
        </w:rPr>
        <w:t>15,13</w:t>
      </w:r>
      <w:r w:rsidRPr="004E6412">
        <w:rPr>
          <w:rFonts w:ascii="Times New Roman" w:hAnsi="Times New Roman"/>
        </w:rPr>
        <w:t xml:space="preserve">%, ali i smanjenja broja zaposlenih u prerađivačkoj industriji od 2,53%. Slično je i kod proizvodnosti kapitala koja u promatranom razdoblju bilježi porast od </w:t>
      </w:r>
      <w:r w:rsidR="00AE6668" w:rsidRPr="004E6412">
        <w:rPr>
          <w:rFonts w:ascii="Times New Roman" w:hAnsi="Times New Roman"/>
        </w:rPr>
        <w:t>18,14</w:t>
      </w:r>
      <w:r w:rsidRPr="004E6412">
        <w:rPr>
          <w:rFonts w:ascii="Times New Roman" w:hAnsi="Times New Roman"/>
        </w:rPr>
        <w:t xml:space="preserve">%. I ovdje je to razlog većeg povećanja </w:t>
      </w:r>
      <w:r w:rsidR="00AE6668" w:rsidRPr="004E6412">
        <w:rPr>
          <w:rFonts w:ascii="Times New Roman" w:hAnsi="Times New Roman"/>
        </w:rPr>
        <w:t>bruto dodane vrijednosti</w:t>
      </w:r>
      <w:r w:rsidRPr="004E6412">
        <w:rPr>
          <w:rFonts w:ascii="Times New Roman" w:hAnsi="Times New Roman"/>
        </w:rPr>
        <w:t xml:space="preserve">, te </w:t>
      </w:r>
      <w:r w:rsidR="00AE6668" w:rsidRPr="004E6412">
        <w:rPr>
          <w:rFonts w:ascii="Times New Roman" w:hAnsi="Times New Roman"/>
        </w:rPr>
        <w:t xml:space="preserve">istovremenog </w:t>
      </w:r>
      <w:r w:rsidRPr="004E6412">
        <w:rPr>
          <w:rFonts w:ascii="Times New Roman" w:hAnsi="Times New Roman"/>
        </w:rPr>
        <w:t>smanjenja vrijednosti dugotrajne materijalne imovine za 2,55%.</w:t>
      </w:r>
    </w:p>
    <w:p w:rsidR="00EF6D3A" w:rsidRPr="004E6412" w:rsidRDefault="00EF6D3A" w:rsidP="00212A70"/>
    <w:p w:rsidR="00AE666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U analizi koja obuhvaća djelatnosti</w:t>
      </w:r>
      <w:r w:rsidR="00212A70" w:rsidRPr="004E6412">
        <w:rPr>
          <w:rFonts w:ascii="Times New Roman" w:hAnsi="Times New Roman"/>
        </w:rPr>
        <w:t xml:space="preserve"> i</w:t>
      </w:r>
      <w:r w:rsidR="00462823" w:rsidRPr="004E6412">
        <w:rPr>
          <w:rFonts w:ascii="Times New Roman" w:hAnsi="Times New Roman"/>
        </w:rPr>
        <w:t xml:space="preserve">stiče se </w:t>
      </w:r>
      <w:r w:rsidRPr="004E6412">
        <w:rPr>
          <w:rFonts w:ascii="Times New Roman" w:hAnsi="Times New Roman"/>
        </w:rPr>
        <w:t xml:space="preserve">posebice </w:t>
      </w:r>
      <w:r w:rsidR="00462823" w:rsidRPr="004E6412">
        <w:rPr>
          <w:rFonts w:ascii="Times New Roman" w:hAnsi="Times New Roman"/>
        </w:rPr>
        <w:t>djelatnost C24</w:t>
      </w:r>
      <w:r w:rsidR="00E046CA" w:rsidRPr="004E6412">
        <w:rPr>
          <w:rFonts w:ascii="Times New Roman" w:hAnsi="Times New Roman"/>
        </w:rPr>
        <w:t xml:space="preserve"> Proizvodnja metala </w:t>
      </w:r>
      <w:r w:rsidR="00462823" w:rsidRPr="004E6412">
        <w:rPr>
          <w:rFonts w:ascii="Times New Roman" w:hAnsi="Times New Roman"/>
        </w:rPr>
        <w:t>čij</w:t>
      </w:r>
      <w:r w:rsidRPr="004E6412">
        <w:rPr>
          <w:rFonts w:ascii="Times New Roman" w:hAnsi="Times New Roman"/>
        </w:rPr>
        <w:t>a je proizvodnost rada u razdoblju</w:t>
      </w:r>
      <w:r w:rsidR="00462823" w:rsidRPr="004E6412">
        <w:rPr>
          <w:rFonts w:ascii="Times New Roman" w:hAnsi="Times New Roman"/>
        </w:rPr>
        <w:t xml:space="preserve"> od 2010. do 2012. povećana za visokih 255,16%, odnosno za 2,55 puta. </w:t>
      </w:r>
      <w:r w:rsidR="00E046CA" w:rsidRPr="004E6412">
        <w:rPr>
          <w:rFonts w:ascii="Times New Roman" w:hAnsi="Times New Roman"/>
        </w:rPr>
        <w:t xml:space="preserve">U ovoj </w:t>
      </w:r>
      <w:r w:rsidR="004823E2" w:rsidRPr="004E6412">
        <w:rPr>
          <w:rFonts w:ascii="Times New Roman" w:hAnsi="Times New Roman"/>
        </w:rPr>
        <w:t>djelatnosti</w:t>
      </w:r>
      <w:r w:rsidRPr="004E6412">
        <w:rPr>
          <w:rFonts w:ascii="Times New Roman" w:hAnsi="Times New Roman"/>
        </w:rPr>
        <w:t xml:space="preserve"> </w:t>
      </w:r>
      <w:r w:rsidR="00E046CA" w:rsidRPr="004E6412">
        <w:rPr>
          <w:rFonts w:ascii="Times New Roman" w:hAnsi="Times New Roman"/>
        </w:rPr>
        <w:t xml:space="preserve">došlo </w:t>
      </w:r>
      <w:r w:rsidRPr="004E6412">
        <w:rPr>
          <w:rFonts w:ascii="Times New Roman" w:hAnsi="Times New Roman"/>
        </w:rPr>
        <w:t xml:space="preserve">je </w:t>
      </w:r>
      <w:r w:rsidR="00E046CA" w:rsidRPr="004E6412">
        <w:rPr>
          <w:rFonts w:ascii="Times New Roman" w:hAnsi="Times New Roman"/>
        </w:rPr>
        <w:t>do smanjenja broja zaposlenih za 12,12% i istovremenog povećanja bruto dodane vrijednosti za 212,12%. Nasu</w:t>
      </w:r>
      <w:r w:rsidRPr="004E6412">
        <w:rPr>
          <w:rFonts w:ascii="Times New Roman" w:hAnsi="Times New Roman"/>
        </w:rPr>
        <w:t xml:space="preserve">prot njoj, proizvodnost rada </w:t>
      </w:r>
      <w:r w:rsidR="00E046CA" w:rsidRPr="004E6412">
        <w:rPr>
          <w:rFonts w:ascii="Times New Roman" w:hAnsi="Times New Roman"/>
        </w:rPr>
        <w:t>najviše</w:t>
      </w:r>
      <w:r w:rsidRPr="004E6412">
        <w:rPr>
          <w:rFonts w:ascii="Times New Roman" w:hAnsi="Times New Roman"/>
        </w:rPr>
        <w:t xml:space="preserve"> se</w:t>
      </w:r>
      <w:r w:rsidR="00E046CA" w:rsidRPr="004E6412">
        <w:rPr>
          <w:rFonts w:ascii="Times New Roman" w:hAnsi="Times New Roman"/>
        </w:rPr>
        <w:t xml:space="preserve"> smanjila u djelatnosti C17 Proizvodnja papira i proizvoda od papira, za 21,92%. Bruto dodan</w:t>
      </w:r>
      <w:r w:rsidRPr="004E6412">
        <w:rPr>
          <w:rFonts w:ascii="Times New Roman" w:hAnsi="Times New Roman"/>
        </w:rPr>
        <w:t>a vrijednost ove djelatnosti u trogodišnjem je razdoblju</w:t>
      </w:r>
      <w:r w:rsidR="00E046CA" w:rsidRPr="004E6412">
        <w:rPr>
          <w:rFonts w:ascii="Times New Roman" w:hAnsi="Times New Roman"/>
        </w:rPr>
        <w:t xml:space="preserve"> smanjena za visokih 32,38%, dok je istovremeno broj </w:t>
      </w:r>
      <w:r w:rsidR="004823E2" w:rsidRPr="004E6412">
        <w:rPr>
          <w:rFonts w:ascii="Times New Roman" w:hAnsi="Times New Roman"/>
        </w:rPr>
        <w:t>zaposlenih</w:t>
      </w:r>
      <w:r w:rsidR="00E046CA" w:rsidRPr="004E6412">
        <w:rPr>
          <w:rFonts w:ascii="Times New Roman" w:hAnsi="Times New Roman"/>
        </w:rPr>
        <w:t xml:space="preserve"> smanjen za 13,35%. </w:t>
      </w:r>
    </w:p>
    <w:p w:rsidR="00E046CA" w:rsidRPr="004E6412" w:rsidRDefault="00E046CA" w:rsidP="00E046CA">
      <w:pPr>
        <w:pStyle w:val="ListParagraph"/>
        <w:rPr>
          <w:rFonts w:ascii="Times New Roman" w:hAnsi="Times New Roman"/>
        </w:rPr>
      </w:pPr>
    </w:p>
    <w:p w:rsidR="00E046CA" w:rsidRPr="004E6412" w:rsidRDefault="00E046C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gledano prema 2012. godini, najvišu proizvodnost rada ostvarila je djelatnost C12 Proizvodnja duhanskih proizvoda u iznosu od 967.027 kuna bruto dod</w:t>
      </w:r>
      <w:r w:rsidR="00631E84" w:rsidRPr="004E6412">
        <w:rPr>
          <w:rFonts w:ascii="Times New Roman" w:hAnsi="Times New Roman"/>
        </w:rPr>
        <w:t>ane vrijednosti po zaposlenom. S druge strane, n</w:t>
      </w:r>
      <w:r w:rsidRPr="004E6412">
        <w:rPr>
          <w:rFonts w:ascii="Times New Roman" w:hAnsi="Times New Roman"/>
        </w:rPr>
        <w:t>ajmanju proizvodnost rada ostvarila je djelatnost C15 Proizvodnja kože i srodnih proizvoda u vrijednosti od svega 63.412 kuna ostvarene bruto dodane vrijednosti po zaposlenom.</w:t>
      </w:r>
    </w:p>
    <w:p w:rsidR="00E046CA" w:rsidRPr="004E6412" w:rsidRDefault="00E046CA" w:rsidP="00E046CA">
      <w:pPr>
        <w:pStyle w:val="ListParagraph"/>
        <w:rPr>
          <w:rFonts w:ascii="Times New Roman" w:hAnsi="Times New Roman"/>
        </w:rPr>
      </w:pPr>
    </w:p>
    <w:p w:rsidR="00E046CA" w:rsidRPr="004E6412" w:rsidRDefault="00212A70" w:rsidP="00B15A78">
      <w:pPr>
        <w:pStyle w:val="ListParagraph"/>
        <w:numPr>
          <w:ilvl w:val="0"/>
          <w:numId w:val="97"/>
        </w:numPr>
        <w:spacing w:after="0"/>
        <w:jc w:val="both"/>
        <w:rPr>
          <w:rFonts w:ascii="Times New Roman" w:hAnsi="Times New Roman"/>
        </w:rPr>
      </w:pPr>
      <w:r w:rsidRPr="004E6412">
        <w:rPr>
          <w:rFonts w:ascii="Times New Roman" w:hAnsi="Times New Roman"/>
        </w:rPr>
        <w:t>P</w:t>
      </w:r>
      <w:r w:rsidR="00E046CA" w:rsidRPr="004E6412">
        <w:rPr>
          <w:rFonts w:ascii="Times New Roman" w:hAnsi="Times New Roman"/>
        </w:rPr>
        <w:t xml:space="preserve">roizvodnost kapitala </w:t>
      </w:r>
      <w:r w:rsidR="002A02A6" w:rsidRPr="004E6412">
        <w:rPr>
          <w:rFonts w:ascii="Times New Roman" w:hAnsi="Times New Roman"/>
        </w:rPr>
        <w:t>najviše se povećala u djelatnosti C24 Proizvodnja metala</w:t>
      </w:r>
      <w:r w:rsidR="00631E84" w:rsidRPr="004E6412">
        <w:rPr>
          <w:rFonts w:ascii="Times New Roman" w:hAnsi="Times New Roman"/>
        </w:rPr>
        <w:t>,</w:t>
      </w:r>
      <w:r w:rsidR="002A02A6" w:rsidRPr="004E6412">
        <w:rPr>
          <w:rFonts w:ascii="Times New Roman" w:hAnsi="Times New Roman"/>
        </w:rPr>
        <w:t xml:space="preserve"> i to za 266,37%. Uz već navedeno povećanje bruto dodane vrijednosti, ova djelatnost je </w:t>
      </w:r>
      <w:r w:rsidR="004823E2" w:rsidRPr="004E6412">
        <w:rPr>
          <w:rFonts w:ascii="Times New Roman" w:hAnsi="Times New Roman"/>
        </w:rPr>
        <w:t>istovremeno</w:t>
      </w:r>
      <w:r w:rsidR="002A02A6" w:rsidRPr="004E6412">
        <w:rPr>
          <w:rFonts w:ascii="Times New Roman" w:hAnsi="Times New Roman"/>
        </w:rPr>
        <w:t xml:space="preserve"> smanjila vrijednost kapitalne imovine za 14,81%. Dakle, ova djelatnost iskazala je </w:t>
      </w:r>
      <w:r w:rsidR="00EF6D3A" w:rsidRPr="004E6412">
        <w:rPr>
          <w:rFonts w:ascii="Times New Roman" w:hAnsi="Times New Roman"/>
        </w:rPr>
        <w:t xml:space="preserve">vrlo visoku </w:t>
      </w:r>
      <w:r w:rsidR="002A02A6" w:rsidRPr="004E6412">
        <w:rPr>
          <w:rFonts w:ascii="Times New Roman" w:hAnsi="Times New Roman"/>
        </w:rPr>
        <w:t xml:space="preserve">stopu rasta u proizvodnosti rada i kapitala. Najveći pad u proizvodnosti kapitala </w:t>
      </w:r>
      <w:r w:rsidR="00EF6D3A" w:rsidRPr="004E6412">
        <w:rPr>
          <w:rFonts w:ascii="Times New Roman" w:hAnsi="Times New Roman"/>
        </w:rPr>
        <w:t xml:space="preserve">ostvaren </w:t>
      </w:r>
      <w:r w:rsidR="00631E84" w:rsidRPr="004E6412">
        <w:rPr>
          <w:rFonts w:ascii="Times New Roman" w:hAnsi="Times New Roman"/>
        </w:rPr>
        <w:t xml:space="preserve">je </w:t>
      </w:r>
      <w:r w:rsidR="00EF6D3A" w:rsidRPr="004E6412">
        <w:rPr>
          <w:rFonts w:ascii="Times New Roman" w:hAnsi="Times New Roman"/>
        </w:rPr>
        <w:t xml:space="preserve">u djelatnosti C20 Proizvodnja kemikalija i kemijskih proizvoda i to za 20,32% u </w:t>
      </w:r>
      <w:r w:rsidR="00631E84" w:rsidRPr="004E6412">
        <w:rPr>
          <w:rFonts w:ascii="Times New Roman" w:hAnsi="Times New Roman"/>
        </w:rPr>
        <w:t>promatranom trogodišnjem razdoblju</w:t>
      </w:r>
      <w:r w:rsidR="00EF6D3A" w:rsidRPr="004E6412">
        <w:rPr>
          <w:rFonts w:ascii="Times New Roman" w:hAnsi="Times New Roman"/>
        </w:rPr>
        <w:t xml:space="preserve">. </w:t>
      </w:r>
    </w:p>
    <w:p w:rsidR="00EF6D3A" w:rsidRPr="004E6412" w:rsidRDefault="00EF6D3A" w:rsidP="00EF6D3A">
      <w:pPr>
        <w:pStyle w:val="ListParagraph"/>
        <w:rPr>
          <w:rFonts w:ascii="Times New Roman" w:hAnsi="Times New Roman"/>
        </w:rPr>
      </w:pPr>
    </w:p>
    <w:p w:rsidR="00EF6D3A" w:rsidRPr="004E6412" w:rsidRDefault="00EF6D3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najveću proizvodnost kapitala u 2012. godini ostvarila je djelatnost C</w:t>
      </w:r>
      <w:r w:rsidR="001D222B" w:rsidRPr="004E6412">
        <w:rPr>
          <w:rFonts w:ascii="Times New Roman" w:hAnsi="Times New Roman"/>
        </w:rPr>
        <w:t>26</w:t>
      </w:r>
      <w:r w:rsidRPr="004E6412">
        <w:rPr>
          <w:rFonts w:ascii="Times New Roman" w:hAnsi="Times New Roman"/>
        </w:rPr>
        <w:t xml:space="preserve"> </w:t>
      </w:r>
      <w:r w:rsidR="001D222B" w:rsidRPr="004E6412">
        <w:rPr>
          <w:rFonts w:ascii="Times New Roman" w:hAnsi="Times New Roman"/>
        </w:rPr>
        <w:t xml:space="preserve">Proizvodnja računala te elektroničkih i optičkih proizvoda </w:t>
      </w:r>
      <w:r w:rsidRPr="004E6412">
        <w:rPr>
          <w:rFonts w:ascii="Times New Roman" w:hAnsi="Times New Roman"/>
        </w:rPr>
        <w:t>(</w:t>
      </w:r>
      <w:r w:rsidR="001D222B" w:rsidRPr="004E6412">
        <w:rPr>
          <w:rFonts w:ascii="Times New Roman" w:hAnsi="Times New Roman"/>
        </w:rPr>
        <w:t>2,35</w:t>
      </w:r>
      <w:r w:rsidRPr="004E6412">
        <w:rPr>
          <w:rFonts w:ascii="Times New Roman" w:hAnsi="Times New Roman"/>
        </w:rPr>
        <w:t xml:space="preserve"> kuna bruto dodane vrijednosti na svaku kunu kapitalne imovine), a najmanju proizvodnost kapitala ostvarila je djelatnost C20 Proizvodnja kemikalija i kemijskih proizvoda (0,27 kuna bruto dodane vrijednosti na svaku kunu kapitalne imovine). </w:t>
      </w:r>
    </w:p>
    <w:p w:rsidR="001B41B0" w:rsidRPr="004E6412" w:rsidRDefault="001B41B0" w:rsidP="001B41B0">
      <w:pPr>
        <w:rPr>
          <w:sz w:val="22"/>
        </w:rPr>
      </w:pPr>
    </w:p>
    <w:p w:rsidR="00035B9A"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 xml:space="preserve">Proizvodnost kapitala </w:t>
      </w:r>
      <w:r w:rsidR="00035B9A" w:rsidRPr="004E6412">
        <w:rPr>
          <w:rFonts w:ascii="Times New Roman" w:hAnsi="Times New Roman"/>
        </w:rPr>
        <w:t>manja</w:t>
      </w:r>
      <w:r w:rsidRPr="004E6412">
        <w:rPr>
          <w:rFonts w:ascii="Times New Roman" w:hAnsi="Times New Roman"/>
        </w:rPr>
        <w:t xml:space="preserve"> je</w:t>
      </w:r>
      <w:r w:rsidR="00035B9A" w:rsidRPr="004E6412">
        <w:rPr>
          <w:rFonts w:ascii="Times New Roman" w:hAnsi="Times New Roman"/>
        </w:rPr>
        <w:t xml:space="preserve"> od 1 u gotovo </w:t>
      </w:r>
      <w:r w:rsidRPr="004E6412">
        <w:rPr>
          <w:rFonts w:ascii="Times New Roman" w:hAnsi="Times New Roman"/>
        </w:rPr>
        <w:t xml:space="preserve">svim djelatnostima osim u C26 </w:t>
      </w:r>
      <w:r w:rsidR="00035B9A" w:rsidRPr="004E6412">
        <w:rPr>
          <w:rFonts w:ascii="Times New Roman" w:hAnsi="Times New Roman"/>
        </w:rPr>
        <w:t>Proizvodnja računala te elektroničkih i optičkih proizvoda</w:t>
      </w:r>
      <w:r w:rsidR="001D222B" w:rsidRPr="004E6412">
        <w:rPr>
          <w:rFonts w:ascii="Times New Roman" w:hAnsi="Times New Roman"/>
        </w:rPr>
        <w:t>. Dakle, samo ta djelatnost</w:t>
      </w:r>
      <w:r w:rsidR="00035B9A" w:rsidRPr="004E6412">
        <w:rPr>
          <w:rFonts w:ascii="Times New Roman" w:hAnsi="Times New Roman"/>
        </w:rPr>
        <w:t xml:space="preserve"> godišnje ostvaruj</w:t>
      </w:r>
      <w:r w:rsidR="001D222B" w:rsidRPr="004E6412">
        <w:rPr>
          <w:rFonts w:ascii="Times New Roman" w:hAnsi="Times New Roman"/>
        </w:rPr>
        <w:t>e</w:t>
      </w:r>
      <w:r w:rsidR="00035B9A" w:rsidRPr="004E6412">
        <w:rPr>
          <w:rFonts w:ascii="Times New Roman" w:hAnsi="Times New Roman"/>
        </w:rPr>
        <w:t xml:space="preserve"> više dodane vr</w:t>
      </w:r>
      <w:r w:rsidR="001D222B" w:rsidRPr="004E6412">
        <w:rPr>
          <w:rFonts w:ascii="Times New Roman" w:hAnsi="Times New Roman"/>
        </w:rPr>
        <w:t>ijednosti od vrijednosti nje</w:t>
      </w:r>
      <w:r w:rsidRPr="004E6412">
        <w:rPr>
          <w:rFonts w:ascii="Times New Roman" w:hAnsi="Times New Roman"/>
        </w:rPr>
        <w:t>zi</w:t>
      </w:r>
      <w:r w:rsidR="001D222B" w:rsidRPr="004E6412">
        <w:rPr>
          <w:rFonts w:ascii="Times New Roman" w:hAnsi="Times New Roman"/>
        </w:rPr>
        <w:t>ne</w:t>
      </w:r>
      <w:r w:rsidR="00035B9A" w:rsidRPr="004E6412">
        <w:rPr>
          <w:rFonts w:ascii="Times New Roman" w:hAnsi="Times New Roman"/>
        </w:rPr>
        <w:t xml:space="preserve"> kapitalne imovine. </w:t>
      </w:r>
    </w:p>
    <w:p w:rsidR="00817908" w:rsidRPr="004E6412" w:rsidRDefault="00817908" w:rsidP="00817908">
      <w:pPr>
        <w:pStyle w:val="ListParagraph"/>
        <w:rPr>
          <w:rFonts w:ascii="Times New Roman" w:hAnsi="Times New Roman"/>
        </w:rPr>
      </w:pPr>
    </w:p>
    <w:p w:rsidR="0081790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lastRenderedPageBreak/>
        <w:t>Proizvodnost rada je u razdoblju</w:t>
      </w:r>
      <w:r w:rsidR="00817908" w:rsidRPr="004E6412">
        <w:rPr>
          <w:rFonts w:ascii="Times New Roman" w:hAnsi="Times New Roman"/>
        </w:rPr>
        <w:t xml:space="preserve"> 2010. – 2012. povećana u 16 od 24 djelatnosti</w:t>
      </w:r>
      <w:r w:rsidRPr="004E6412">
        <w:rPr>
          <w:rFonts w:ascii="Times New Roman" w:hAnsi="Times New Roman"/>
        </w:rPr>
        <w:t>,</w:t>
      </w:r>
      <w:r w:rsidR="00306319" w:rsidRPr="004E6412">
        <w:rPr>
          <w:rFonts w:ascii="Times New Roman" w:hAnsi="Times New Roman"/>
        </w:rPr>
        <w:t xml:space="preserve"> dok je broj zaposlenih povećan samo u 9 od 24 djelatnosti. P</w:t>
      </w:r>
      <w:r w:rsidR="00817908" w:rsidRPr="004E6412">
        <w:rPr>
          <w:rFonts w:ascii="Times New Roman" w:hAnsi="Times New Roman"/>
        </w:rPr>
        <w:t>roizvodnost kapitala</w:t>
      </w:r>
      <w:r w:rsidRPr="004E6412">
        <w:rPr>
          <w:rFonts w:ascii="Times New Roman" w:hAnsi="Times New Roman"/>
        </w:rPr>
        <w:t xml:space="preserve"> </w:t>
      </w:r>
      <w:r w:rsidR="00817908" w:rsidRPr="004E6412">
        <w:rPr>
          <w:rFonts w:ascii="Times New Roman" w:hAnsi="Times New Roman"/>
        </w:rPr>
        <w:t xml:space="preserve">povećana </w:t>
      </w:r>
      <w:r w:rsidRPr="004E6412">
        <w:rPr>
          <w:rFonts w:ascii="Times New Roman" w:hAnsi="Times New Roman"/>
        </w:rPr>
        <w:t xml:space="preserve">je </w:t>
      </w:r>
      <w:r w:rsidR="00817908" w:rsidRPr="004E6412">
        <w:rPr>
          <w:rFonts w:ascii="Times New Roman" w:hAnsi="Times New Roman"/>
        </w:rPr>
        <w:t>u 14 od 24 djelatnosti</w:t>
      </w:r>
      <w:r w:rsidR="00306319" w:rsidRPr="004E6412">
        <w:rPr>
          <w:rFonts w:ascii="Times New Roman" w:hAnsi="Times New Roman"/>
        </w:rPr>
        <w:t>, a kapitalna imovina samo u 12 od 24 djelatnosti</w:t>
      </w:r>
      <w:r w:rsidR="00817908" w:rsidRPr="004E6412">
        <w:rPr>
          <w:rFonts w:ascii="Times New Roman" w:hAnsi="Times New Roman"/>
        </w:rPr>
        <w:t xml:space="preserve">. </w:t>
      </w:r>
      <w:r w:rsidRPr="004E6412">
        <w:rPr>
          <w:rFonts w:ascii="Times New Roman" w:hAnsi="Times New Roman"/>
        </w:rPr>
        <w:t>Dakle, veći broj djelatnosti</w:t>
      </w:r>
      <w:r w:rsidR="00306319" w:rsidRPr="004E6412">
        <w:rPr>
          <w:rFonts w:ascii="Times New Roman" w:hAnsi="Times New Roman"/>
        </w:rPr>
        <w:t xml:space="preserve"> smanjio </w:t>
      </w:r>
      <w:r w:rsidRPr="004E6412">
        <w:rPr>
          <w:rFonts w:ascii="Times New Roman" w:hAnsi="Times New Roman"/>
        </w:rPr>
        <w:t xml:space="preserve">je </w:t>
      </w:r>
      <w:r w:rsidR="00306319" w:rsidRPr="004E6412">
        <w:rPr>
          <w:rFonts w:ascii="Times New Roman" w:hAnsi="Times New Roman"/>
        </w:rPr>
        <w:t xml:space="preserve">broj zaposlenih od broja djelatnosti koje su povećale proizvodnost rada, kao što je i veći broj djelatnosti smanjio kapitalnu imovinu od broja djelatnosti koje su povećale produktivnost kapitala. Ranije je također istaknuto kako su ukupan broj zaposlenih i ukupna </w:t>
      </w:r>
      <w:r w:rsidR="004823E2" w:rsidRPr="004E6412">
        <w:rPr>
          <w:rFonts w:ascii="Times New Roman" w:hAnsi="Times New Roman"/>
        </w:rPr>
        <w:t>vrijednost</w:t>
      </w:r>
      <w:r w:rsidR="00306319" w:rsidRPr="004E6412">
        <w:rPr>
          <w:rFonts w:ascii="Times New Roman" w:hAnsi="Times New Roman"/>
        </w:rPr>
        <w:t xml:space="preserve"> kapital</w:t>
      </w:r>
      <w:r w:rsidRPr="004E6412">
        <w:rPr>
          <w:rFonts w:ascii="Times New Roman" w:hAnsi="Times New Roman"/>
        </w:rPr>
        <w:t>a smanjeni u promatranom razdoblju</w:t>
      </w:r>
      <w:r w:rsidR="00306319" w:rsidRPr="004E6412">
        <w:rPr>
          <w:rFonts w:ascii="Times New Roman" w:hAnsi="Times New Roman"/>
        </w:rPr>
        <w:t>. Drugim riječima, povećanje proizvodnosti rada i kapitala značajnim je dijelom rezultat smanjenja imovine i broja zaposlenih.</w:t>
      </w:r>
    </w:p>
    <w:p w:rsidR="001B41B0" w:rsidRPr="004E6412" w:rsidRDefault="001B41B0" w:rsidP="001B41B0"/>
    <w:p w:rsidR="00AE6668" w:rsidRPr="007D0CFD" w:rsidRDefault="001B41B0" w:rsidP="007D0CFD">
      <w:pPr>
        <w:pStyle w:val="Heading5"/>
        <w:rPr>
          <w:rStyle w:val="IntenseEmphasis"/>
          <w:b/>
          <w:bCs w:val="0"/>
          <w:iCs w:val="0"/>
          <w:color w:val="548DD4" w:themeColor="text2" w:themeTint="99"/>
          <w:sz w:val="20"/>
        </w:rPr>
      </w:pPr>
      <w:bookmarkStart w:id="276" w:name="_Toc372088116"/>
      <w:bookmarkStart w:id="277" w:name="_Toc377551058"/>
      <w:bookmarkStart w:id="278" w:name="_Toc377635247"/>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46</w:t>
      </w:r>
      <w:r w:rsidRPr="007D0CFD">
        <w:rPr>
          <w:rStyle w:val="IntenseEmphasis"/>
          <w:b/>
          <w:bCs w:val="0"/>
          <w:iCs w:val="0"/>
          <w:color w:val="548DD4" w:themeColor="text2" w:themeTint="99"/>
          <w:sz w:val="20"/>
        </w:rPr>
        <w:t>. Proizvodnost rada i kapitala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76"/>
      <w:bookmarkEnd w:id="277"/>
      <w:bookmarkEnd w:id="278"/>
      <w:r w:rsidRPr="007D0CFD">
        <w:rPr>
          <w:rStyle w:val="IntenseEmphasis"/>
          <w:b/>
          <w:bCs w:val="0"/>
          <w:iCs w:val="0"/>
          <w:color w:val="548DD4" w:themeColor="text2" w:themeTint="99"/>
          <w:sz w:val="20"/>
        </w:rPr>
        <w:t xml:space="preserve"> </w:t>
      </w:r>
    </w:p>
    <w:tbl>
      <w:tblPr>
        <w:tblW w:w="5000" w:type="pct"/>
        <w:tblLook w:val="04A0" w:firstRow="1" w:lastRow="0" w:firstColumn="1" w:lastColumn="0" w:noHBand="0" w:noVBand="1"/>
      </w:tblPr>
      <w:tblGrid>
        <w:gridCol w:w="924"/>
        <w:gridCol w:w="1056"/>
        <w:gridCol w:w="1056"/>
        <w:gridCol w:w="954"/>
        <w:gridCol w:w="892"/>
        <w:gridCol w:w="222"/>
        <w:gridCol w:w="925"/>
        <w:gridCol w:w="685"/>
        <w:gridCol w:w="839"/>
        <w:gridCol w:w="841"/>
        <w:gridCol w:w="892"/>
      </w:tblGrid>
      <w:tr w:rsidR="002A02A6" w:rsidRPr="004E6412" w:rsidTr="00035B9A">
        <w:trPr>
          <w:trHeight w:val="315"/>
        </w:trPr>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651"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rada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274"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kapitala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r>
      <w:tr w:rsidR="002A02A6" w:rsidRPr="004E6412" w:rsidTr="00035B9A">
        <w:trPr>
          <w:trHeight w:val="315"/>
        </w:trPr>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514"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3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452"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453"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143.916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AF4CFD">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158.384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146.632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325.475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344.972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348.587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1.121.368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1.032.475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967.027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-13,76%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90.682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97.090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92.519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73.781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80.237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74.713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70.848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85.164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63.412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83.884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w:t>
            </w:r>
            <w:r w:rsidR="00AF4CFD" w:rsidRPr="004E6412">
              <w:rPr>
                <w:rFonts w:eastAsia="Times New Roman"/>
                <w:color w:val="000000"/>
                <w:sz w:val="16"/>
                <w:szCs w:val="16"/>
                <w:lang w:eastAsia="hr-HR"/>
              </w:rPr>
              <w:t xml:space="preserve">.827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89.262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122.201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159.810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95.416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161.117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154.426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155.160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690.349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861.268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651.122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156.677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178.431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149.457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502.350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498.809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514.107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-13,23%</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131.192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134.989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137.963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190.870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200.170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201.966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70.191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-85.836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249.287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0,13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266,37%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132.028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138.254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152.537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16"/>
                <w:szCs w:val="16"/>
              </w:rPr>
            </w:pPr>
            <w:r w:rsidRPr="004E6412">
              <w:rPr>
                <w:color w:val="000000"/>
                <w:sz w:val="16"/>
                <w:szCs w:val="16"/>
              </w:rPr>
              <w:t>0,68</w:t>
            </w:r>
            <w:r w:rsidR="00AF4CFD" w:rsidRPr="004E6412">
              <w:rPr>
                <w:color w:val="000000"/>
                <w:sz w:val="16"/>
                <w:szCs w:val="16"/>
              </w:rPr>
              <w:t xml:space="preserve">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229.201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215.317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248.281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2,44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2,07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2,35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221.061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243.013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235.826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146.476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162.829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162.927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11,23%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151.102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197.458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164.205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167.887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512.540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477.749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184,57%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3,01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2,52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184,81%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96.163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92.900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89.134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0,44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121.556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129.878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123.827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108.046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209.514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473.392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338,14%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1,24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3,12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6,21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401,11%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172.604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205.282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203.863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0,48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18,14%</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highlight w:val="yellow"/>
        </w:rPr>
      </w:pPr>
    </w:p>
    <w:p w:rsidR="00035B9A" w:rsidRPr="004E6412" w:rsidRDefault="00035B9A" w:rsidP="00B15A78">
      <w:pPr>
        <w:pStyle w:val="ListParagraph"/>
        <w:numPr>
          <w:ilvl w:val="0"/>
          <w:numId w:val="97"/>
        </w:numPr>
        <w:spacing w:after="0"/>
        <w:jc w:val="both"/>
        <w:rPr>
          <w:rFonts w:ascii="Times New Roman" w:hAnsi="Times New Roman"/>
        </w:rPr>
      </w:pPr>
      <w:r w:rsidRPr="004E6412">
        <w:rPr>
          <w:rFonts w:ascii="Times New Roman" w:hAnsi="Times New Roman"/>
        </w:rPr>
        <w:t>Usporedba opremljenosti rada kapitalom i ostvarene bruto dodane vrijednosti po zaposlenome (proizvodnosti rada) za djelatnosti prerađivačke industrije u 2012. pokazuje kako je u gotovo svim djelatnostima primjetna viša razina opremljenosti kapitala radom od ostvarenog prihoda po zaposlenome</w:t>
      </w:r>
      <w:r w:rsidR="00631E84" w:rsidRPr="004E6412">
        <w:rPr>
          <w:rFonts w:ascii="Times New Roman" w:hAnsi="Times New Roman"/>
        </w:rPr>
        <w:t>,</w:t>
      </w:r>
      <w:r w:rsidRPr="004E6412">
        <w:rPr>
          <w:rFonts w:ascii="Times New Roman" w:hAnsi="Times New Roman"/>
        </w:rPr>
        <w:t xml:space="preserve"> što ukazuje na činjenicu da u tim djelatnostima prosječan zaposlenik dugotrajnom materijalnom imovinom koju ima na raspolaganju stvara proporcionalno manje br</w:t>
      </w:r>
      <w:r w:rsidR="001D222B" w:rsidRPr="004E6412">
        <w:rPr>
          <w:rFonts w:ascii="Times New Roman" w:hAnsi="Times New Roman"/>
        </w:rPr>
        <w:t>uto dodane vrijednosti. Iznimka je djelatnost</w:t>
      </w:r>
      <w:r w:rsidRPr="004E6412">
        <w:rPr>
          <w:rFonts w:ascii="Times New Roman" w:hAnsi="Times New Roman"/>
        </w:rPr>
        <w:t xml:space="preserve"> C24 Proizvodnja metala</w:t>
      </w:r>
      <w:r w:rsidR="001D222B" w:rsidRPr="004E6412">
        <w:rPr>
          <w:rFonts w:ascii="Times New Roman" w:hAnsi="Times New Roman"/>
        </w:rPr>
        <w:t xml:space="preserve"> </w:t>
      </w:r>
      <w:r w:rsidRPr="004E6412">
        <w:rPr>
          <w:rFonts w:ascii="Times New Roman" w:hAnsi="Times New Roman"/>
        </w:rPr>
        <w:t>koj</w:t>
      </w:r>
      <w:r w:rsidR="001D222B" w:rsidRPr="004E6412">
        <w:rPr>
          <w:rFonts w:ascii="Times New Roman" w:hAnsi="Times New Roman"/>
        </w:rPr>
        <w:t>a ima</w:t>
      </w:r>
      <w:r w:rsidRPr="004E6412">
        <w:rPr>
          <w:rFonts w:ascii="Times New Roman" w:hAnsi="Times New Roman"/>
        </w:rPr>
        <w:t xml:space="preserve"> visoku proizvodnost rada i kapitala.</w:t>
      </w:r>
    </w:p>
    <w:p w:rsidR="00991BD0" w:rsidRPr="004E6412" w:rsidRDefault="00991BD0" w:rsidP="00991BD0"/>
    <w:p w:rsidR="00991BD0" w:rsidRPr="004E6412" w:rsidRDefault="00991BD0" w:rsidP="00991BD0"/>
    <w:p w:rsidR="00991BD0" w:rsidRPr="004E6412" w:rsidRDefault="00991BD0" w:rsidP="00991BD0"/>
    <w:p w:rsidR="00035B9A" w:rsidRPr="004E6412" w:rsidRDefault="00035B9A" w:rsidP="001B41B0">
      <w:pPr>
        <w:rPr>
          <w:highlight w:val="yellow"/>
        </w:rPr>
      </w:pPr>
    </w:p>
    <w:p w:rsidR="00035B9A" w:rsidRPr="007D0CFD" w:rsidRDefault="00035C7B" w:rsidP="007D0CFD">
      <w:pPr>
        <w:pStyle w:val="Heading5"/>
        <w:rPr>
          <w:rStyle w:val="IntenseEmphasis"/>
          <w:b/>
          <w:bCs w:val="0"/>
          <w:iCs w:val="0"/>
          <w:color w:val="548DD4" w:themeColor="text2" w:themeTint="99"/>
          <w:sz w:val="20"/>
        </w:rPr>
      </w:pPr>
      <w:bookmarkStart w:id="279" w:name="_Toc377551059"/>
      <w:bookmarkStart w:id="280" w:name="_Toc377635248"/>
      <w:r w:rsidRPr="007D0CFD">
        <w:rPr>
          <w:rStyle w:val="IntenseEmphasis"/>
          <w:b/>
          <w:bCs w:val="0"/>
          <w:iCs w:val="0"/>
          <w:color w:val="548DD4" w:themeColor="text2" w:themeTint="99"/>
          <w:sz w:val="20"/>
        </w:rPr>
        <w:lastRenderedPageBreak/>
        <w:t>Tablica 47</w:t>
      </w:r>
      <w:r w:rsidR="00035B9A" w:rsidRPr="007D0CFD">
        <w:rPr>
          <w:rStyle w:val="IntenseEmphasis"/>
          <w:b/>
          <w:bCs w:val="0"/>
          <w:iCs w:val="0"/>
          <w:color w:val="548DD4" w:themeColor="text2" w:themeTint="99"/>
          <w:sz w:val="20"/>
        </w:rPr>
        <w:t>. Opremljenost rada kapitalom</w:t>
      </w:r>
      <w:bookmarkEnd w:id="279"/>
      <w:bookmarkEnd w:id="280"/>
    </w:p>
    <w:tbl>
      <w:tblPr>
        <w:tblW w:w="5000" w:type="pct"/>
        <w:tblLook w:val="04A0" w:firstRow="1" w:lastRow="0" w:firstColumn="1" w:lastColumn="0" w:noHBand="0" w:noVBand="1"/>
      </w:tblPr>
      <w:tblGrid>
        <w:gridCol w:w="2321"/>
        <w:gridCol w:w="2321"/>
        <w:gridCol w:w="2322"/>
        <w:gridCol w:w="2322"/>
      </w:tblGrid>
      <w:tr w:rsidR="00035B9A" w:rsidRPr="004E6412" w:rsidTr="00035B9A">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Opremljenost rada kapitalom</w:t>
            </w:r>
            <w:r w:rsidR="00AF4CFD" w:rsidRPr="004E6412">
              <w:rPr>
                <w:rFonts w:eastAsia="Times New Roman"/>
                <w:b/>
                <w:bCs/>
                <w:color w:val="000000"/>
                <w:sz w:val="20"/>
                <w:szCs w:val="20"/>
                <w:lang w:eastAsia="hr-HR"/>
              </w:rPr>
              <w:t xml:space="preserve"> (HRK)</w:t>
            </w:r>
          </w:p>
        </w:tc>
      </w:tr>
      <w:tr w:rsidR="00035B9A" w:rsidRPr="004E6412" w:rsidTr="00035B9A">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035B9A" w:rsidRPr="004E6412" w:rsidRDefault="00035B9A" w:rsidP="00035B9A">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372.892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403.285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409.944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671.862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735.687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734.702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1.340.832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1.453.929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1.298.875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255.908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167.734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176.022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148.103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170.815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170.612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115.034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103.569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72.808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126.968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121.212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123.921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412.239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366.417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271.955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164.421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181.207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163.601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3.692.508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4.505.979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5.149.824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620.210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628.898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400.062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638.293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713.340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797.822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199.389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164.896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168.569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687.230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687.205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697.050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28.350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-67.471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128.841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168.041</w:t>
            </w:r>
            <w:r w:rsidR="00AF4CFD" w:rsidRPr="004E6412">
              <w:rPr>
                <w:color w:val="000000"/>
                <w:sz w:val="20"/>
                <w:szCs w:val="20"/>
              </w:rPr>
              <w:t xml:space="preserve">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188.976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200.915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480.295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467.582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427.716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288.137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270.606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279.636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197.921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203.129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193.240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477.449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508.779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538.686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-245.055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-213.501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70.194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216.129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209.485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171.450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183.808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197.703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190.999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-98.022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-121.844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51.482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20"/>
                <w:szCs w:val="20"/>
              </w:rPr>
            </w:pPr>
            <w:r w:rsidRPr="004E6412">
              <w:rPr>
                <w:b/>
                <w:bCs/>
                <w:color w:val="000000"/>
                <w:sz w:val="20"/>
                <w:szCs w:val="20"/>
              </w:rPr>
              <w:t xml:space="preserve">363.263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364.796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363.171 </w:t>
            </w:r>
          </w:p>
        </w:tc>
      </w:tr>
    </w:tbl>
    <w:p w:rsidR="00035B9A" w:rsidRPr="004E6412" w:rsidRDefault="00631E84" w:rsidP="001B41B0">
      <w:pPr>
        <w:rPr>
          <w:sz w:val="22"/>
        </w:rPr>
      </w:pPr>
      <w:r w:rsidRPr="004E6412">
        <w:rPr>
          <w:sz w:val="20"/>
          <w:szCs w:val="20"/>
        </w:rPr>
        <w:t>Izvor: I</w:t>
      </w:r>
      <w:r w:rsidR="00035B9A" w:rsidRPr="004E6412">
        <w:rPr>
          <w:sz w:val="20"/>
          <w:szCs w:val="20"/>
        </w:rPr>
        <w:t>zrada autora.</w:t>
      </w:r>
    </w:p>
    <w:p w:rsidR="00035B9A" w:rsidRPr="004E6412" w:rsidRDefault="00035B9A" w:rsidP="001B41B0">
      <w:pPr>
        <w:rPr>
          <w:sz w:val="22"/>
        </w:rPr>
      </w:pPr>
    </w:p>
    <w:p w:rsidR="001B41B0" w:rsidRPr="004E6412" w:rsidRDefault="001B41B0" w:rsidP="001B41B0">
      <w:pPr>
        <w:rPr>
          <w:sz w:val="22"/>
          <w:highlight w:val="yellow"/>
        </w:rPr>
      </w:pPr>
    </w:p>
    <w:p w:rsidR="00817908" w:rsidRPr="004E6412" w:rsidRDefault="001B41B0" w:rsidP="00B15A78">
      <w:pPr>
        <w:pStyle w:val="ListParagraph"/>
        <w:numPr>
          <w:ilvl w:val="0"/>
          <w:numId w:val="98"/>
        </w:numPr>
        <w:spacing w:after="0"/>
        <w:jc w:val="both"/>
        <w:rPr>
          <w:rFonts w:ascii="Times New Roman" w:hAnsi="Times New Roman"/>
        </w:rPr>
      </w:pPr>
      <w:r w:rsidRPr="004E6412">
        <w:rPr>
          <w:rFonts w:ascii="Times New Roman" w:hAnsi="Times New Roman"/>
        </w:rPr>
        <w:t>Prosječni jedinični trošak rada cjelokupne prerađivačke industrije</w:t>
      </w:r>
      <w:r w:rsidR="000D0840" w:rsidRPr="004E6412">
        <w:rPr>
          <w:rFonts w:ascii="Times New Roman" w:hAnsi="Times New Roman"/>
        </w:rPr>
        <w:t xml:space="preserve"> </w:t>
      </w:r>
      <w:r w:rsidR="00631E84" w:rsidRPr="004E6412">
        <w:rPr>
          <w:rFonts w:ascii="Times New Roman" w:hAnsi="Times New Roman"/>
        </w:rPr>
        <w:t>u 2012. iznosi 0,45 kuna</w:t>
      </w:r>
      <w:r w:rsidRPr="004E6412">
        <w:rPr>
          <w:rFonts w:ascii="Times New Roman" w:hAnsi="Times New Roman"/>
        </w:rPr>
        <w:t>, odnosno 45% ostvarene bruto dodane vrijednosti. To predstavlja smanjen</w:t>
      </w:r>
      <w:r w:rsidR="00631E84" w:rsidRPr="004E6412">
        <w:rPr>
          <w:rFonts w:ascii="Times New Roman" w:hAnsi="Times New Roman"/>
        </w:rPr>
        <w:t>je u odnosu na 2010. za 0,70 kuna</w:t>
      </w:r>
      <w:r w:rsidRPr="004E6412">
        <w:rPr>
          <w:rFonts w:ascii="Times New Roman" w:hAnsi="Times New Roman"/>
        </w:rPr>
        <w:t>. Većina djelatnosti (njih 18 od 24) ima jedinični trošak rada jednak ili veći od prosjeka industrije.</w:t>
      </w:r>
    </w:p>
    <w:p w:rsidR="006978B9" w:rsidRPr="004E6412" w:rsidRDefault="006978B9" w:rsidP="006978B9"/>
    <w:p w:rsidR="001B41B0" w:rsidRPr="007D0CFD" w:rsidRDefault="001B41B0" w:rsidP="007D0CFD">
      <w:pPr>
        <w:pStyle w:val="Heading5"/>
        <w:rPr>
          <w:rStyle w:val="IntenseEmphasis"/>
          <w:b/>
          <w:bCs w:val="0"/>
          <w:iCs w:val="0"/>
          <w:color w:val="548DD4" w:themeColor="text2" w:themeTint="99"/>
          <w:sz w:val="20"/>
        </w:rPr>
      </w:pPr>
      <w:bookmarkStart w:id="281" w:name="_Toc372088118"/>
      <w:bookmarkStart w:id="282" w:name="_Toc377551060"/>
      <w:bookmarkStart w:id="283" w:name="_Toc37763524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48</w:t>
      </w:r>
      <w:r w:rsidRPr="007D0CFD">
        <w:rPr>
          <w:rStyle w:val="IntenseEmphasis"/>
          <w:b/>
          <w:bCs w:val="0"/>
          <w:iCs w:val="0"/>
          <w:color w:val="548DD4" w:themeColor="text2" w:themeTint="99"/>
          <w:sz w:val="20"/>
        </w:rPr>
        <w:t>. Jedinični trošak rada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1"/>
      <w:bookmarkEnd w:id="282"/>
      <w:bookmarkEnd w:id="283"/>
      <w:r w:rsidRPr="007D0CFD">
        <w:rPr>
          <w:rStyle w:val="IntenseEmphasis"/>
          <w:b/>
          <w:bCs w:val="0"/>
          <w:iCs w:val="0"/>
          <w:color w:val="548DD4" w:themeColor="text2" w:themeTint="99"/>
          <w:sz w:val="20"/>
        </w:rPr>
        <w:t xml:space="preserve"> </w:t>
      </w:r>
    </w:p>
    <w:tbl>
      <w:tblPr>
        <w:tblW w:w="5000" w:type="pct"/>
        <w:tblCellMar>
          <w:left w:w="85" w:type="dxa"/>
          <w:right w:w="85" w:type="dxa"/>
        </w:tblCellMar>
        <w:tblLook w:val="04A0" w:firstRow="1" w:lastRow="0" w:firstColumn="1" w:lastColumn="0" w:noHBand="0" w:noVBand="1"/>
      </w:tblPr>
      <w:tblGrid>
        <w:gridCol w:w="2310"/>
        <w:gridCol w:w="2310"/>
        <w:gridCol w:w="2310"/>
        <w:gridCol w:w="2310"/>
      </w:tblGrid>
      <w:tr w:rsidR="001B41B0" w:rsidRPr="004E6412" w:rsidTr="00985C31">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BFBFBF"/>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Jedinični trošak rada (HRK)</w:t>
            </w:r>
          </w:p>
        </w:tc>
      </w:tr>
      <w:tr w:rsidR="001B41B0" w:rsidRPr="004E6412" w:rsidTr="00985C31">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1B41B0" w:rsidRPr="004E6412" w:rsidRDefault="001B41B0" w:rsidP="001B41B0">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lastRenderedPageBreak/>
              <w:t>C18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r>
      <w:tr w:rsidR="001B41B0" w:rsidRPr="004E6412" w:rsidTr="00985C31">
        <w:trPr>
          <w:trHeight w:val="600"/>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0,45</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3E3F44" w:rsidRPr="004E6412" w:rsidRDefault="006978B9" w:rsidP="00B15A78">
      <w:pPr>
        <w:pStyle w:val="ListParagraph"/>
        <w:numPr>
          <w:ilvl w:val="0"/>
          <w:numId w:val="98"/>
        </w:numPr>
        <w:spacing w:after="0"/>
        <w:jc w:val="both"/>
      </w:pPr>
      <w:r w:rsidRPr="004E6412">
        <w:rPr>
          <w:rFonts w:ascii="Times New Roman" w:hAnsi="Times New Roman"/>
        </w:rPr>
        <w:t>Potrebno je napomenuti da u odnosu na sve ostale troškove, troškovi rada u prerađiv</w:t>
      </w:r>
      <w:r w:rsidR="00631E84" w:rsidRPr="004E6412">
        <w:rPr>
          <w:rFonts w:ascii="Times New Roman" w:hAnsi="Times New Roman"/>
        </w:rPr>
        <w:t>ačkoj industriji nisu prevladavajući</w:t>
      </w:r>
      <w:r w:rsidRPr="004E6412">
        <w:rPr>
          <w:rFonts w:ascii="Times New Roman" w:hAnsi="Times New Roman"/>
        </w:rPr>
        <w:t xml:space="preserve"> čimbenik u proizvodnji pa se ne može tvrditi da troškovi rada i višak zaposlenih opterećuju proizvodnju. </w:t>
      </w:r>
    </w:p>
    <w:p w:rsidR="00472508" w:rsidRPr="004E6412" w:rsidRDefault="00472508" w:rsidP="00472508">
      <w:pPr>
        <w:pStyle w:val="ListParagraph"/>
        <w:spacing w:after="0"/>
        <w:jc w:val="both"/>
        <w:rPr>
          <w:rFonts w:ascii="Times New Roman" w:hAnsi="Times New Roman"/>
        </w:rPr>
      </w:pPr>
    </w:p>
    <w:p w:rsidR="00472508" w:rsidRPr="004E6412" w:rsidRDefault="00472508" w:rsidP="00472508">
      <w:pPr>
        <w:pStyle w:val="ListParagraph"/>
        <w:spacing w:after="0"/>
        <w:ind w:left="0"/>
        <w:jc w:val="both"/>
        <w:rPr>
          <w:rFonts w:ascii="Times New Roman" w:hAnsi="Times New Roman"/>
        </w:rPr>
      </w:pPr>
    </w:p>
    <w:p w:rsidR="00472508" w:rsidRPr="004E6412" w:rsidRDefault="00472508" w:rsidP="00472508">
      <w:pPr>
        <w:pStyle w:val="ListParagraph"/>
        <w:spacing w:after="0"/>
        <w:jc w:val="both"/>
      </w:pPr>
    </w:p>
    <w:p w:rsidR="001B41B0" w:rsidRPr="004E6412" w:rsidRDefault="001B41B0" w:rsidP="00F65AE4">
      <w:pPr>
        <w:pStyle w:val="Heading3"/>
      </w:pPr>
      <w:bookmarkStart w:id="284" w:name="_Toc372087966"/>
      <w:bookmarkStart w:id="285" w:name="_Toc378069028"/>
      <w:r w:rsidRPr="004E6412">
        <w:t>Analiza likvidnosti prerađivačke industrije 2010.</w:t>
      </w:r>
      <w:r w:rsidR="007D3D5D" w:rsidRPr="004E6412">
        <w:t xml:space="preserve"> – </w:t>
      </w:r>
      <w:r w:rsidRPr="004E6412">
        <w:t>2012.</w:t>
      </w:r>
      <w:bookmarkEnd w:id="284"/>
      <w:bookmarkEnd w:id="285"/>
      <w:r w:rsidRPr="004E6412">
        <w:t xml:space="preserve"> </w:t>
      </w:r>
    </w:p>
    <w:p w:rsidR="003E3F44" w:rsidRPr="004E6412" w:rsidRDefault="003E3F44" w:rsidP="003E3F44"/>
    <w:p w:rsidR="001B41B0" w:rsidRPr="004E6412" w:rsidRDefault="00334152" w:rsidP="00B15A78">
      <w:pPr>
        <w:pStyle w:val="ListParagraph"/>
        <w:numPr>
          <w:ilvl w:val="0"/>
          <w:numId w:val="99"/>
        </w:numPr>
        <w:spacing w:after="0"/>
        <w:jc w:val="both"/>
        <w:rPr>
          <w:rFonts w:ascii="Times New Roman" w:hAnsi="Times New Roman"/>
        </w:rPr>
      </w:pPr>
      <w:r w:rsidRPr="004E6412">
        <w:rPr>
          <w:rFonts w:ascii="Times New Roman" w:hAnsi="Times New Roman"/>
        </w:rPr>
        <w:t>U nastavku je prikazan izabrani pokazatelj koeficijenta tekuće likvidnosti</w:t>
      </w:r>
      <w:r w:rsidR="001B41B0" w:rsidRPr="004E6412">
        <w:rPr>
          <w:rFonts w:ascii="Times New Roman" w:hAnsi="Times New Roman"/>
        </w:rPr>
        <w:t xml:space="preserve"> po djelatnostima za razdoblje 2010.</w:t>
      </w:r>
      <w:r w:rsidR="007D3D5D" w:rsidRPr="004E6412">
        <w:rPr>
          <w:rFonts w:ascii="Times New Roman" w:hAnsi="Times New Roman"/>
        </w:rPr>
        <w:t xml:space="preserve"> – </w:t>
      </w:r>
      <w:r w:rsidR="001B41B0" w:rsidRPr="004E6412">
        <w:rPr>
          <w:rFonts w:ascii="Times New Roman" w:hAnsi="Times New Roman"/>
        </w:rPr>
        <w:t>2012.</w:t>
      </w:r>
      <w:r w:rsidR="00E92B16" w:rsidRPr="004E6412">
        <w:rPr>
          <w:rFonts w:ascii="Times New Roman" w:hAnsi="Times New Roman"/>
        </w:rPr>
        <w:t xml:space="preserve"> godine.</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 xml:space="preserve">Koeficijent tekuće likvidnosti temeljni je pokazatelj likvidnosti zbog toga što u odnos stavlja kratkotrajnu imovinu i kratkoročne obveze, odnosno pokazuje jesu li kratkoročne obveze pokrivene likvidnom imovinom i koliko puta je likvidna imovina veća od kratkoročnih obveza (ili manja). </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Koeficijent tekuće likvidnosti prerađivačke industrije u svim promatranim godinama bio je gotovo jednak, i iznosi 1,12. To znači da je kratkotrajna imovina veća od kratkoročnih obveza industrije, što se može smatrati relativno dobrim pokazateljem. U 2012. najveći koeficijent tekuće likvidnosti ostvaruju djelatnosti C21 Proizvodnja osnovnih farmaceutskih proizvoda i farmaceutskih pripravaka (2,48) i C12 Proizvodnja duhanskih proizvoda (2,35), dok se problemi platežne sposobnosti mogu javiti u djelatnostima C11 Proizvodnja pića, C14 Proizvodnja odjeće, C19 Proizvodnja koksa i rafiniranih naftnih proizvoda, C20 Proizvodnja kemikalija i kemijskih proizvoda, C24 Proizvodnja metala, C29 Proizvodnja motornih voz</w:t>
      </w:r>
      <w:r w:rsidR="001D222B" w:rsidRPr="004E6412">
        <w:rPr>
          <w:rFonts w:ascii="Times New Roman" w:hAnsi="Times New Roman"/>
        </w:rPr>
        <w:t xml:space="preserve">ila, prikolica i poluprikolica </w:t>
      </w:r>
      <w:r w:rsidRPr="004E6412">
        <w:rPr>
          <w:rFonts w:ascii="Times New Roman" w:hAnsi="Times New Roman"/>
        </w:rPr>
        <w:t xml:space="preserve">i </w:t>
      </w:r>
      <w:r w:rsidR="007D3D5D" w:rsidRPr="004E6412">
        <w:rPr>
          <w:rFonts w:ascii="Times New Roman" w:hAnsi="Times New Roman"/>
        </w:rPr>
        <w:t xml:space="preserve">C31 Proizvodnja namještaja, kojima je </w:t>
      </w:r>
      <w:r w:rsidRPr="004E6412">
        <w:rPr>
          <w:rFonts w:ascii="Times New Roman" w:hAnsi="Times New Roman"/>
        </w:rPr>
        <w:t xml:space="preserve">promatrani koeficijent manji </w:t>
      </w:r>
      <w:r w:rsidR="007D3D5D" w:rsidRPr="004E6412">
        <w:rPr>
          <w:rFonts w:ascii="Times New Roman" w:hAnsi="Times New Roman"/>
        </w:rPr>
        <w:lastRenderedPageBreak/>
        <w:t>od 1 (dakle</w:t>
      </w:r>
      <w:r w:rsidRPr="004E6412">
        <w:rPr>
          <w:rFonts w:ascii="Times New Roman" w:hAnsi="Times New Roman"/>
        </w:rPr>
        <w:t xml:space="preserve"> kratkotrajna imovina ne može pokriti vrijednost kratkoročnih obveza). Najveće poboljšanje koe</w:t>
      </w:r>
      <w:r w:rsidR="007D3D5D" w:rsidRPr="004E6412">
        <w:rPr>
          <w:rFonts w:ascii="Times New Roman" w:hAnsi="Times New Roman"/>
        </w:rPr>
        <w:t xml:space="preserve">ficijenta tekuće likvidnosti </w:t>
      </w:r>
      <w:r w:rsidRPr="004E6412">
        <w:rPr>
          <w:rFonts w:ascii="Times New Roman" w:hAnsi="Times New Roman"/>
        </w:rPr>
        <w:t xml:space="preserve">zamjetno </w:t>
      </w:r>
      <w:r w:rsidR="007D3D5D" w:rsidRPr="004E6412">
        <w:rPr>
          <w:rFonts w:ascii="Times New Roman" w:hAnsi="Times New Roman"/>
        </w:rPr>
        <w:t xml:space="preserve">je </w:t>
      </w:r>
      <w:r w:rsidRPr="004E6412">
        <w:rPr>
          <w:rFonts w:ascii="Times New Roman" w:hAnsi="Times New Roman"/>
        </w:rPr>
        <w:t>kod djelatnosti</w:t>
      </w:r>
      <w:r w:rsidR="00550287" w:rsidRPr="004E6412">
        <w:rPr>
          <w:rFonts w:ascii="Times New Roman" w:hAnsi="Times New Roman"/>
        </w:rPr>
        <w:t xml:space="preserve"> </w:t>
      </w:r>
      <w:r w:rsidRPr="004E6412">
        <w:rPr>
          <w:rFonts w:ascii="Times New Roman" w:hAnsi="Times New Roman"/>
        </w:rPr>
        <w:t>C</w:t>
      </w:r>
      <w:r w:rsidR="001D222B" w:rsidRPr="004E6412">
        <w:rPr>
          <w:rFonts w:ascii="Times New Roman" w:hAnsi="Times New Roman"/>
        </w:rPr>
        <w:t>15 Proizvodnja kože i srodnih proizvoda</w:t>
      </w:r>
      <w:r w:rsidRPr="004E6412">
        <w:rPr>
          <w:rFonts w:ascii="Times New Roman" w:hAnsi="Times New Roman"/>
        </w:rPr>
        <w:t xml:space="preserve">, kojoj je promatrani koeficijent porastao s </w:t>
      </w:r>
      <w:r w:rsidR="001D222B" w:rsidRPr="004E6412">
        <w:rPr>
          <w:rFonts w:ascii="Times New Roman" w:hAnsi="Times New Roman"/>
        </w:rPr>
        <w:t>1,45</w:t>
      </w:r>
      <w:r w:rsidRPr="004E6412">
        <w:rPr>
          <w:rFonts w:ascii="Times New Roman" w:hAnsi="Times New Roman"/>
        </w:rPr>
        <w:t xml:space="preserve"> u 2010. na </w:t>
      </w:r>
      <w:r w:rsidR="001D222B" w:rsidRPr="004E6412">
        <w:rPr>
          <w:rFonts w:ascii="Times New Roman" w:hAnsi="Times New Roman"/>
        </w:rPr>
        <w:t>1,79</w:t>
      </w:r>
      <w:r w:rsidRPr="004E6412">
        <w:rPr>
          <w:rFonts w:ascii="Times New Roman" w:hAnsi="Times New Roman"/>
        </w:rPr>
        <w:t xml:space="preserve"> u 2012</w:t>
      </w:r>
      <w:r w:rsidR="007D3D5D" w:rsidRPr="004E6412">
        <w:rPr>
          <w:rFonts w:ascii="Times New Roman" w:hAnsi="Times New Roman"/>
        </w:rPr>
        <w:t>.</w:t>
      </w:r>
      <w:r w:rsidR="001D222B" w:rsidRPr="004E6412">
        <w:rPr>
          <w:rFonts w:ascii="Times New Roman" w:hAnsi="Times New Roman"/>
        </w:rPr>
        <w:t xml:space="preserve"> (+23,45%).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86" w:name="_Toc372088119"/>
      <w:bookmarkStart w:id="287" w:name="_Toc377551061"/>
      <w:bookmarkStart w:id="288" w:name="_Toc377635250"/>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4</w:t>
      </w:r>
      <w:r w:rsidR="00035C7B"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Koeficijent tekuće likvidnosti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6"/>
      <w:bookmarkEnd w:id="287"/>
      <w:bookmarkEnd w:id="28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32"/>
        <w:gridCol w:w="2232"/>
        <w:gridCol w:w="2230"/>
      </w:tblGrid>
      <w:tr w:rsidR="001B41B0" w:rsidRPr="004E6412" w:rsidTr="001B41B0">
        <w:trPr>
          <w:trHeight w:val="20"/>
        </w:trPr>
        <w:tc>
          <w:tcPr>
            <w:tcW w:w="1395"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605"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tekuće likvidnosti</w:t>
            </w:r>
          </w:p>
        </w:tc>
      </w:tr>
      <w:tr w:rsidR="001B41B0" w:rsidRPr="004E6412" w:rsidTr="001B41B0">
        <w:trPr>
          <w:trHeight w:val="20"/>
        </w:trPr>
        <w:tc>
          <w:tcPr>
            <w:tcW w:w="1395" w:type="pct"/>
            <w:vMerge/>
            <w:shd w:val="pct15" w:color="auto" w:fill="auto"/>
            <w:noWrap/>
            <w:vAlign w:val="bottom"/>
          </w:tcPr>
          <w:p w:rsidR="001B41B0" w:rsidRPr="004E6412" w:rsidRDefault="001B41B0" w:rsidP="001B41B0">
            <w:pPr>
              <w:spacing w:line="240" w:lineRule="auto"/>
              <w:rPr>
                <w:rFonts w:eastAsia="Times New Roman"/>
                <w:b/>
                <w:bCs/>
                <w:sz w:val="20"/>
                <w:szCs w:val="20"/>
                <w:lang w:eastAsia="hr-HR"/>
              </w:rPr>
            </w:pP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0,84</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1,13</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B652DF" w:rsidRPr="004E6412" w:rsidRDefault="00B652DF" w:rsidP="001B41B0"/>
    <w:p w:rsidR="00E20B03" w:rsidRPr="004E6412" w:rsidRDefault="00E20B03" w:rsidP="001B41B0"/>
    <w:p w:rsidR="001B41B0" w:rsidRPr="004E6412" w:rsidRDefault="001B41B0" w:rsidP="00F65AE4">
      <w:pPr>
        <w:pStyle w:val="Heading3"/>
      </w:pPr>
      <w:bookmarkStart w:id="289" w:name="_Toc372087967"/>
      <w:bookmarkStart w:id="290" w:name="_Toc378069029"/>
      <w:r w:rsidRPr="004E6412">
        <w:t>Analiza zaduženosti prerađivačke industrije 2010.</w:t>
      </w:r>
      <w:r w:rsidR="007D3D5D" w:rsidRPr="004E6412">
        <w:t xml:space="preserve"> – </w:t>
      </w:r>
      <w:r w:rsidRPr="004E6412">
        <w:t>2012.</w:t>
      </w:r>
      <w:bookmarkEnd w:id="289"/>
      <w:r w:rsidR="00E92B16" w:rsidRPr="004E6412">
        <w:t xml:space="preserve"> godine</w:t>
      </w:r>
      <w:bookmarkEnd w:id="290"/>
      <w:r w:rsidRPr="004E6412">
        <w:t xml:space="preserve"> </w:t>
      </w:r>
    </w:p>
    <w:p w:rsidR="00D001B9" w:rsidRPr="004E6412" w:rsidRDefault="00D001B9" w:rsidP="00D001B9"/>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Koeficijent zaduženosti prerađivačke industrije u promatranom razdoblju varira, no sveukupno se u 2012. sman</w:t>
      </w:r>
      <w:r w:rsidR="00E92B16" w:rsidRPr="004E6412">
        <w:rPr>
          <w:rFonts w:ascii="Times New Roman" w:hAnsi="Times New Roman"/>
        </w:rPr>
        <w:t>jio u odnosu na</w:t>
      </w:r>
      <w:r w:rsidRPr="004E6412">
        <w:rPr>
          <w:rFonts w:ascii="Times New Roman" w:hAnsi="Times New Roman"/>
        </w:rPr>
        <w:t xml:space="preserve"> 2010.</w:t>
      </w:r>
      <w:r w:rsidR="00E92B16" w:rsidRPr="004E6412">
        <w:rPr>
          <w:rFonts w:ascii="Times New Roman" w:hAnsi="Times New Roman"/>
        </w:rPr>
        <w:t xml:space="preserve"> godinu</w:t>
      </w:r>
      <w:r w:rsidR="007D3D5D" w:rsidRPr="004E6412">
        <w:rPr>
          <w:rFonts w:ascii="Times New Roman" w:hAnsi="Times New Roman"/>
        </w:rPr>
        <w:t>.</w:t>
      </w:r>
      <w:r w:rsidRPr="004E6412">
        <w:rPr>
          <w:rFonts w:ascii="Times New Roman" w:hAnsi="Times New Roman"/>
        </w:rPr>
        <w:t xml:space="preserve"> To ukazuje na porast stabilnosti i sigurnosti financiranja poslovanja poduzeća prerađivačke industrije.</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Većina djelatnost</w:t>
      </w:r>
      <w:r w:rsidR="00334152" w:rsidRPr="004E6412">
        <w:rPr>
          <w:rFonts w:ascii="Times New Roman" w:hAnsi="Times New Roman"/>
        </w:rPr>
        <w:t>i</w:t>
      </w:r>
      <w:r w:rsidRPr="004E6412">
        <w:rPr>
          <w:rFonts w:ascii="Times New Roman" w:hAnsi="Times New Roman"/>
        </w:rPr>
        <w:t xml:space="preserve"> (17 od ukupno 24) u 2012. ima koeficijent zaduženosti veći od prosjeka industrije</w:t>
      </w:r>
      <w:r w:rsidR="00334152" w:rsidRPr="004E6412">
        <w:rPr>
          <w:rFonts w:ascii="Times New Roman" w:hAnsi="Times New Roman"/>
        </w:rPr>
        <w:t>, a</w:t>
      </w:r>
      <w:r w:rsidR="007D3D5D" w:rsidRPr="004E6412">
        <w:rPr>
          <w:rFonts w:ascii="Times New Roman" w:hAnsi="Times New Roman"/>
        </w:rPr>
        <w:t xml:space="preserve"> među njima se najviše ističe</w:t>
      </w:r>
      <w:r w:rsidRPr="004E6412">
        <w:rPr>
          <w:rFonts w:ascii="Times New Roman" w:hAnsi="Times New Roman"/>
        </w:rPr>
        <w:t xml:space="preserve"> C24 Proizvodnja metala (0,83</w:t>
      </w:r>
      <w:r w:rsidR="00334152" w:rsidRPr="004E6412">
        <w:rPr>
          <w:rFonts w:ascii="Times New Roman" w:hAnsi="Times New Roman"/>
        </w:rPr>
        <w:t xml:space="preserve">) </w:t>
      </w:r>
      <w:r w:rsidRPr="004E6412">
        <w:rPr>
          <w:rFonts w:ascii="Times New Roman" w:hAnsi="Times New Roman"/>
        </w:rPr>
        <w:t>koj</w:t>
      </w:r>
      <w:r w:rsidR="00334152" w:rsidRPr="004E6412">
        <w:rPr>
          <w:rFonts w:ascii="Times New Roman" w:hAnsi="Times New Roman"/>
        </w:rPr>
        <w:t>a</w:t>
      </w:r>
      <w:r w:rsidRPr="004E6412">
        <w:rPr>
          <w:rFonts w:ascii="Times New Roman" w:hAnsi="Times New Roman"/>
        </w:rPr>
        <w:t xml:space="preserve"> preko 80% svojih aktivnosti financ</w:t>
      </w:r>
      <w:r w:rsidR="007D3D5D" w:rsidRPr="004E6412">
        <w:rPr>
          <w:rFonts w:ascii="Times New Roman" w:hAnsi="Times New Roman"/>
        </w:rPr>
        <w:t>ira</w:t>
      </w:r>
      <w:r w:rsidRPr="004E6412">
        <w:rPr>
          <w:rFonts w:ascii="Times New Roman" w:hAnsi="Times New Roman"/>
        </w:rPr>
        <w:t xml:space="preserve"> tuđim sredstvima. Ipak, to predstavlja značajan pomak u odnosu na prethodne godine kada je zaduženost (iskazana ovim pokazateljem) bila preko 100%. Kako u 2012. ov</w:t>
      </w:r>
      <w:r w:rsidR="00334152" w:rsidRPr="004E6412">
        <w:rPr>
          <w:rFonts w:ascii="Times New Roman" w:hAnsi="Times New Roman"/>
        </w:rPr>
        <w:t>a djelatnost pokazuje</w:t>
      </w:r>
      <w:r w:rsidRPr="004E6412">
        <w:rPr>
          <w:rFonts w:ascii="Times New Roman" w:hAnsi="Times New Roman"/>
        </w:rPr>
        <w:t xml:space="preserve"> izuzetno profitabilno poslovan</w:t>
      </w:r>
      <w:r w:rsidR="00334152" w:rsidRPr="004E6412">
        <w:rPr>
          <w:rFonts w:ascii="Times New Roman" w:hAnsi="Times New Roman"/>
        </w:rPr>
        <w:t>je (C24: ROA 8,31%, ROE 69,52%)</w:t>
      </w:r>
      <w:r w:rsidR="007D3D5D" w:rsidRPr="004E6412">
        <w:rPr>
          <w:rFonts w:ascii="Times New Roman" w:hAnsi="Times New Roman"/>
        </w:rPr>
        <w:t>,</w:t>
      </w:r>
      <w:r w:rsidR="00334152" w:rsidRPr="004E6412">
        <w:rPr>
          <w:rFonts w:ascii="Times New Roman" w:hAnsi="Times New Roman"/>
        </w:rPr>
        <w:t xml:space="preserve"> </w:t>
      </w:r>
      <w:r w:rsidRPr="004E6412">
        <w:rPr>
          <w:rFonts w:ascii="Times New Roman" w:hAnsi="Times New Roman"/>
        </w:rPr>
        <w:t>ovakav udio uku</w:t>
      </w:r>
      <w:r w:rsidR="007D3D5D" w:rsidRPr="004E6412">
        <w:rPr>
          <w:rFonts w:ascii="Times New Roman" w:hAnsi="Times New Roman"/>
        </w:rPr>
        <w:t xml:space="preserve">pnih obveza u ukupnoj pasivi </w:t>
      </w:r>
      <w:r w:rsidRPr="004E6412">
        <w:rPr>
          <w:rFonts w:ascii="Times New Roman" w:hAnsi="Times New Roman"/>
        </w:rPr>
        <w:t xml:space="preserve">ne treba </w:t>
      </w:r>
      <w:r w:rsidR="007D3D5D" w:rsidRPr="004E6412">
        <w:rPr>
          <w:rFonts w:ascii="Times New Roman" w:hAnsi="Times New Roman"/>
        </w:rPr>
        <w:t xml:space="preserve">se </w:t>
      </w:r>
      <w:r w:rsidRPr="004E6412">
        <w:rPr>
          <w:rFonts w:ascii="Times New Roman" w:hAnsi="Times New Roman"/>
        </w:rPr>
        <w:t xml:space="preserve">uzimati </w:t>
      </w:r>
      <w:r w:rsidR="00334152" w:rsidRPr="004E6412">
        <w:rPr>
          <w:rFonts w:ascii="Times New Roman" w:hAnsi="Times New Roman"/>
        </w:rPr>
        <w:t xml:space="preserve">kao negativan pokazatelj </w:t>
      </w:r>
      <w:r w:rsidRPr="004E6412">
        <w:rPr>
          <w:rFonts w:ascii="Times New Roman" w:hAnsi="Times New Roman"/>
        </w:rPr>
        <w:t>poslovanja. Najveće smanjenje koeficijenta zaduž</w:t>
      </w:r>
      <w:r w:rsidR="007D3D5D" w:rsidRPr="004E6412">
        <w:rPr>
          <w:rFonts w:ascii="Times New Roman" w:hAnsi="Times New Roman"/>
        </w:rPr>
        <w:t xml:space="preserve">enosti u promatranom razdoblju </w:t>
      </w:r>
      <w:r w:rsidR="00334152" w:rsidRPr="004E6412">
        <w:rPr>
          <w:rFonts w:ascii="Times New Roman" w:hAnsi="Times New Roman"/>
        </w:rPr>
        <w:t xml:space="preserve">imala </w:t>
      </w:r>
      <w:r w:rsidR="007D3D5D" w:rsidRPr="004E6412">
        <w:rPr>
          <w:rFonts w:ascii="Times New Roman" w:hAnsi="Times New Roman"/>
        </w:rPr>
        <w:t xml:space="preserve">je </w:t>
      </w:r>
      <w:r w:rsidR="00334152" w:rsidRPr="004E6412">
        <w:rPr>
          <w:rFonts w:ascii="Times New Roman" w:hAnsi="Times New Roman"/>
        </w:rPr>
        <w:t>djelatnost C19 Proizvodnja koksa i rafiniranih naftnih proizvoda</w:t>
      </w:r>
      <w:r w:rsidRPr="004E6412">
        <w:rPr>
          <w:rFonts w:ascii="Times New Roman" w:hAnsi="Times New Roman"/>
        </w:rPr>
        <w:t xml:space="preserve"> s </w:t>
      </w:r>
      <w:r w:rsidR="00334152" w:rsidRPr="004E6412">
        <w:rPr>
          <w:rFonts w:ascii="Times New Roman" w:hAnsi="Times New Roman"/>
        </w:rPr>
        <w:t>0,49</w:t>
      </w:r>
      <w:r w:rsidRPr="004E6412">
        <w:rPr>
          <w:rFonts w:ascii="Times New Roman" w:hAnsi="Times New Roman"/>
        </w:rPr>
        <w:t xml:space="preserve"> u 2010. na </w:t>
      </w:r>
      <w:r w:rsidR="00334152" w:rsidRPr="004E6412">
        <w:rPr>
          <w:rFonts w:ascii="Times New Roman" w:hAnsi="Times New Roman"/>
        </w:rPr>
        <w:lastRenderedPageBreak/>
        <w:t>0,33</w:t>
      </w:r>
      <w:r w:rsidRPr="004E6412">
        <w:rPr>
          <w:rFonts w:ascii="Times New Roman" w:hAnsi="Times New Roman"/>
        </w:rPr>
        <w:t xml:space="preserve"> u 2012. </w:t>
      </w:r>
      <w:r w:rsidR="00334152" w:rsidRPr="004E6412">
        <w:rPr>
          <w:rFonts w:ascii="Times New Roman" w:hAnsi="Times New Roman"/>
        </w:rPr>
        <w:t>(-32,65%), dok je najveće povećanje koeficijenta zaduženosti u istom razdoblju zabilježeno u djelatnosti C21 Proizvodnja osnovnih farmaceutskih proizvo</w:t>
      </w:r>
      <w:r w:rsidR="007D3D5D" w:rsidRPr="004E6412">
        <w:rPr>
          <w:rFonts w:ascii="Times New Roman" w:hAnsi="Times New Roman"/>
        </w:rPr>
        <w:t>da i farmaceutskih pripravaka s</w:t>
      </w:r>
      <w:r w:rsidR="00334152" w:rsidRPr="004E6412">
        <w:rPr>
          <w:rFonts w:ascii="Times New Roman" w:hAnsi="Times New Roman"/>
        </w:rPr>
        <w:t xml:space="preserve"> 0,22 u 2010. na 0,49 u 2012. (122,73%).</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 xml:space="preserve">Djelatnosti C12 Proizvodnja duhanskih proizvoda i C19 Proizvodnja koksa i rafiniranih naftnih proizvoda u financiranju svojih aktivnosti najviše koriste vlastita sredstva s udjelima od 72%, odnosno 67%.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1" w:name="_Toc372088121"/>
      <w:bookmarkStart w:id="292" w:name="_Toc377551062"/>
      <w:bookmarkStart w:id="293" w:name="_Toc37763525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50</w:t>
      </w:r>
      <w:r w:rsidRPr="007D0CFD">
        <w:rPr>
          <w:rStyle w:val="IntenseEmphasis"/>
          <w:b/>
          <w:bCs w:val="0"/>
          <w:iCs w:val="0"/>
          <w:color w:val="548DD4" w:themeColor="text2" w:themeTint="99"/>
          <w:sz w:val="20"/>
        </w:rPr>
        <w:t>. Koeficijent zaduženosti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1"/>
      <w:bookmarkEnd w:id="292"/>
      <w:bookmarkEnd w:id="29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zaduženosti</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0,61</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0,56</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Sposobnost podmirivanja ka</w:t>
      </w:r>
      <w:r w:rsidR="007D3D5D" w:rsidRPr="004E6412">
        <w:rPr>
          <w:rFonts w:ascii="Times New Roman" w:hAnsi="Times New Roman"/>
        </w:rPr>
        <w:t xml:space="preserve">mata prerađivačke industrije </w:t>
      </w:r>
      <w:r w:rsidRPr="004E6412">
        <w:rPr>
          <w:rFonts w:ascii="Times New Roman" w:hAnsi="Times New Roman"/>
        </w:rPr>
        <w:t xml:space="preserve">može </w:t>
      </w:r>
      <w:r w:rsidR="007D3D5D" w:rsidRPr="004E6412">
        <w:rPr>
          <w:rFonts w:ascii="Times New Roman" w:hAnsi="Times New Roman"/>
        </w:rPr>
        <w:t xml:space="preserve">se </w:t>
      </w:r>
      <w:r w:rsidRPr="004E6412">
        <w:rPr>
          <w:rFonts w:ascii="Times New Roman" w:hAnsi="Times New Roman"/>
        </w:rPr>
        <w:t xml:space="preserve">provjeriti </w:t>
      </w:r>
      <w:r w:rsidR="007D3D5D" w:rsidRPr="004E6412">
        <w:rPr>
          <w:rFonts w:ascii="Times New Roman" w:hAnsi="Times New Roman"/>
        </w:rPr>
        <w:t>pomoću pokazatelja</w:t>
      </w:r>
      <w:r w:rsidRPr="004E6412">
        <w:rPr>
          <w:rFonts w:ascii="Times New Roman" w:hAnsi="Times New Roman"/>
        </w:rPr>
        <w:t xml:space="preserve"> pokrića troškova kamata operativnim zaradama. Navedeni pokazatelj je u promatranom razdoblju u porastu, što pokazuje sigurnost poslovanja ove industrije. U 2012., operat</w:t>
      </w:r>
      <w:r w:rsidR="007D3D5D" w:rsidRPr="004E6412">
        <w:rPr>
          <w:rFonts w:ascii="Times New Roman" w:hAnsi="Times New Roman"/>
        </w:rPr>
        <w:t>ivna zarada</w:t>
      </w:r>
      <w:r w:rsidRPr="004E6412">
        <w:rPr>
          <w:rFonts w:ascii="Times New Roman" w:hAnsi="Times New Roman"/>
        </w:rPr>
        <w:t xml:space="preserve"> djelatn</w:t>
      </w:r>
      <w:r w:rsidR="007D3D5D" w:rsidRPr="004E6412">
        <w:rPr>
          <w:rFonts w:ascii="Times New Roman" w:hAnsi="Times New Roman"/>
        </w:rPr>
        <w:t xml:space="preserve">osti prerađivačke industrije </w:t>
      </w:r>
      <w:r w:rsidRPr="004E6412">
        <w:rPr>
          <w:rFonts w:ascii="Times New Roman" w:hAnsi="Times New Roman"/>
        </w:rPr>
        <w:t>u prosjeku</w:t>
      </w:r>
      <w:r w:rsidR="007D3D5D" w:rsidRPr="004E6412">
        <w:rPr>
          <w:rFonts w:ascii="Times New Roman" w:hAnsi="Times New Roman"/>
        </w:rPr>
        <w:t xml:space="preserve"> je 7,74 puta veća</w:t>
      </w:r>
      <w:r w:rsidRPr="004E6412">
        <w:rPr>
          <w:rFonts w:ascii="Times New Roman" w:hAnsi="Times New Roman"/>
        </w:rPr>
        <w:t xml:space="preserve"> od troška kamata po dugovima. Tek </w:t>
      </w:r>
      <w:r w:rsidR="007D3D5D" w:rsidRPr="004E6412">
        <w:rPr>
          <w:rFonts w:ascii="Times New Roman" w:hAnsi="Times New Roman"/>
        </w:rPr>
        <w:t>kod jedne</w:t>
      </w:r>
      <w:r w:rsidRPr="004E6412">
        <w:rPr>
          <w:rFonts w:ascii="Times New Roman" w:hAnsi="Times New Roman"/>
        </w:rPr>
        <w:t xml:space="preserve"> djelatnost</w:t>
      </w:r>
      <w:r w:rsidR="007D3D5D" w:rsidRPr="004E6412">
        <w:rPr>
          <w:rFonts w:ascii="Times New Roman" w:hAnsi="Times New Roman"/>
        </w:rPr>
        <w:t>i</w:t>
      </w:r>
      <w:r w:rsidRPr="004E6412">
        <w:rPr>
          <w:rFonts w:ascii="Times New Roman" w:hAnsi="Times New Roman"/>
        </w:rPr>
        <w:t xml:space="preserve"> ovaj </w:t>
      </w:r>
      <w:r w:rsidR="007D3D5D" w:rsidRPr="004E6412">
        <w:rPr>
          <w:rFonts w:ascii="Times New Roman" w:hAnsi="Times New Roman"/>
        </w:rPr>
        <w:t xml:space="preserve">je </w:t>
      </w:r>
      <w:r w:rsidRPr="004E6412">
        <w:rPr>
          <w:rFonts w:ascii="Times New Roman" w:hAnsi="Times New Roman"/>
        </w:rPr>
        <w:t>pokazatelj negativan (-4,30), a to je C17 Proizvodnja papira i proizvoda od</w:t>
      </w:r>
      <w:r w:rsidR="007D3D5D" w:rsidRPr="004E6412">
        <w:rPr>
          <w:rFonts w:ascii="Times New Roman" w:hAnsi="Times New Roman"/>
        </w:rPr>
        <w:t xml:space="preserve"> papira koja ostvaruje negativnu operativnu</w:t>
      </w:r>
      <w:r w:rsidRPr="004E6412">
        <w:rPr>
          <w:rFonts w:ascii="Times New Roman" w:hAnsi="Times New Roman"/>
        </w:rPr>
        <w:t xml:space="preserve"> </w:t>
      </w:r>
      <w:r w:rsidR="007D3D5D" w:rsidRPr="004E6412">
        <w:rPr>
          <w:rFonts w:ascii="Times New Roman" w:hAnsi="Times New Roman"/>
        </w:rPr>
        <w:t>zaradu</w:t>
      </w:r>
      <w:r w:rsidRPr="004E6412">
        <w:rPr>
          <w:rFonts w:ascii="Times New Roman" w:hAnsi="Times New Roman"/>
        </w:rPr>
        <w:t xml:space="preserve"> zbog čega ne može pokriti trošak kamata. U problemima bi se mogle naći i djelatnosti C20 Proizvodnja kemikalija i kemijskih proizvoda (0,58), C15 Proizvodnja kože i srodnih proizvoda (0,95) i C31 Proizvodnja namještaja (1,74), koje imaju nizak odnos</w:t>
      </w:r>
      <w:r w:rsidR="007D3D5D" w:rsidRPr="004E6412">
        <w:rPr>
          <w:rFonts w:ascii="Times New Roman" w:hAnsi="Times New Roman"/>
        </w:rPr>
        <w:t xml:space="preserve"> operativne zarade i troškova kamata, a</w:t>
      </w:r>
      <w:r w:rsidRPr="004E6412">
        <w:rPr>
          <w:rFonts w:ascii="Times New Roman" w:hAnsi="Times New Roman"/>
        </w:rPr>
        <w:t xml:space="preserve"> koji u promatranim godinama ima negativnu tendenciju. </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 visokim pokr</w:t>
      </w:r>
      <w:r w:rsidR="007D3D5D" w:rsidRPr="004E6412">
        <w:rPr>
          <w:rFonts w:ascii="Times New Roman" w:hAnsi="Times New Roman"/>
        </w:rPr>
        <w:t>ićem troškova kamata operativnom zaradom</w:t>
      </w:r>
      <w:r w:rsidRPr="004E6412">
        <w:rPr>
          <w:rFonts w:ascii="Times New Roman" w:hAnsi="Times New Roman"/>
        </w:rPr>
        <w:t xml:space="preserve"> izdvajaju se djelatnosti C19 Proizvodnja koksa i rafini</w:t>
      </w:r>
      <w:r w:rsidR="00E20B03" w:rsidRPr="004E6412">
        <w:rPr>
          <w:rFonts w:ascii="Times New Roman" w:hAnsi="Times New Roman"/>
        </w:rPr>
        <w:t>ranih naftnih proizvoda (24,54) i</w:t>
      </w:r>
      <w:r w:rsidRPr="004E6412">
        <w:rPr>
          <w:rFonts w:ascii="Times New Roman" w:hAnsi="Times New Roman"/>
        </w:rPr>
        <w:t xml:space="preserve"> C12 Proizvod</w:t>
      </w:r>
      <w:r w:rsidR="00E20B03" w:rsidRPr="004E6412">
        <w:rPr>
          <w:rFonts w:ascii="Times New Roman" w:hAnsi="Times New Roman"/>
        </w:rPr>
        <w:t xml:space="preserve">nja duhanskih </w:t>
      </w:r>
      <w:r w:rsidR="00E20B03" w:rsidRPr="004E6412">
        <w:rPr>
          <w:rFonts w:ascii="Times New Roman" w:hAnsi="Times New Roman"/>
        </w:rPr>
        <w:lastRenderedPageBreak/>
        <w:t>proizvoda (22,74). D</w:t>
      </w:r>
      <w:r w:rsidRPr="004E6412">
        <w:rPr>
          <w:rFonts w:ascii="Times New Roman" w:hAnsi="Times New Roman"/>
        </w:rPr>
        <w:t>jelatnosti C19 i C12 pretežno koriste vlastita sredstva u financira</w:t>
      </w:r>
      <w:r w:rsidR="007D3D5D" w:rsidRPr="004E6412">
        <w:rPr>
          <w:rFonts w:ascii="Times New Roman" w:hAnsi="Times New Roman"/>
        </w:rPr>
        <w:t>nju svojih poslovnih aktivnosti</w:t>
      </w:r>
      <w:r w:rsidRPr="004E6412">
        <w:rPr>
          <w:rFonts w:ascii="Times New Roman" w:hAnsi="Times New Roman"/>
        </w:rPr>
        <w:t xml:space="preserve"> pa su im i troškovi kamata niski.</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 xml:space="preserve">U gotovo svim godinama i u gotovo svim djelatnostima kratkoročne obveze su nadmašivale dugoročne obveze. Samo </w:t>
      </w:r>
      <w:r w:rsidR="00E20B03" w:rsidRPr="004E6412">
        <w:rPr>
          <w:rFonts w:ascii="Times New Roman" w:hAnsi="Times New Roman"/>
        </w:rPr>
        <w:t>je djelatnost</w:t>
      </w:r>
      <w:r w:rsidRPr="004E6412">
        <w:rPr>
          <w:rFonts w:ascii="Times New Roman" w:hAnsi="Times New Roman"/>
        </w:rPr>
        <w:t xml:space="preserve"> C21 Proizvodnja farmaceutskih proizvoda, i to ne u svim promatranim godinama, imal</w:t>
      </w:r>
      <w:r w:rsidR="00E20B03" w:rsidRPr="004E6412">
        <w:rPr>
          <w:rFonts w:ascii="Times New Roman" w:hAnsi="Times New Roman"/>
        </w:rPr>
        <w:t>a</w:t>
      </w:r>
      <w:r w:rsidRPr="004E6412">
        <w:rPr>
          <w:rFonts w:ascii="Times New Roman" w:hAnsi="Times New Roman"/>
        </w:rPr>
        <w:t xml:space="preserve"> veći iznos dugoročnog od kr</w:t>
      </w:r>
      <w:r w:rsidR="007D3D5D" w:rsidRPr="004E6412">
        <w:rPr>
          <w:rFonts w:ascii="Times New Roman" w:hAnsi="Times New Roman"/>
        </w:rPr>
        <w:t>atkoročnog duga. Ovaj podatak</w:t>
      </w:r>
      <w:r w:rsidRPr="004E6412">
        <w:rPr>
          <w:rFonts w:ascii="Times New Roman" w:hAnsi="Times New Roman"/>
        </w:rPr>
        <w:t xml:space="preserve"> izuzetno </w:t>
      </w:r>
      <w:r w:rsidR="007D3D5D" w:rsidRPr="004E6412">
        <w:rPr>
          <w:rFonts w:ascii="Times New Roman" w:hAnsi="Times New Roman"/>
        </w:rPr>
        <w:t xml:space="preserve">je </w:t>
      </w:r>
      <w:r w:rsidRPr="004E6412">
        <w:rPr>
          <w:rFonts w:ascii="Times New Roman" w:hAnsi="Times New Roman"/>
        </w:rPr>
        <w:t xml:space="preserve">važan za politiku financiranja i potpore prerađivačkoj industriji, </w:t>
      </w:r>
      <w:r w:rsidR="007D3D5D" w:rsidRPr="004E6412">
        <w:rPr>
          <w:rFonts w:ascii="Times New Roman" w:hAnsi="Times New Roman"/>
        </w:rPr>
        <w:t>kao i za moguće poticanje pri</w:t>
      </w:r>
      <w:r w:rsidRPr="004E6412">
        <w:rPr>
          <w:rFonts w:ascii="Times New Roman" w:hAnsi="Times New Roman"/>
        </w:rPr>
        <w:t xml:space="preserve"> kreditiranju.</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4" w:name="_Toc372088122"/>
      <w:bookmarkStart w:id="295" w:name="_Toc377551063"/>
      <w:bookmarkStart w:id="296" w:name="_Toc377635252"/>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w:t>
      </w:r>
      <w:r w:rsidR="00035C7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Pok</w:t>
      </w:r>
      <w:r w:rsidR="007D3D5D" w:rsidRPr="007D0CFD">
        <w:rPr>
          <w:rStyle w:val="IntenseEmphasis"/>
          <w:b/>
          <w:bCs w:val="0"/>
          <w:iCs w:val="0"/>
          <w:color w:val="548DD4" w:themeColor="text2" w:themeTint="99"/>
          <w:sz w:val="20"/>
        </w:rPr>
        <w:t>riće troškova kamata operativnom zaradom</w:t>
      </w:r>
      <w:r w:rsidRPr="007D0CFD">
        <w:rPr>
          <w:rStyle w:val="IntenseEmphasis"/>
          <w:b/>
          <w:bCs w:val="0"/>
          <w:iCs w:val="0"/>
          <w:color w:val="548DD4" w:themeColor="text2" w:themeTint="99"/>
          <w:sz w:val="20"/>
        </w:rPr>
        <w:t xml:space="preserve">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4"/>
      <w:bookmarkEnd w:id="295"/>
      <w:bookmarkEnd w:id="29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Pok</w:t>
            </w:r>
            <w:r w:rsidR="007D3D5D" w:rsidRPr="004E6412">
              <w:rPr>
                <w:rFonts w:eastAsia="Times New Roman"/>
                <w:b/>
                <w:bCs/>
                <w:sz w:val="20"/>
                <w:szCs w:val="20"/>
                <w:lang w:eastAsia="hr-HR"/>
              </w:rPr>
              <w:t>riće troškova kamata operativnom zaradom</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3,96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4,84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6,22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34,38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27,41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28,89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7,77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6,92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53,08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4,01</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6,40</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7,74</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D001B9" w:rsidRPr="004E6412" w:rsidRDefault="00D001B9" w:rsidP="00D001B9">
      <w:bookmarkStart w:id="297" w:name="_Toc372087968"/>
    </w:p>
    <w:p w:rsidR="008A2422" w:rsidRDefault="008A2422"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Pr="004E6412" w:rsidRDefault="00740520" w:rsidP="00D001B9"/>
    <w:p w:rsidR="001B41B0" w:rsidRPr="004E6412" w:rsidRDefault="001B41B0" w:rsidP="00F65AE4">
      <w:pPr>
        <w:pStyle w:val="Heading3"/>
      </w:pPr>
      <w:bookmarkStart w:id="298" w:name="_Toc372087969"/>
      <w:bookmarkStart w:id="299" w:name="_Toc378069030"/>
      <w:bookmarkEnd w:id="297"/>
      <w:r w:rsidRPr="004E6412">
        <w:lastRenderedPageBreak/>
        <w:t>Analiza bruto dodane vrijednosti prerađivačke industrije 2004.</w:t>
      </w:r>
      <w:r w:rsidR="007D3D5D" w:rsidRPr="004E6412">
        <w:t xml:space="preserve"> – </w:t>
      </w:r>
      <w:r w:rsidRPr="004E6412">
        <w:t>2012.</w:t>
      </w:r>
      <w:bookmarkEnd w:id="298"/>
      <w:r w:rsidR="004469A1" w:rsidRPr="004E6412">
        <w:t xml:space="preserve"> godine</w:t>
      </w:r>
      <w:bookmarkEnd w:id="299"/>
    </w:p>
    <w:p w:rsidR="00D001B9" w:rsidRPr="004E6412" w:rsidRDefault="00D001B9" w:rsidP="00D001B9"/>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ovom dijelu analize promatra se računovodstvena bruto dodana vrijednost (BDV) koja je za industriju i svak</w:t>
      </w:r>
      <w:r w:rsidR="007D3D5D" w:rsidRPr="004E6412">
        <w:rPr>
          <w:rFonts w:ascii="Times New Roman" w:hAnsi="Times New Roman"/>
        </w:rPr>
        <w:t>u djelatnost izračunata kao zbroj</w:t>
      </w:r>
      <w:r w:rsidRPr="004E6412">
        <w:rPr>
          <w:rFonts w:ascii="Times New Roman" w:hAnsi="Times New Roman"/>
        </w:rPr>
        <w:t xml:space="preserve"> sljedećih kategorija bilance i računa dobiti i gubitka: troškovi osoblja i naknade zaposlenima, amor</w:t>
      </w:r>
      <w:r w:rsidR="007D3D5D" w:rsidRPr="004E6412">
        <w:rPr>
          <w:rFonts w:ascii="Times New Roman" w:hAnsi="Times New Roman"/>
        </w:rPr>
        <w:t>tizacija, financijski rashodi te</w:t>
      </w:r>
      <w:r w:rsidRPr="004E6412">
        <w:rPr>
          <w:rFonts w:ascii="Times New Roman" w:hAnsi="Times New Roman"/>
        </w:rPr>
        <w:t xml:space="preserve"> razlika dobiti i gubitka prije oporezivanja.</w:t>
      </w:r>
    </w:p>
    <w:p w:rsidR="001B41B0" w:rsidRPr="004E6412" w:rsidRDefault="001B41B0" w:rsidP="001B41B0">
      <w:pPr>
        <w:rPr>
          <w:sz w:val="22"/>
        </w:rPr>
      </w:pPr>
    </w:p>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razdoblju 2004.</w:t>
      </w:r>
      <w:r w:rsidR="007D3D5D" w:rsidRPr="004E6412">
        <w:rPr>
          <w:rFonts w:ascii="Times New Roman" w:hAnsi="Times New Roman"/>
        </w:rPr>
        <w:t xml:space="preserve"> – </w:t>
      </w:r>
      <w:r w:rsidRPr="004E6412">
        <w:rPr>
          <w:rFonts w:ascii="Times New Roman" w:hAnsi="Times New Roman"/>
        </w:rPr>
        <w:t>2012</w:t>
      </w:r>
      <w:r w:rsidR="007D3D5D" w:rsidRPr="004E6412">
        <w:rPr>
          <w:rFonts w:ascii="Times New Roman" w:hAnsi="Times New Roman"/>
        </w:rPr>
        <w:t>.</w:t>
      </w:r>
      <w:r w:rsidRPr="004E6412">
        <w:rPr>
          <w:rFonts w:ascii="Times New Roman" w:hAnsi="Times New Roman"/>
        </w:rPr>
        <w:t xml:space="preserve"> povećanje apsolutne vrijednosti ostvarene bruto dodane vrijednosti prerađivačke industrije iznosilo je 22,76%. Međutim, promatrano po godinama, najveća vrijednost prije gospodarske krize ostvarena je u 2008. </w:t>
      </w:r>
      <w:r w:rsidR="007D3D5D" w:rsidRPr="004E6412">
        <w:rPr>
          <w:rFonts w:ascii="Times New Roman" w:hAnsi="Times New Roman"/>
        </w:rPr>
        <w:t>godini u iznosu od 46,25 milijardi kuna</w:t>
      </w:r>
      <w:r w:rsidRPr="004E6412">
        <w:rPr>
          <w:rFonts w:ascii="Times New Roman" w:hAnsi="Times New Roman"/>
        </w:rPr>
        <w:t>. Nakon toga slijedi pad te ponovni oporavak u 2011., iako se ne može tvrditi da je došlo do preokreta trenda upravo zbog ponovnog smanjenja u 2012.</w:t>
      </w:r>
    </w:p>
    <w:p w:rsidR="001B41B0" w:rsidRPr="004E6412" w:rsidRDefault="001B41B0" w:rsidP="001B41B0">
      <w:pPr>
        <w:pStyle w:val="ListParagraph"/>
        <w:ind w:left="0"/>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0" w:name="_Toc372088129"/>
      <w:bookmarkStart w:id="301" w:name="_Toc377551064"/>
      <w:bookmarkStart w:id="302" w:name="_Toc377635253"/>
      <w:r w:rsidRPr="007D0CFD">
        <w:rPr>
          <w:rStyle w:val="IntenseEmphasis"/>
          <w:b/>
          <w:bCs w:val="0"/>
          <w:iCs w:val="0"/>
          <w:color w:val="548DD4" w:themeColor="text2" w:themeTint="99"/>
          <w:sz w:val="20"/>
        </w:rPr>
        <w:lastRenderedPageBreak/>
        <w:t xml:space="preserve">Tablica </w:t>
      </w:r>
      <w:r w:rsidR="00DC21FD" w:rsidRPr="007D0CFD">
        <w:rPr>
          <w:rStyle w:val="IntenseEmphasis"/>
          <w:b/>
          <w:bCs w:val="0"/>
          <w:iCs w:val="0"/>
          <w:color w:val="548DD4" w:themeColor="text2" w:themeTint="99"/>
          <w:sz w:val="20"/>
        </w:rPr>
        <w:t>52</w:t>
      </w:r>
      <w:r w:rsidRPr="007D0CFD">
        <w:rPr>
          <w:rStyle w:val="IntenseEmphasis"/>
          <w:b/>
          <w:bCs w:val="0"/>
          <w:iCs w:val="0"/>
          <w:color w:val="548DD4" w:themeColor="text2" w:themeTint="99"/>
          <w:sz w:val="20"/>
        </w:rPr>
        <w:t>. Bruto dodane vrijednosti djelatnosti prerađivačke industrije 2004.</w:t>
      </w:r>
      <w:r w:rsidR="00B62A65"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300"/>
      <w:bookmarkEnd w:id="301"/>
      <w:bookmarkEnd w:id="30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43"/>
        <w:gridCol w:w="1543"/>
        <w:gridCol w:w="1543"/>
        <w:gridCol w:w="1543"/>
        <w:gridCol w:w="1543"/>
        <w:gridCol w:w="1341"/>
        <w:gridCol w:w="1341"/>
        <w:gridCol w:w="1341"/>
        <w:gridCol w:w="1341"/>
      </w:tblGrid>
      <w:tr w:rsidR="001B41B0" w:rsidRPr="004E6412" w:rsidTr="001B41B0">
        <w:trPr>
          <w:trHeight w:val="20"/>
        </w:trPr>
        <w:tc>
          <w:tcPr>
            <w:tcW w:w="401"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bCs/>
                <w:color w:val="000000"/>
                <w:sz w:val="20"/>
                <w:szCs w:val="20"/>
                <w:lang w:eastAsia="hr-HR"/>
              </w:rPr>
              <w:t>Šifra</w:t>
            </w:r>
          </w:p>
        </w:tc>
        <w:tc>
          <w:tcPr>
            <w:tcW w:w="4599" w:type="pct"/>
            <w:gridSpan w:val="9"/>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Apsolutne vrijednosti BDV-a po djelatnostima (HRK)</w:t>
            </w:r>
          </w:p>
        </w:tc>
      </w:tr>
      <w:tr w:rsidR="001B41B0" w:rsidRPr="004E6412" w:rsidTr="001B41B0">
        <w:trPr>
          <w:trHeight w:val="20"/>
        </w:trPr>
        <w:tc>
          <w:tcPr>
            <w:tcW w:w="401" w:type="pct"/>
            <w:vMerge/>
            <w:shd w:val="pct15"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2009.</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2010.</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2011.</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2012.</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6.448.416.000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6.748.872.000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7.352.362.000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7.529.540.000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8.059.151.000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8.100.183.000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6.265.519.541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6.817.467.256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6.426.279.587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1.612.357.000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1.701.641.000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1.853.803.000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1.898.476.000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2.087.458.000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2.176.123.000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2.117.217.935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2.145.033.672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2.100.932.553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908.316.000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898.465.000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905.111.000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1.016.922.000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1.084.803.000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795.395.000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807.385.173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729.959.522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709.797.800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475.650.000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472.366.000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509.410.000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562.427.000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559.272.000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461.066.000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378.959.024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353.698.355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321.503.095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1.819.884.000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1.739.227.000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1.722.551.000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1.777.287.000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1.642.086.000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1.269.554.524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1.335.617.584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1.141.238.931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524.860.000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524.105.000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624.477.000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669.285.000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652.183.000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545.648.000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584.992.952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671.261.225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530.253.848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1.223.624.000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1.248.623.000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1.287.750.000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1.601.932.000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1.626.874.000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1.394.320.000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948.312.502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1.066.515.393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1.064.899.693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791.499.000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809.819.000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885.831.000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963.539.000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738.466.000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502.612.340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589.858.739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339.870.598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994.889.000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967.263.000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1.010.447.000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1.191.750.000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1.247.749.000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1.134.053.000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959.772.651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905.707.576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914.202.390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3.930.631.000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3.944.163.000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3.623.353.000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4.049.272.000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2.922.625.000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4.049.231.000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6.795.108.097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7.664.423.411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5.746.155.514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1.247.278.000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1.358.366.000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1.123.574.000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1.323.635.000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1.464.611.000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1.340.633.000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1.168.026.921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1.346.438.966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1.073.102.013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1.627.057.000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1.771.970.000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1.465.686.000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1.726.663.000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1.910.565.000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1.832.890.000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1.932.539.541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1.963.812.475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2.121.205.262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949.935.000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1.004.518.000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1.113.369.000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1.263.301.000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1.385.277.000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1.379.092.000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977.247.618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927.107.545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908.903.357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2.873.134.000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2.902.989.000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3.188.123.000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3.611.574.000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3.673.913.000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3.057.746.000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2.048.803.650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2.107.789.537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2.049.148.317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450.383.000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615.999.000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770.804.000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855.801.000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812.998.000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584.527.000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382.328.294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-473.299.539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1.193.334.794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2.982.376.000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3.078.752.000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3.698.478.000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4.296.652.000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4.703.442.000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4.401.286.000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3.392.197.640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3.562.257.066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4.110.882.605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1.377.834.000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1.341.249.000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1.548.326.000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1.774.631.000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1.863.294.000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1.649.447.000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1.392.623.979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1.320.756.233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1.459.894.897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1.650.404.000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1.700.100.000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1.935.330.000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2.050.289.000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2.470.812.000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2.373.047.000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2.133.678.259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2.163.298.375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2.116.070.805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1.629.858.000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1.669.356.000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1.837.245.000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2.085.840.000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1.927.752.000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1.657.223.000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1.489.370.183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1.710.026.999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1.743.157.518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368.321.000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434.606.000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456.191.000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486.825.000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530.690.000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468.483.000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462.976.739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547.353.133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487.195.203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1.478.314.000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1.515.277.000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1.690.806.000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1.650.037.000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1.801.517.000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1.672.447.000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1.909.882.359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6.666.609.417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5.625.971.913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969.066.000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990.213.000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1.061.589.000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1.233.822.000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1.231.245.000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1.036.273.000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906.334.588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849.105.819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805.591.297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378.562.000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386.823.000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414.706.000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481.988.000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480.981.000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447.633.000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239.343.628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257.029.282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265.114.674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557.773.000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700.930.000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691.588.000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934.544.000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1.110.070.000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939.482.000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678.528.777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1.203.449.369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2.500.455.329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37.270.421.000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38.583.279.000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40.655.812.000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44.903.588.000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46.348.108.000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43.876.780.000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39.743.316.915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46.431.277.410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45.755.161.993 </w:t>
            </w:r>
          </w:p>
        </w:tc>
      </w:tr>
    </w:tbl>
    <w:p w:rsidR="001B41B0" w:rsidRPr="004E6412" w:rsidRDefault="001B41B0" w:rsidP="001B41B0">
      <w:pPr>
        <w:pStyle w:val="ListParagraph"/>
        <w:ind w:left="0"/>
        <w:rPr>
          <w:rFonts w:ascii="Times New Roman" w:hAnsi="Times New Roman"/>
          <w:sz w:val="20"/>
          <w:szCs w:val="20"/>
        </w:rPr>
      </w:pPr>
      <w:r w:rsidRPr="004E6412">
        <w:rPr>
          <w:rFonts w:ascii="Times New Roman" w:hAnsi="Times New Roman"/>
          <w:sz w:val="20"/>
          <w:szCs w:val="20"/>
        </w:rPr>
        <w:t xml:space="preserve">Izvor: </w:t>
      </w:r>
      <w:r w:rsidR="00B62A65" w:rsidRPr="004E6412">
        <w:rPr>
          <w:rFonts w:ascii="Times New Roman" w:hAnsi="Times New Roman"/>
          <w:sz w:val="20"/>
          <w:szCs w:val="20"/>
        </w:rPr>
        <w:t xml:space="preserve">podaci </w:t>
      </w:r>
      <w:r w:rsidRPr="004E6412">
        <w:rPr>
          <w:rFonts w:ascii="Times New Roman" w:hAnsi="Times New Roman"/>
          <w:sz w:val="20"/>
          <w:szCs w:val="20"/>
        </w:rPr>
        <w:t>DZS</w:t>
      </w:r>
      <w:r w:rsidR="00B62A65" w:rsidRPr="004E6412">
        <w:rPr>
          <w:rFonts w:ascii="Times New Roman" w:hAnsi="Times New Roman"/>
          <w:sz w:val="20"/>
          <w:szCs w:val="20"/>
        </w:rPr>
        <w:t>-a do 2009.;</w:t>
      </w:r>
      <w:r w:rsidRPr="004E6412">
        <w:rPr>
          <w:rFonts w:ascii="Times New Roman" w:hAnsi="Times New Roman"/>
          <w:sz w:val="20"/>
          <w:szCs w:val="20"/>
        </w:rPr>
        <w:t xml:space="preserve"> izračun autora prema godišnjim financijskim izvještajima poduzeća od FINA-e za</w:t>
      </w:r>
      <w:r w:rsidR="00B62A65" w:rsidRPr="004E6412">
        <w:rPr>
          <w:rFonts w:ascii="Times New Roman" w:hAnsi="Times New Roman"/>
          <w:sz w:val="20"/>
          <w:szCs w:val="20"/>
        </w:rPr>
        <w:t xml:space="preserve"> razdoblje</w:t>
      </w:r>
      <w:r w:rsidRPr="004E6412">
        <w:rPr>
          <w:rFonts w:ascii="Times New Roman" w:hAnsi="Times New Roman"/>
          <w:sz w:val="20"/>
          <w:szCs w:val="20"/>
        </w:rPr>
        <w:t xml:space="preserve"> 2010. </w:t>
      </w:r>
      <w:r w:rsidR="00B62A65" w:rsidRPr="004E6412">
        <w:rPr>
          <w:rFonts w:ascii="Times New Roman" w:hAnsi="Times New Roman"/>
          <w:sz w:val="20"/>
          <w:szCs w:val="20"/>
        </w:rPr>
        <w:t>–</w:t>
      </w:r>
      <w:r w:rsidRPr="004E6412">
        <w:rPr>
          <w:rFonts w:ascii="Times New Roman" w:hAnsi="Times New Roman"/>
          <w:sz w:val="20"/>
          <w:szCs w:val="20"/>
        </w:rPr>
        <w:t xml:space="preserve"> 2012.</w:t>
      </w:r>
    </w:p>
    <w:p w:rsidR="001B41B0" w:rsidRPr="004E6412" w:rsidRDefault="001B41B0" w:rsidP="001B41B0">
      <w:pPr>
        <w:pStyle w:val="ListParagraph"/>
        <w:ind w:left="0"/>
        <w:rPr>
          <w:rFonts w:ascii="Times New Roman" w:hAnsi="Times New Roman"/>
        </w:rPr>
      </w:pPr>
    </w:p>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3" w:name="_Toc372088130"/>
      <w:bookmarkStart w:id="304" w:name="_Toc377551065"/>
      <w:bookmarkStart w:id="305" w:name="_Toc377635254"/>
      <w:r w:rsidRPr="007D0CFD">
        <w:rPr>
          <w:rStyle w:val="IntenseEmphasis"/>
          <w:b/>
          <w:bCs w:val="0"/>
          <w:iCs w:val="0"/>
          <w:color w:val="548DD4" w:themeColor="text2" w:themeTint="99"/>
          <w:sz w:val="20"/>
        </w:rPr>
        <w:lastRenderedPageBreak/>
        <w:t xml:space="preserve">Tablica </w:t>
      </w:r>
      <w:r w:rsidR="00DC21FD" w:rsidRPr="007D0CFD">
        <w:rPr>
          <w:rStyle w:val="IntenseEmphasis"/>
          <w:b/>
          <w:bCs w:val="0"/>
          <w:iCs w:val="0"/>
          <w:color w:val="548DD4" w:themeColor="text2" w:themeTint="99"/>
          <w:sz w:val="20"/>
        </w:rPr>
        <w:t>53</w:t>
      </w:r>
      <w:r w:rsidRPr="007D0CFD">
        <w:rPr>
          <w:rStyle w:val="IntenseEmphasis"/>
          <w:b/>
          <w:bCs w:val="0"/>
          <w:iCs w:val="0"/>
          <w:color w:val="548DD4" w:themeColor="text2" w:themeTint="99"/>
          <w:sz w:val="20"/>
        </w:rPr>
        <w:t>. Udio bruto dodane vrijednosti djelatnosti u bruto dodanoj vrijednosti prerađivačke industrije 2004. – 2012.</w:t>
      </w:r>
      <w:bookmarkEnd w:id="303"/>
      <w:bookmarkEnd w:id="304"/>
      <w:bookmarkEnd w:id="30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38"/>
        <w:gridCol w:w="1386"/>
        <w:gridCol w:w="1386"/>
        <w:gridCol w:w="1386"/>
        <w:gridCol w:w="1386"/>
        <w:gridCol w:w="1389"/>
        <w:gridCol w:w="1389"/>
        <w:gridCol w:w="1389"/>
        <w:gridCol w:w="1389"/>
        <w:gridCol w:w="1378"/>
      </w:tblGrid>
      <w:tr w:rsidR="001B41B0" w:rsidRPr="004E6412" w:rsidTr="001B41B0">
        <w:trPr>
          <w:trHeight w:val="20"/>
        </w:trPr>
        <w:tc>
          <w:tcPr>
            <w:tcW w:w="580"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4420" w:type="pct"/>
            <w:gridSpan w:val="9"/>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djelatnosti u bruto dodanoj vrijednosti prerađivačke industrije (%)</w:t>
            </w:r>
          </w:p>
        </w:tc>
      </w:tr>
      <w:tr w:rsidR="001B41B0" w:rsidRPr="004E6412" w:rsidTr="001B41B0">
        <w:trPr>
          <w:trHeight w:val="20"/>
        </w:trPr>
        <w:tc>
          <w:tcPr>
            <w:tcW w:w="580"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492"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88"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18,08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16,77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14,04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2,26</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1,49</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9,02</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6,31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9,23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16,51</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3,35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3,06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7,71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7,84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6,97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8,54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7,67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3,48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14,36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12,30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2,59</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(HRK)</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37.270.421.000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38.583.279.000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40.655.812.000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44.903.588.000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46.348.108.000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43.876.780.000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39.743.316.915</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46.431.277.410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45.755.161.993</w:t>
            </w:r>
          </w:p>
        </w:tc>
      </w:tr>
    </w:tbl>
    <w:p w:rsidR="001B41B0" w:rsidRPr="004E6412" w:rsidRDefault="00B62A65" w:rsidP="001B41B0">
      <w:pPr>
        <w:rPr>
          <w:sz w:val="20"/>
          <w:szCs w:val="20"/>
        </w:rPr>
      </w:pPr>
      <w:r w:rsidRPr="004E6412">
        <w:rPr>
          <w:sz w:val="20"/>
          <w:szCs w:val="20"/>
        </w:rPr>
        <w:t>Izvor: DZS do 2009.; izrada autora; razdoblje</w:t>
      </w:r>
      <w:r w:rsidR="001B41B0" w:rsidRPr="004E6412">
        <w:rPr>
          <w:sz w:val="20"/>
          <w:szCs w:val="20"/>
        </w:rPr>
        <w:t xml:space="preserve"> 2010.</w:t>
      </w:r>
      <w:r w:rsidRPr="004E6412">
        <w:rPr>
          <w:sz w:val="20"/>
          <w:szCs w:val="20"/>
        </w:rPr>
        <w:t xml:space="preserve"> – </w:t>
      </w:r>
      <w:r w:rsidR="001B41B0" w:rsidRPr="004E6412">
        <w:rPr>
          <w:sz w:val="20"/>
          <w:szCs w:val="20"/>
        </w:rPr>
        <w:t>2012.</w:t>
      </w:r>
    </w:p>
    <w:p w:rsidR="001B41B0" w:rsidRPr="004E6412" w:rsidRDefault="001B41B0" w:rsidP="001B41B0"/>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lastRenderedPageBreak/>
        <w:t>Najveći udio bruto dodane vrijednosti u ukupnoj bruto dodanoj vrijednosti prerađivačke industrije u 2012. ostvaruje djelatnost C10 Proizvodnja prehrambenih proizvoda (udio od 14,04% u 2012.),</w:t>
      </w:r>
      <w:r w:rsidR="00E20B03" w:rsidRPr="004E6412">
        <w:rPr>
          <w:rFonts w:ascii="Times New Roman" w:hAnsi="Times New Roman"/>
        </w:rPr>
        <w:t xml:space="preserve"> a</w:t>
      </w:r>
      <w:r w:rsidRPr="004E6412">
        <w:rPr>
          <w:rFonts w:ascii="Times New Roman" w:hAnsi="Times New Roman"/>
        </w:rPr>
        <w:t xml:space="preserve"> slijedi </w:t>
      </w:r>
      <w:r w:rsidR="00B62A65" w:rsidRPr="004E6412">
        <w:rPr>
          <w:rFonts w:ascii="Times New Roman" w:hAnsi="Times New Roman"/>
        </w:rPr>
        <w:t>je</w:t>
      </w:r>
      <w:r w:rsidR="00E20B03" w:rsidRPr="004E6412">
        <w:rPr>
          <w:rFonts w:ascii="Times New Roman" w:hAnsi="Times New Roman"/>
        </w:rPr>
        <w:t xml:space="preserve"> </w:t>
      </w:r>
      <w:r w:rsidRPr="004E6412">
        <w:rPr>
          <w:rFonts w:ascii="Times New Roman" w:hAnsi="Times New Roman"/>
        </w:rPr>
        <w:t>djelatnost C19 Proizvodnja koksa i rafiniranih naftnih pro</w:t>
      </w:r>
      <w:r w:rsidR="00E20B03" w:rsidRPr="004E6412">
        <w:rPr>
          <w:rFonts w:ascii="Times New Roman" w:hAnsi="Times New Roman"/>
        </w:rPr>
        <w:t xml:space="preserve">izvoda (udio od 12,56% u 2012.). U navedenim </w:t>
      </w:r>
      <w:r w:rsidRPr="004E6412">
        <w:rPr>
          <w:rFonts w:ascii="Times New Roman" w:hAnsi="Times New Roman"/>
        </w:rPr>
        <w:t>djelatnostima primjetan je pad udjela bruto dodane vrijednosti u bruto dodanoj vrij</w:t>
      </w:r>
      <w:r w:rsidR="00E20B03" w:rsidRPr="004E6412">
        <w:rPr>
          <w:rFonts w:ascii="Times New Roman" w:hAnsi="Times New Roman"/>
        </w:rPr>
        <w:t xml:space="preserve">ednosti prerađivačke industrije. </w:t>
      </w:r>
      <w:r w:rsidRPr="004E6412">
        <w:rPr>
          <w:rFonts w:ascii="Times New Roman" w:hAnsi="Times New Roman"/>
        </w:rPr>
        <w:t>S druge strane, s najmanjim udjelom bruto dodane vrijednosti u ukupnoj bruto dodanoj vrijednosti prerađivačke industrije izdvaja se djelatnost C32 Ostala prerađivačka industrija (udio od 0,58% u 2012.). Isto tako, s udjelom manjim od 1% ističu se djelatnosti C13 Proizvodnja tekstila i C17 Proizvodnja papira i proizvoda od papira.</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t>U razdoblju 2004.</w:t>
      </w:r>
      <w:r w:rsidR="00B62A65" w:rsidRPr="004E6412">
        <w:rPr>
          <w:rFonts w:ascii="Times New Roman" w:hAnsi="Times New Roman"/>
        </w:rPr>
        <w:t xml:space="preserve"> – </w:t>
      </w:r>
      <w:r w:rsidRPr="004E6412">
        <w:rPr>
          <w:rFonts w:ascii="Times New Roman" w:hAnsi="Times New Roman"/>
        </w:rPr>
        <w:t>2012</w:t>
      </w:r>
      <w:r w:rsidR="00B62A65" w:rsidRPr="004E6412">
        <w:rPr>
          <w:rFonts w:ascii="Times New Roman" w:hAnsi="Times New Roman"/>
        </w:rPr>
        <w:t xml:space="preserve">. </w:t>
      </w:r>
      <w:r w:rsidRPr="004E6412">
        <w:rPr>
          <w:rFonts w:ascii="Times New Roman" w:hAnsi="Times New Roman"/>
        </w:rPr>
        <w:t>zamjetan je pad udjela najveće djelatnosti C10 Proizvodnja prehrambenih proizvoda sa 17,30% na 14,04%, dok su se udjeli ostalih djela</w:t>
      </w:r>
      <w:r w:rsidR="00B62A65" w:rsidRPr="004E6412">
        <w:rPr>
          <w:rFonts w:ascii="Times New Roman" w:hAnsi="Times New Roman"/>
        </w:rPr>
        <w:t>tnosti raznoliko mijenjali tijekom</w:t>
      </w:r>
      <w:r w:rsidRPr="004E6412">
        <w:rPr>
          <w:rFonts w:ascii="Times New Roman" w:hAnsi="Times New Roman"/>
        </w:rPr>
        <w:t xml:space="preserve"> godina. No osim </w:t>
      </w:r>
      <w:r w:rsidR="00B62A65" w:rsidRPr="004E6412">
        <w:rPr>
          <w:rFonts w:ascii="Times New Roman" w:hAnsi="Times New Roman"/>
        </w:rPr>
        <w:t xml:space="preserve">djelatnosti </w:t>
      </w:r>
      <w:r w:rsidRPr="004E6412">
        <w:rPr>
          <w:rFonts w:ascii="Times New Roman" w:hAnsi="Times New Roman"/>
        </w:rPr>
        <w:t>C10 Proizvodnje prehrambenih proizvoda, ukupna struktura domaće prera</w:t>
      </w:r>
      <w:r w:rsidR="000A30F8" w:rsidRPr="004E6412">
        <w:rPr>
          <w:rFonts w:ascii="Times New Roman" w:hAnsi="Times New Roman"/>
        </w:rPr>
        <w:t>đivačke industrije po doprinosu</w:t>
      </w:r>
      <w:r w:rsidR="00B62A65" w:rsidRPr="004E6412">
        <w:rPr>
          <w:rFonts w:ascii="Times New Roman" w:hAnsi="Times New Roman"/>
        </w:rPr>
        <w:t xml:space="preserve"> bruto dodanoj vrijednosti </w:t>
      </w:r>
      <w:r w:rsidRPr="004E6412">
        <w:rPr>
          <w:rFonts w:ascii="Times New Roman" w:hAnsi="Times New Roman"/>
        </w:rPr>
        <w:t xml:space="preserve">nije </w:t>
      </w:r>
      <w:r w:rsidR="00B62A65" w:rsidRPr="004E6412">
        <w:rPr>
          <w:rFonts w:ascii="Times New Roman" w:hAnsi="Times New Roman"/>
        </w:rPr>
        <w:t>se mnogo mijenjala tijekom</w:t>
      </w:r>
      <w:r w:rsidRPr="004E6412">
        <w:rPr>
          <w:rFonts w:ascii="Times New Roman" w:hAnsi="Times New Roman"/>
        </w:rPr>
        <w:t xml:space="preserve"> godina, što znači da je struktura i doprinos djelatnosti ostao onakav ka</w:t>
      </w:r>
      <w:r w:rsidR="001162F6">
        <w:rPr>
          <w:rFonts w:ascii="Times New Roman" w:hAnsi="Times New Roman"/>
        </w:rPr>
        <w:t>kav je stvoren početkom dvije</w:t>
      </w:r>
      <w:r w:rsidR="00B62A65" w:rsidRPr="004E6412">
        <w:rPr>
          <w:rFonts w:ascii="Times New Roman" w:hAnsi="Times New Roman"/>
        </w:rPr>
        <w:t>tisućite godine</w:t>
      </w:r>
      <w:r w:rsidRPr="004E6412">
        <w:rPr>
          <w:rFonts w:ascii="Times New Roman" w:hAnsi="Times New Roman"/>
        </w:rPr>
        <w:t>.</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Od pripadajućih djelatnosti prerađivačke industrije najveći udio BDV-a u ukupnom BDV-u gospodarstva u 201</w:t>
      </w:r>
      <w:r w:rsidR="00A84D3D" w:rsidRPr="004E6412">
        <w:rPr>
          <w:rFonts w:ascii="Times New Roman" w:hAnsi="Times New Roman"/>
        </w:rPr>
        <w:t>2. ima djelatnost C10</w:t>
      </w:r>
      <w:r w:rsidRPr="004E6412">
        <w:rPr>
          <w:rFonts w:ascii="Times New Roman" w:hAnsi="Times New Roman"/>
        </w:rPr>
        <w:t xml:space="preserve"> </w:t>
      </w:r>
      <w:r w:rsidR="00A84D3D" w:rsidRPr="004E6412">
        <w:rPr>
          <w:rFonts w:ascii="Times New Roman" w:hAnsi="Times New Roman"/>
        </w:rPr>
        <w:t>Proizvodnja prehrambenih proizvoda</w:t>
      </w:r>
      <w:r w:rsidRPr="004E6412">
        <w:rPr>
          <w:rFonts w:ascii="Times New Roman" w:hAnsi="Times New Roman"/>
        </w:rPr>
        <w:t xml:space="preserve"> (udio od 2,</w:t>
      </w:r>
      <w:r w:rsidR="00A84D3D" w:rsidRPr="004E6412">
        <w:rPr>
          <w:rFonts w:ascii="Times New Roman" w:hAnsi="Times New Roman"/>
        </w:rPr>
        <w:t>29</w:t>
      </w:r>
      <w:r w:rsidRPr="004E6412">
        <w:rPr>
          <w:rFonts w:ascii="Times New Roman" w:hAnsi="Times New Roman"/>
        </w:rPr>
        <w:t>%)</w:t>
      </w:r>
      <w:r w:rsidR="00A84D3D" w:rsidRPr="004E6412">
        <w:rPr>
          <w:rFonts w:ascii="Times New Roman" w:hAnsi="Times New Roman"/>
        </w:rPr>
        <w:t xml:space="preserve">. </w:t>
      </w:r>
      <w:r w:rsidRPr="004E6412">
        <w:rPr>
          <w:rFonts w:ascii="Times New Roman" w:hAnsi="Times New Roman"/>
        </w:rPr>
        <w:t xml:space="preserve">U godinama do 2010. najveći udio </w:t>
      </w:r>
      <w:r w:rsidR="00B62A65" w:rsidRPr="004E6412">
        <w:rPr>
          <w:rFonts w:ascii="Times New Roman" w:hAnsi="Times New Roman"/>
        </w:rPr>
        <w:t xml:space="preserve">opet </w:t>
      </w:r>
      <w:r w:rsidRPr="004E6412">
        <w:rPr>
          <w:rFonts w:ascii="Times New Roman" w:hAnsi="Times New Roman"/>
        </w:rPr>
        <w:t>čini C10 Proizvodnja prehrambenih proizvoda, a s obzirom da je apsolutna vrijednost ostvarenog BDV-a u 2012. ponovno najveća kod djelatnosti C10, nje</w:t>
      </w:r>
      <w:r w:rsidR="00B62A65" w:rsidRPr="004E6412">
        <w:rPr>
          <w:rFonts w:ascii="Times New Roman" w:hAnsi="Times New Roman"/>
        </w:rPr>
        <w:t>zi</w:t>
      </w:r>
      <w:r w:rsidRPr="004E6412">
        <w:rPr>
          <w:rFonts w:ascii="Times New Roman" w:hAnsi="Times New Roman"/>
        </w:rPr>
        <w:t>n dopri</w:t>
      </w:r>
      <w:r w:rsidR="00B62A65" w:rsidRPr="004E6412">
        <w:rPr>
          <w:rFonts w:ascii="Times New Roman" w:hAnsi="Times New Roman"/>
        </w:rPr>
        <w:t xml:space="preserve">nos prerađivačkoj industriji </w:t>
      </w:r>
      <w:r w:rsidR="000A30F8" w:rsidRPr="004E6412">
        <w:rPr>
          <w:rFonts w:ascii="Times New Roman" w:hAnsi="Times New Roman"/>
        </w:rPr>
        <w:t xml:space="preserve">vjerojatno </w:t>
      </w:r>
      <w:r w:rsidR="00B62A65" w:rsidRPr="004E6412">
        <w:rPr>
          <w:rFonts w:ascii="Times New Roman" w:hAnsi="Times New Roman"/>
        </w:rPr>
        <w:t xml:space="preserve">će </w:t>
      </w:r>
      <w:r w:rsidRPr="004E6412">
        <w:rPr>
          <w:rFonts w:ascii="Times New Roman" w:hAnsi="Times New Roman"/>
        </w:rPr>
        <w:t>i dalje biti najveći.</w:t>
      </w:r>
    </w:p>
    <w:p w:rsidR="001B41B0" w:rsidRPr="004E6412" w:rsidRDefault="001B41B0" w:rsidP="001B41B0">
      <w:pPr>
        <w:rPr>
          <w:sz w:val="22"/>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Uspoređujući bruto dodanu vrijednost hrvatske prerađivačke industrije i ukupnu ostvarenu bruto dodanu vrijednost prerađivačke industrije EU28 zemalja, vidljivo je da Hrvatska čini neznatan udio</w:t>
      </w:r>
      <w:r w:rsidR="00B62A65" w:rsidRPr="004E6412">
        <w:rPr>
          <w:rFonts w:ascii="Times New Roman" w:hAnsi="Times New Roman"/>
        </w:rPr>
        <w:t>,</w:t>
      </w:r>
      <w:r w:rsidRPr="004E6412">
        <w:rPr>
          <w:rFonts w:ascii="Times New Roman" w:hAnsi="Times New Roman"/>
        </w:rPr>
        <w:t xml:space="preserve"> manji od 0,7%. Štoviše, u</w:t>
      </w:r>
      <w:r w:rsidR="00B62A65" w:rsidRPr="004E6412">
        <w:rPr>
          <w:rFonts w:ascii="Times New Roman" w:hAnsi="Times New Roman"/>
        </w:rPr>
        <w:t>dio joj naglo opada od 2008. na</w:t>
      </w:r>
      <w:r w:rsidRPr="004E6412">
        <w:rPr>
          <w:rFonts w:ascii="Times New Roman" w:hAnsi="Times New Roman"/>
        </w:rPr>
        <w:t xml:space="preserve">dalje, </w:t>
      </w:r>
      <w:r w:rsidR="00B62A65" w:rsidRPr="004E6412">
        <w:rPr>
          <w:rFonts w:ascii="Times New Roman" w:hAnsi="Times New Roman"/>
        </w:rPr>
        <w:t xml:space="preserve">naročito </w:t>
      </w:r>
      <w:r w:rsidRPr="004E6412">
        <w:rPr>
          <w:rFonts w:ascii="Times New Roman" w:hAnsi="Times New Roman"/>
        </w:rPr>
        <w:t>ulaskom u gospodarsku krizu.</w:t>
      </w:r>
    </w:p>
    <w:p w:rsidR="000A30F8" w:rsidRPr="004E6412" w:rsidRDefault="000A30F8" w:rsidP="000A30F8">
      <w:pPr>
        <w:pStyle w:val="ListParagraph"/>
        <w:rPr>
          <w:rFonts w:ascii="Times New Roman" w:hAnsi="Times New Roman"/>
        </w:rPr>
      </w:pPr>
    </w:p>
    <w:p w:rsidR="000A30F8"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Koristeći podatke Eurostata za analizu udjela BDV-a u bruto domaćem proizvodu, pokazalo se da je Hrvatska nešto ispod europskog prosjeka u svim promatranim godinama. Zamjetno je smanjenje doprinosa prerađivačke industrije BDP-u u ci</w:t>
      </w:r>
      <w:r w:rsidR="00B62A65" w:rsidRPr="004E6412">
        <w:rPr>
          <w:rFonts w:ascii="Times New Roman" w:hAnsi="Times New Roman"/>
        </w:rPr>
        <w:t xml:space="preserve">jeloj eurozoni, a isti trend </w:t>
      </w:r>
      <w:r w:rsidRPr="004E6412">
        <w:rPr>
          <w:rFonts w:ascii="Times New Roman" w:hAnsi="Times New Roman"/>
        </w:rPr>
        <w:t xml:space="preserve">prisutan </w:t>
      </w:r>
      <w:r w:rsidR="00B62A65" w:rsidRPr="004E6412">
        <w:rPr>
          <w:rFonts w:ascii="Times New Roman" w:hAnsi="Times New Roman"/>
        </w:rPr>
        <w:t xml:space="preserve">je </w:t>
      </w:r>
      <w:r w:rsidRPr="004E6412">
        <w:rPr>
          <w:rFonts w:ascii="Times New Roman" w:hAnsi="Times New Roman"/>
        </w:rPr>
        <w:t>i u Hrvatskoj. Radi se o nastavku deindustrijalizacije, s time da udio prerađivačke industrije u BDP-u pada brže u Hrvatskoj nego u EU27. Dakako, postoje razlike od zemlje do zemlje. Udio BDV-a hrvatske prerađivačke industrije u ukupnom bruto domaćem proizvodu sličan je Belgiji, Eston</w:t>
      </w:r>
      <w:r w:rsidR="00B62A65" w:rsidRPr="004E6412">
        <w:rPr>
          <w:rFonts w:ascii="Times New Roman" w:hAnsi="Times New Roman"/>
        </w:rPr>
        <w:t xml:space="preserve">iji i Italiji. Slični omjeri </w:t>
      </w:r>
      <w:r w:rsidRPr="004E6412">
        <w:rPr>
          <w:rFonts w:ascii="Times New Roman" w:hAnsi="Times New Roman"/>
        </w:rPr>
        <w:t xml:space="preserve">prisutni </w:t>
      </w:r>
      <w:r w:rsidR="00B62A65" w:rsidRPr="004E6412">
        <w:rPr>
          <w:rFonts w:ascii="Times New Roman" w:hAnsi="Times New Roman"/>
        </w:rPr>
        <w:t xml:space="preserve">su </w:t>
      </w:r>
      <w:r w:rsidRPr="004E6412">
        <w:rPr>
          <w:rFonts w:ascii="Times New Roman" w:hAnsi="Times New Roman"/>
        </w:rPr>
        <w:t>u svim promatranim godinama.</w:t>
      </w:r>
    </w:p>
    <w:p w:rsidR="000A30F8" w:rsidRPr="004E6412" w:rsidRDefault="000A30F8" w:rsidP="000A30F8">
      <w:pPr>
        <w:pStyle w:val="ListParagraph"/>
        <w:jc w:val="both"/>
        <w:rPr>
          <w:rFonts w:ascii="Times New Roman" w:hAnsi="Times New Roman"/>
        </w:rPr>
      </w:pPr>
    </w:p>
    <w:p w:rsidR="001B41B0"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Ako se udio BDV-a prerađivačke industrije u ukupnom BDP-u promatra kao pokazatelj industri</w:t>
      </w:r>
      <w:r w:rsidR="00B62A65" w:rsidRPr="004E6412">
        <w:rPr>
          <w:rFonts w:ascii="Times New Roman" w:hAnsi="Times New Roman"/>
        </w:rPr>
        <w:t>jalizacije, onda su na prvom mjestu</w:t>
      </w:r>
      <w:r w:rsidRPr="004E6412">
        <w:rPr>
          <w:rFonts w:ascii="Times New Roman" w:hAnsi="Times New Roman"/>
        </w:rPr>
        <w:t xml:space="preserve"> Slovenija i Slovačka s udjelima većim</w:t>
      </w:r>
      <w:r w:rsidR="00B62A65" w:rsidRPr="004E6412">
        <w:rPr>
          <w:rFonts w:ascii="Times New Roman" w:hAnsi="Times New Roman"/>
        </w:rPr>
        <w:t>a</w:t>
      </w:r>
      <w:r w:rsidRPr="004E6412">
        <w:rPr>
          <w:rFonts w:ascii="Times New Roman" w:hAnsi="Times New Roman"/>
        </w:rPr>
        <w:t xml:space="preserve"> od 20%.</w:t>
      </w:r>
    </w:p>
    <w:p w:rsidR="000A30F8" w:rsidRPr="004E6412" w:rsidRDefault="000A30F8" w:rsidP="000A30F8"/>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Hrvatska pr</w:t>
      </w:r>
      <w:r w:rsidR="00B62A65" w:rsidRPr="004E6412">
        <w:rPr>
          <w:rFonts w:ascii="Times New Roman" w:hAnsi="Times New Roman"/>
        </w:rPr>
        <w:t>erađivačka industrija, prema podacima</w:t>
      </w:r>
      <w:r w:rsidRPr="004E6412">
        <w:rPr>
          <w:rFonts w:ascii="Times New Roman" w:hAnsi="Times New Roman"/>
        </w:rPr>
        <w:t xml:space="preserve"> Eurostata iz 2010., ima veću ostvarenu bruto dodanu vrijednost od Bugarske, Estonije, Cipra, Latvije, Litve, Luksemburga te Slovenije.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6" w:name="_Toc372088131"/>
      <w:bookmarkStart w:id="307" w:name="_Toc377551066"/>
      <w:bookmarkStart w:id="308" w:name="_Toc377635255"/>
      <w:r w:rsidRPr="007D0CFD">
        <w:rPr>
          <w:rStyle w:val="IntenseEmphasis"/>
          <w:b/>
          <w:bCs w:val="0"/>
          <w:iCs w:val="0"/>
          <w:color w:val="548DD4" w:themeColor="text2" w:themeTint="99"/>
          <w:sz w:val="20"/>
        </w:rPr>
        <w:lastRenderedPageBreak/>
        <w:t xml:space="preserve">Tablica </w:t>
      </w:r>
      <w:r w:rsidR="00DC21FD" w:rsidRPr="007D0CFD">
        <w:rPr>
          <w:rStyle w:val="IntenseEmphasis"/>
          <w:b/>
          <w:bCs w:val="0"/>
          <w:iCs w:val="0"/>
          <w:color w:val="548DD4" w:themeColor="text2" w:themeTint="99"/>
          <w:sz w:val="20"/>
        </w:rPr>
        <w:t>54</w:t>
      </w:r>
      <w:r w:rsidRPr="007D0CFD">
        <w:rPr>
          <w:rStyle w:val="IntenseEmphasis"/>
          <w:b/>
          <w:bCs w:val="0"/>
          <w:iCs w:val="0"/>
          <w:color w:val="548DD4" w:themeColor="text2" w:themeTint="99"/>
          <w:sz w:val="20"/>
        </w:rPr>
        <w:t>. Udio bruto dodane vrijednosti prerađivačke industrije u bruto domaćem proizvodu EU27 zemalja i Hrvatske 2004. – 2012.</w:t>
      </w:r>
      <w:bookmarkEnd w:id="306"/>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1137"/>
        <w:gridCol w:w="1137"/>
        <w:gridCol w:w="1135"/>
        <w:gridCol w:w="1137"/>
        <w:gridCol w:w="1135"/>
        <w:gridCol w:w="1137"/>
        <w:gridCol w:w="1135"/>
        <w:gridCol w:w="1137"/>
        <w:gridCol w:w="1129"/>
      </w:tblGrid>
      <w:tr w:rsidR="001B41B0" w:rsidRPr="004E6412" w:rsidTr="001B41B0">
        <w:trPr>
          <w:trHeight w:val="20"/>
        </w:trPr>
        <w:tc>
          <w:tcPr>
            <w:tcW w:w="1406" w:type="pct"/>
            <w:vMerge w:val="restart"/>
            <w:shd w:val="pct15" w:color="auto" w:fill="auto"/>
            <w:vAlign w:val="center"/>
          </w:tcPr>
          <w:p w:rsidR="001B41B0" w:rsidRPr="004E6412" w:rsidRDefault="001B41B0" w:rsidP="001B41B0">
            <w:pPr>
              <w:spacing w:line="240" w:lineRule="auto"/>
              <w:rPr>
                <w:rFonts w:eastAsia="Times New Roman"/>
                <w:b/>
                <w:color w:val="000000"/>
                <w:sz w:val="20"/>
                <w:szCs w:val="20"/>
                <w:lang w:eastAsia="hr-HR"/>
              </w:rPr>
            </w:pPr>
          </w:p>
        </w:tc>
        <w:tc>
          <w:tcPr>
            <w:tcW w:w="3594" w:type="pct"/>
            <w:gridSpan w:val="9"/>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u bruto domaćem proizvodu (%)</w:t>
            </w:r>
          </w:p>
        </w:tc>
      </w:tr>
      <w:tr w:rsidR="001B41B0" w:rsidRPr="004E6412" w:rsidTr="001B41B0">
        <w:trPr>
          <w:trHeight w:val="20"/>
        </w:trPr>
        <w:tc>
          <w:tcPr>
            <w:tcW w:w="1406"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2004.</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2005.</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2006.</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2007.</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2008.</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2009.</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2010.</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2011.</w:t>
            </w:r>
          </w:p>
        </w:tc>
        <w:tc>
          <w:tcPr>
            <w:tcW w:w="397"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2012.</w:t>
            </w:r>
          </w:p>
        </w:tc>
      </w:tr>
      <w:tr w:rsidR="001B41B0" w:rsidRPr="004E6412" w:rsidTr="001B41B0">
        <w:trPr>
          <w:trHeight w:val="20"/>
        </w:trPr>
        <w:tc>
          <w:tcPr>
            <w:tcW w:w="1406" w:type="pct"/>
            <w:shd w:val="clear" w:color="auto" w:fill="auto"/>
            <w:vAlign w:val="center"/>
          </w:tcPr>
          <w:p w:rsidR="001B41B0" w:rsidRPr="004E6412" w:rsidRDefault="001B41B0" w:rsidP="00A87E74">
            <w:pPr>
              <w:spacing w:line="240" w:lineRule="auto"/>
              <w:rPr>
                <w:rFonts w:eastAsia="Times New Roman"/>
                <w:b/>
                <w:bCs/>
                <w:sz w:val="20"/>
                <w:szCs w:val="20"/>
                <w:lang w:eastAsia="hr-HR"/>
              </w:rPr>
            </w:pPr>
            <w:r w:rsidRPr="004E6412">
              <w:rPr>
                <w:rFonts w:eastAsia="Times New Roman"/>
                <w:b/>
                <w:bCs/>
                <w:sz w:val="20"/>
                <w:szCs w:val="20"/>
                <w:lang w:eastAsia="hr-HR"/>
              </w:rPr>
              <w:t>Hrvatska (DZS do 2009., izračun autora</w:t>
            </w:r>
            <w:r w:rsidR="00B62A65" w:rsidRPr="004E6412">
              <w:rPr>
                <w:rFonts w:eastAsia="Times New Roman"/>
                <w:b/>
                <w:bCs/>
                <w:sz w:val="20"/>
                <w:szCs w:val="20"/>
                <w:lang w:eastAsia="hr-HR"/>
              </w:rPr>
              <w:t xml:space="preserve"> za razdoblje</w:t>
            </w:r>
            <w:r w:rsidRPr="004E6412">
              <w:rPr>
                <w:rFonts w:eastAsia="Times New Roman"/>
                <w:b/>
                <w:bCs/>
                <w:sz w:val="20"/>
                <w:szCs w:val="20"/>
                <w:lang w:eastAsia="hr-HR"/>
              </w:rPr>
              <w:t xml:space="preserve"> 2010. </w:t>
            </w:r>
            <w:r w:rsidR="00B62A65" w:rsidRPr="004E6412">
              <w:rPr>
                <w:rFonts w:eastAsia="Times New Roman"/>
                <w:b/>
                <w:bCs/>
                <w:sz w:val="20"/>
                <w:szCs w:val="20"/>
                <w:lang w:eastAsia="hr-HR"/>
              </w:rPr>
              <w:t>–</w:t>
            </w:r>
            <w:r w:rsidRPr="004E6412">
              <w:rPr>
                <w:rFonts w:eastAsia="Times New Roman"/>
                <w:b/>
                <w:bCs/>
                <w:sz w:val="20"/>
                <w:szCs w:val="20"/>
                <w:lang w:eastAsia="hr-HR"/>
              </w:rPr>
              <w:t xml:space="preserve"> 2012.)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13,90</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13,86</w:t>
            </w:r>
          </w:p>
        </w:tc>
      </w:tr>
      <w:tr w:rsidR="001B41B0" w:rsidRPr="004E6412" w:rsidTr="001B41B0">
        <w:trPr>
          <w:trHeight w:val="20"/>
        </w:trPr>
        <w:tc>
          <w:tcPr>
            <w:tcW w:w="1406" w:type="pct"/>
            <w:shd w:val="clear" w:color="auto" w:fill="auto"/>
            <w:noWrap/>
            <w:vAlign w:val="center"/>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Hrvatska (EUROSTAT)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Belgija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Bugarska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Češka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23,01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21,99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Danska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Njemačka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Estonija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17,56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Grčka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8,44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8,19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Španjolska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Francuska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Italija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14,26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Cipar</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8,01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7,57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6,84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Latvija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10,65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Litva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15,92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Luksemburg</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7,11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7,94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4,76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Mađarska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Malta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Nizozemska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Austrija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17,63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17,25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Poljska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Portugal</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13,08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11,70</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Rumunjska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21,61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Slovenija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18,74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Slovačka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Finska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19,52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15,18</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7757D7">
            <w:pPr>
              <w:spacing w:line="240" w:lineRule="auto"/>
              <w:ind w:leftChars="83" w:left="211" w:hangingChars="6" w:hanging="12"/>
              <w:rPr>
                <w:rFonts w:eastAsia="Times New Roman"/>
                <w:b/>
                <w:bCs/>
                <w:sz w:val="20"/>
                <w:szCs w:val="20"/>
                <w:lang w:eastAsia="hr-HR"/>
              </w:rPr>
            </w:pPr>
            <w:r w:rsidRPr="004E6412">
              <w:rPr>
                <w:rFonts w:eastAsia="Times New Roman"/>
                <w:b/>
                <w:bCs/>
                <w:sz w:val="20"/>
                <w:szCs w:val="20"/>
                <w:lang w:eastAsia="hr-HR"/>
              </w:rPr>
              <w:t>Ujedinjeno Kraljevstvo</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Švedska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13,46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PROSJEK EU 27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 </w:t>
            </w:r>
          </w:p>
        </w:tc>
      </w:tr>
    </w:tbl>
    <w:p w:rsidR="001B41B0" w:rsidRPr="004E6412" w:rsidRDefault="00294426" w:rsidP="001B41B0">
      <w:pPr>
        <w:sectPr w:rsidR="001B41B0" w:rsidRPr="004E6412" w:rsidSect="00F81C4C">
          <w:pgSz w:w="16838" w:h="11906" w:orient="landscape"/>
          <w:pgMar w:top="1418" w:right="1418" w:bottom="1418" w:left="1418" w:header="709" w:footer="709" w:gutter="0"/>
          <w:cols w:space="708"/>
          <w:docGrid w:linePitch="360"/>
        </w:sectPr>
      </w:pPr>
      <w:r>
        <w:rPr>
          <w:rFonts w:eastAsia="Times New Roman"/>
          <w:b/>
          <w:bCs/>
          <w:noProof/>
          <w:sz w:val="20"/>
          <w:szCs w:val="20"/>
          <w:lang w:eastAsia="hr-HR"/>
        </w:rPr>
        <mc:AlternateContent>
          <mc:Choice Requires="wps">
            <w:drawing>
              <wp:anchor distT="0" distB="0" distL="114300" distR="114300" simplePos="0" relativeHeight="251656704" behindDoc="0" locked="0" layoutInCell="1" allowOverlap="1">
                <wp:simplePos x="0" y="0"/>
                <wp:positionH relativeFrom="column">
                  <wp:posOffset>-24130</wp:posOffset>
                </wp:positionH>
                <wp:positionV relativeFrom="paragraph">
                  <wp:posOffset>38100</wp:posOffset>
                </wp:positionV>
                <wp:extent cx="8091805" cy="250825"/>
                <wp:effectExtent l="0" t="0" r="4445" b="0"/>
                <wp:wrapNone/>
                <wp:docPr id="2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180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0E34AB" w:rsidRDefault="00683AF5" w:rsidP="001B41B0">
                            <w:pPr>
                              <w:rPr>
                                <w:sz w:val="20"/>
                                <w:szCs w:val="20"/>
                              </w:rPr>
                            </w:pPr>
                            <w:r>
                              <w:rPr>
                                <w:sz w:val="20"/>
                                <w:szCs w:val="20"/>
                              </w:rPr>
                              <w:t>Izvor: DZS do 2009.;</w:t>
                            </w:r>
                            <w:r w:rsidRPr="000E34AB">
                              <w:rPr>
                                <w:sz w:val="20"/>
                                <w:szCs w:val="20"/>
                              </w:rPr>
                              <w:t xml:space="preserve"> izrada autora </w:t>
                            </w:r>
                            <w:r>
                              <w:rPr>
                                <w:sz w:val="20"/>
                                <w:szCs w:val="20"/>
                              </w:rPr>
                              <w:t xml:space="preserve">prema podacima FINA-e za razdoblje </w:t>
                            </w:r>
                            <w:r w:rsidRPr="000E34AB">
                              <w:rPr>
                                <w:sz w:val="20"/>
                                <w:szCs w:val="20"/>
                              </w:rPr>
                              <w:t>2010. –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left:0;text-align:left;margin-left:-1.9pt;margin-top:3pt;width:637.15pt;height:1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" stroked="f">
                <v:textbox>
                  <w:txbxContent>
                    <w:p w:rsidR="00683AF5" w:rsidRPr="000E34AB" w:rsidRDefault="00683AF5" w:rsidP="001B41B0">
                      <w:pPr>
                        <w:rPr>
                          <w:sz w:val="20"/>
                          <w:szCs w:val="20"/>
                        </w:rPr>
                      </w:pPr>
                      <w:r>
                        <w:rPr>
                          <w:sz w:val="20"/>
                          <w:szCs w:val="20"/>
                        </w:rPr>
                        <w:t>Izvor: DZS do 2009.;</w:t>
                      </w:r>
                      <w:r w:rsidRPr="000E34AB">
                        <w:rPr>
                          <w:sz w:val="20"/>
                          <w:szCs w:val="20"/>
                        </w:rPr>
                        <w:t xml:space="preserve"> izrada autora </w:t>
                      </w:r>
                      <w:r>
                        <w:rPr>
                          <w:sz w:val="20"/>
                          <w:szCs w:val="20"/>
                        </w:rPr>
                        <w:t xml:space="preserve">prema podacima FINA-e za razdoblje </w:t>
                      </w:r>
                      <w:r w:rsidRPr="000E34AB">
                        <w:rPr>
                          <w:sz w:val="20"/>
                          <w:szCs w:val="20"/>
                        </w:rPr>
                        <w:t>2010. – 2012.</w:t>
                      </w:r>
                    </w:p>
                  </w:txbxContent>
                </v:textbox>
              </v:shape>
            </w:pict>
          </mc:Fallback>
        </mc:AlternateContent>
      </w:r>
    </w:p>
    <w:p w:rsidR="001B41B0" w:rsidRPr="004E6412" w:rsidRDefault="001B41B0" w:rsidP="001B41B0">
      <w:pPr>
        <w:pStyle w:val="ListParagraph"/>
        <w:jc w:val="both"/>
        <w:rPr>
          <w:rFonts w:ascii="Times New Roman" w:hAnsi="Times New Roman"/>
        </w:rPr>
      </w:pPr>
    </w:p>
    <w:p w:rsidR="001B41B0" w:rsidRPr="004E6412" w:rsidRDefault="0016332F" w:rsidP="00B15A78">
      <w:pPr>
        <w:pStyle w:val="ListParagraph"/>
        <w:numPr>
          <w:ilvl w:val="0"/>
          <w:numId w:val="107"/>
        </w:numPr>
        <w:spacing w:after="0"/>
        <w:jc w:val="both"/>
        <w:rPr>
          <w:rFonts w:ascii="Times New Roman" w:hAnsi="Times New Roman"/>
        </w:rPr>
      </w:pPr>
      <w:r w:rsidRPr="004E6412">
        <w:rPr>
          <w:rFonts w:ascii="Times New Roman" w:hAnsi="Times New Roman"/>
        </w:rPr>
        <w:t>U 2012. godini 9 od 24 djelatnosti ostvaruje</w:t>
      </w:r>
      <w:r w:rsidR="001B41B0" w:rsidRPr="004E6412">
        <w:rPr>
          <w:rFonts w:ascii="Times New Roman" w:hAnsi="Times New Roman"/>
        </w:rPr>
        <w:t xml:space="preserve"> veći udio u stvaranju bruto dodane vrijednosti od svog udjela u broju zaposlenih u hrvatskoj prerađivačkoj industriji. Radi se o sljedećim djelatnostima</w:t>
      </w:r>
      <w:r w:rsidR="000A30F8" w:rsidRPr="004E6412">
        <w:rPr>
          <w:rFonts w:ascii="Times New Roman" w:hAnsi="Times New Roman"/>
        </w:rPr>
        <w:t>:</w:t>
      </w:r>
      <w:r w:rsidR="001B41B0" w:rsidRPr="004E6412">
        <w:rPr>
          <w:rFonts w:ascii="Times New Roman" w:hAnsi="Times New Roman"/>
        </w:rPr>
        <w:t xml:space="preserve"> C11 Proizvodnja pića, C12 Proizvodnja duhanskih proizvoda, C19 Proizvodnja koksa i naftnih proizvoda, C21 Proizvodnja osnovnih farmaceutskih proizvoda i farmaceutskih pripravaka, C24 Proizvodnja metala, C26 Proizvodnja računala te elektroničkih i optičkih proizvoda,</w:t>
      </w:r>
      <w:r w:rsidRPr="004E6412">
        <w:rPr>
          <w:rFonts w:ascii="Times New Roman" w:hAnsi="Times New Roman"/>
        </w:rPr>
        <w:t xml:space="preserve"> i</w:t>
      </w:r>
      <w:r w:rsidR="001B41B0" w:rsidRPr="004E6412">
        <w:rPr>
          <w:rFonts w:ascii="Times New Roman" w:hAnsi="Times New Roman"/>
        </w:rPr>
        <w:t xml:space="preserve"> C27 Proizvodnja električne opreme</w:t>
      </w:r>
      <w:r w:rsidR="000A30F8" w:rsidRPr="004E6412">
        <w:rPr>
          <w:rFonts w:ascii="Times New Roman" w:hAnsi="Times New Roman"/>
        </w:rPr>
        <w:t xml:space="preserve">. </w:t>
      </w:r>
      <w:r w:rsidR="001B41B0" w:rsidRPr="004E6412">
        <w:rPr>
          <w:rFonts w:ascii="Times New Roman" w:hAnsi="Times New Roman"/>
        </w:rPr>
        <w:t xml:space="preserve">Posebno se ovdje izdvaja </w:t>
      </w:r>
      <w:r w:rsidRPr="004E6412">
        <w:rPr>
          <w:rFonts w:ascii="Times New Roman" w:hAnsi="Times New Roman"/>
        </w:rPr>
        <w:t xml:space="preserve">djelatnost </w:t>
      </w:r>
      <w:r w:rsidR="001B41B0" w:rsidRPr="004E6412">
        <w:rPr>
          <w:rFonts w:ascii="Times New Roman" w:hAnsi="Times New Roman"/>
        </w:rPr>
        <w:t>C19 Proizvodnja koksa i na</w:t>
      </w:r>
      <w:r w:rsidRPr="004E6412">
        <w:rPr>
          <w:rFonts w:ascii="Times New Roman" w:hAnsi="Times New Roman"/>
        </w:rPr>
        <w:t>ftnih proizvoda, koja prema navedenom</w:t>
      </w:r>
      <w:r w:rsidR="001B41B0" w:rsidRPr="004E6412">
        <w:rPr>
          <w:rFonts w:ascii="Times New Roman" w:hAnsi="Times New Roman"/>
        </w:rPr>
        <w:t xml:space="preserve"> kriteriju iskazuje najveću proizvodnost. Uzimajući u obzir činjenicu da su plaće i naknade zaposlenima glavna sastavnica bruto dodane vrijednosti, spo</w:t>
      </w:r>
      <w:r w:rsidRPr="004E6412">
        <w:rPr>
          <w:rFonts w:ascii="Times New Roman" w:hAnsi="Times New Roman"/>
        </w:rPr>
        <w:t>menutih 9 djelatnosti može</w:t>
      </w:r>
      <w:r w:rsidR="001B41B0" w:rsidRPr="004E6412">
        <w:rPr>
          <w:rFonts w:ascii="Times New Roman" w:hAnsi="Times New Roman"/>
        </w:rPr>
        <w:t xml:space="preserve"> se smatrati znatno uspješnijima od ostatka industrije. </w:t>
      </w:r>
    </w:p>
    <w:p w:rsidR="001B41B0" w:rsidRPr="004E6412" w:rsidRDefault="001B41B0" w:rsidP="001B41B0">
      <w:pPr>
        <w:rPr>
          <w:sz w:val="22"/>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 xml:space="preserve">Zabrinjava činjenica kako preostalih 15 pripadajućih djelatnosti ima manji udio u bruto dodanoj vrijednosti od udjela u broju zaposlenih u cjelokupnoj prerađivačkoj industriji. </w:t>
      </w:r>
    </w:p>
    <w:p w:rsidR="001B41B0" w:rsidRPr="004E6412" w:rsidRDefault="001B41B0" w:rsidP="001B41B0">
      <w:pPr>
        <w:pStyle w:val="ListParagraph"/>
        <w:rPr>
          <w:rFonts w:ascii="Times New Roman" w:hAnsi="Times New Roman"/>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Najveći udio u stvaranju bruto dodane vrijednosti prerađivačke industrije u 2012. imaju troškovi osoblja</w:t>
      </w:r>
      <w:r w:rsidR="0016332F" w:rsidRPr="004E6412">
        <w:rPr>
          <w:rFonts w:ascii="Times New Roman" w:hAnsi="Times New Roman"/>
        </w:rPr>
        <w:t xml:space="preserve"> i naknade zaposlenima (51,56%),</w:t>
      </w:r>
      <w:r w:rsidRPr="004E6412">
        <w:rPr>
          <w:rFonts w:ascii="Times New Roman" w:hAnsi="Times New Roman"/>
        </w:rPr>
        <w:t xml:space="preserve"> </w:t>
      </w:r>
      <w:r w:rsidR="0016332F" w:rsidRPr="004E6412">
        <w:rPr>
          <w:rFonts w:ascii="Times New Roman" w:hAnsi="Times New Roman"/>
        </w:rPr>
        <w:t xml:space="preserve">dok </w:t>
      </w:r>
      <w:r w:rsidRPr="004E6412">
        <w:rPr>
          <w:rFonts w:ascii="Times New Roman" w:hAnsi="Times New Roman"/>
        </w:rPr>
        <w:t>razlika dobiti i gubitka prije oporezivanja čini 20,06% BDV-a, amortizacija 16,37%, a financijski rashodi 12,01%.</w:t>
      </w:r>
    </w:p>
    <w:p w:rsidR="001B41B0" w:rsidRPr="004E6412" w:rsidRDefault="001B41B0" w:rsidP="00B15A78">
      <w:pPr>
        <w:pStyle w:val="ListParagraph"/>
        <w:numPr>
          <w:ilvl w:val="0"/>
          <w:numId w:val="107"/>
        </w:numPr>
        <w:spacing w:after="0"/>
        <w:jc w:val="both"/>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755B73">
      <w:pPr>
        <w:pStyle w:val="Subtitle"/>
        <w:rPr>
          <w:lang w:val="hr-HR"/>
        </w:rPr>
      </w:pPr>
      <w:bookmarkStart w:id="309" w:name="_Toc372309195"/>
      <w:bookmarkStart w:id="310" w:name="_Toc377635346"/>
      <w:r w:rsidRPr="004E6412">
        <w:rPr>
          <w:lang w:val="hr-HR"/>
        </w:rPr>
        <w:lastRenderedPageBreak/>
        <w:t>Slika</w:t>
      </w:r>
      <w:r w:rsidR="00755B73" w:rsidRPr="004E6412">
        <w:rPr>
          <w:lang w:val="hr-HR"/>
        </w:rPr>
        <w:t xml:space="preserve"> 2</w:t>
      </w:r>
      <w:r w:rsidR="005B7BDA" w:rsidRPr="004E6412">
        <w:rPr>
          <w:lang w:val="hr-HR"/>
        </w:rPr>
        <w:t>2</w:t>
      </w:r>
      <w:r w:rsidRPr="004E6412">
        <w:rPr>
          <w:lang w:val="hr-HR"/>
        </w:rPr>
        <w:t xml:space="preserve">. Udjeli u bruto dodanoj vrijednosti i broju zaposlenih </w:t>
      </w:r>
      <w:r w:rsidR="0016332F" w:rsidRPr="004E6412">
        <w:rPr>
          <w:lang w:val="hr-HR"/>
        </w:rPr>
        <w:t>u djelatnosti prerađivačke industrije</w:t>
      </w:r>
      <w:r w:rsidRPr="004E6412">
        <w:rPr>
          <w:lang w:val="hr-HR"/>
        </w:rPr>
        <w:t xml:space="preserve"> 2012. </w:t>
      </w:r>
      <w:r w:rsidR="001E199D" w:rsidRPr="004E6412">
        <w:rPr>
          <w:noProof/>
          <w:lang w:val="hr-HR" w:eastAsia="hr-HR"/>
        </w:rPr>
        <w:drawing>
          <wp:anchor distT="0" distB="2041" distL="114300" distR="114300" simplePos="0" relativeHeight="251655680" behindDoc="1" locked="0" layoutInCell="1" allowOverlap="1" wp14:anchorId="0CCF7040" wp14:editId="0D120F26">
            <wp:simplePos x="0" y="0"/>
            <wp:positionH relativeFrom="column">
              <wp:posOffset>-440944</wp:posOffset>
            </wp:positionH>
            <wp:positionV relativeFrom="paragraph">
              <wp:posOffset>174371</wp:posOffset>
            </wp:positionV>
            <wp:extent cx="9112758" cy="4680585"/>
            <wp:effectExtent l="6096" t="6096" r="6731" b="7239"/>
            <wp:wrapNone/>
            <wp:docPr id="5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bookmarkEnd w:id="309"/>
      <w:bookmarkEnd w:id="310"/>
    </w:p>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6332F"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sz w:val="20"/>
          <w:szCs w:val="20"/>
        </w:r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8D6D9E">
      <w:pPr>
        <w:pStyle w:val="Heading3"/>
      </w:pPr>
      <w:bookmarkStart w:id="311" w:name="_Toc372087970"/>
      <w:bookmarkStart w:id="312" w:name="_Toc378069031"/>
      <w:r w:rsidRPr="004E6412">
        <w:lastRenderedPageBreak/>
        <w:t>Analiza prerađivačke industrije prema veličini poduzeća i odabranim pokazateljima poslovanja 2012.</w:t>
      </w:r>
      <w:bookmarkEnd w:id="311"/>
      <w:bookmarkEnd w:id="312"/>
      <w:r w:rsidRPr="004E6412">
        <w:t xml:space="preserve"> </w:t>
      </w:r>
    </w:p>
    <w:p w:rsidR="00740520" w:rsidRPr="004E6412" w:rsidRDefault="00740520" w:rsidP="00D001B9"/>
    <w:p w:rsidR="001B41B0" w:rsidRPr="004E6412" w:rsidRDefault="001B41B0" w:rsidP="00B15A78">
      <w:pPr>
        <w:pStyle w:val="ListParagraph"/>
        <w:numPr>
          <w:ilvl w:val="0"/>
          <w:numId w:val="108"/>
        </w:numPr>
        <w:spacing w:after="0"/>
        <w:jc w:val="both"/>
        <w:rPr>
          <w:rFonts w:ascii="Times New Roman" w:hAnsi="Times New Roman"/>
        </w:rPr>
      </w:pPr>
      <w:r w:rsidRPr="004E6412">
        <w:rPr>
          <w:rFonts w:ascii="Times New Roman" w:hAnsi="Times New Roman"/>
        </w:rPr>
        <w:t>U ovom dijelu analize prerađivačke industrije analizira se struktura prerađivačke industrije prema veličini poduzeća i odabranim pokazateljima poslovanja u 2012. Kao kriterij razlikovanja prema veličini po</w:t>
      </w:r>
      <w:r w:rsidR="0016332F" w:rsidRPr="004E6412">
        <w:rPr>
          <w:rFonts w:ascii="Times New Roman" w:hAnsi="Times New Roman"/>
        </w:rPr>
        <w:t>duzeća uzimaju se kriteriji uređeni</w:t>
      </w:r>
      <w:r w:rsidRPr="004E6412">
        <w:rPr>
          <w:rFonts w:ascii="Times New Roman" w:hAnsi="Times New Roman"/>
        </w:rPr>
        <w:t xml:space="preserve"> Zakonom o računovodstvu.</w:t>
      </w:r>
    </w:p>
    <w:p w:rsidR="001B41B0" w:rsidRPr="004E6412" w:rsidRDefault="001B41B0" w:rsidP="001B41B0">
      <w:pPr>
        <w:rPr>
          <w:sz w:val="22"/>
        </w:rPr>
      </w:pPr>
    </w:p>
    <w:p w:rsidR="001B41B0" w:rsidRPr="004E6412" w:rsidRDefault="001B41B0" w:rsidP="00B15A78">
      <w:pPr>
        <w:pStyle w:val="ListParagraph"/>
        <w:numPr>
          <w:ilvl w:val="0"/>
          <w:numId w:val="108"/>
        </w:numPr>
        <w:spacing w:after="0"/>
        <w:jc w:val="both"/>
      </w:pPr>
      <w:r w:rsidRPr="004E6412">
        <w:rPr>
          <w:rFonts w:ascii="Times New Roman" w:hAnsi="Times New Roman"/>
        </w:rPr>
        <w:t xml:space="preserve">Od ukupnog broja poduzeća, 95,49% čine mala poduzeća (11.041 poduzeće), 3,51% srednja poduzeća (406 poduzeća) i 0,99% velika poduzeća (115 poduzeća). </w:t>
      </w:r>
    </w:p>
    <w:p w:rsidR="00CF6C07" w:rsidRPr="004E6412" w:rsidRDefault="00CF6C07" w:rsidP="00CF6C07">
      <w:pPr>
        <w:pStyle w:val="ListParagraph"/>
        <w:spacing w:after="0"/>
        <w:ind w:left="0"/>
        <w:jc w:val="both"/>
      </w:pPr>
    </w:p>
    <w:p w:rsidR="001B41B0" w:rsidRPr="004E6412" w:rsidRDefault="00CF6C07" w:rsidP="00B15A78">
      <w:pPr>
        <w:pStyle w:val="ListParagraph"/>
        <w:numPr>
          <w:ilvl w:val="0"/>
          <w:numId w:val="108"/>
        </w:numPr>
        <w:spacing w:after="0"/>
        <w:jc w:val="both"/>
        <w:rPr>
          <w:rFonts w:ascii="Times New Roman" w:hAnsi="Times New Roman"/>
        </w:rPr>
      </w:pPr>
      <w:r w:rsidRPr="004E6412">
        <w:rPr>
          <w:rFonts w:ascii="Times New Roman" w:hAnsi="Times New Roman"/>
        </w:rPr>
        <w:t>I</w:t>
      </w:r>
      <w:r w:rsidR="001B41B0" w:rsidRPr="004E6412">
        <w:rPr>
          <w:rFonts w:ascii="Times New Roman" w:hAnsi="Times New Roman"/>
        </w:rPr>
        <w:t xml:space="preserve">ako je velikih poduzeća brojčano neusporedivo manje, ona zapošljavaju samo 8,82% manje osoba od malih poduzeća. Stoga je značaj velikih poduzeća za prerađivačku industriju izniman – 115 velikih </w:t>
      </w:r>
      <w:r w:rsidR="0016332F" w:rsidRPr="004E6412">
        <w:rPr>
          <w:rFonts w:ascii="Times New Roman" w:hAnsi="Times New Roman"/>
        </w:rPr>
        <w:t>poduzeća zapošljava 81.433 osobe,</w:t>
      </w:r>
      <w:r w:rsidR="001B41B0" w:rsidRPr="004E6412">
        <w:rPr>
          <w:rFonts w:ascii="Times New Roman" w:hAnsi="Times New Roman"/>
        </w:rPr>
        <w:t xml:space="preserve"> odnosno 36,28% svih zaposlenih u prerađivačkoj industriji.</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313" w:name="_Toc372088132"/>
      <w:bookmarkStart w:id="314" w:name="_Toc377551067"/>
      <w:bookmarkStart w:id="315" w:name="_Toc377635256"/>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55</w:t>
      </w:r>
      <w:r w:rsidRPr="007D0CFD">
        <w:rPr>
          <w:rStyle w:val="IntenseEmphasis"/>
          <w:b/>
          <w:bCs w:val="0"/>
          <w:iCs w:val="0"/>
          <w:color w:val="548DD4" w:themeColor="text2" w:themeTint="99"/>
          <w:sz w:val="20"/>
        </w:rPr>
        <w:t>. Struktura prerađivačke industrije prema veličini poduzeća i odabranim pokazateljima poslovanja 2012.</w:t>
      </w:r>
      <w:bookmarkEnd w:id="313"/>
      <w:bookmarkEnd w:id="314"/>
      <w:bookmarkEnd w:id="315"/>
    </w:p>
    <w:tbl>
      <w:tblPr>
        <w:tblW w:w="5000" w:type="pct"/>
        <w:tblLayout w:type="fixed"/>
        <w:tblCellMar>
          <w:left w:w="28" w:type="dxa"/>
          <w:right w:w="28" w:type="dxa"/>
        </w:tblCellMar>
        <w:tblLook w:val="04A0" w:firstRow="1" w:lastRow="0" w:firstColumn="1" w:lastColumn="0" w:noHBand="0" w:noVBand="1"/>
      </w:tblPr>
      <w:tblGrid>
        <w:gridCol w:w="2438"/>
        <w:gridCol w:w="1566"/>
        <w:gridCol w:w="1707"/>
        <w:gridCol w:w="1707"/>
        <w:gridCol w:w="1708"/>
      </w:tblGrid>
      <w:tr w:rsidR="001B41B0" w:rsidRPr="004E6412" w:rsidTr="001B41B0">
        <w:trPr>
          <w:trHeight w:val="20"/>
        </w:trPr>
        <w:tc>
          <w:tcPr>
            <w:tcW w:w="1336" w:type="pct"/>
            <w:tcBorders>
              <w:top w:val="single" w:sz="4" w:space="0" w:color="auto"/>
              <w:left w:val="single" w:sz="4" w:space="0" w:color="auto"/>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Veličina</w:t>
            </w:r>
          </w:p>
        </w:tc>
        <w:tc>
          <w:tcPr>
            <w:tcW w:w="85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Mala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Srednja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Velika poduzeća</w:t>
            </w:r>
          </w:p>
        </w:tc>
        <w:tc>
          <w:tcPr>
            <w:tcW w:w="936"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Ukupno prerađivačka industrija</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poduzeća</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11.041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11.562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 xml:space="preserve">Udio u ukupnoj prerađivačkoj industriji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95.49%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3.51%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0.99%</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zaposlenih</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89.314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53.94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81.433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224.441</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39.79%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23.92%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36.28%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Ukupna </w:t>
            </w:r>
            <w:r w:rsidRPr="004E6412">
              <w:rPr>
                <w:rFonts w:eastAsia="Times New Roman"/>
                <w:bCs/>
                <w:sz w:val="20"/>
                <w:szCs w:val="20"/>
              </w:rPr>
              <w:t>aktiva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45.972.491.542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38.229.628.516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105.138.848.084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189.340.968.142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24.28%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20.19%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55.53%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Ukupni prihod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34.751.527.477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30.422.566.132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100.347.285.040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165.521.378.649</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21.00%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18.38%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60.62%</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Dobit nakon poreza (HRK)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1.670.718.758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1.528.675.388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11.496.227.900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14.695.622.046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11.37%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10.40%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78.23%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Gubitak nakon poreza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2.083.104.270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1.435.738.806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3.046.173.264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6.565.016.340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31.73%</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21.87%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46.40%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Izvoz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7.160.429.081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11.716.603.257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38.293.093.048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57.170.125.386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12.52%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66.98%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bl>
    <w:p w:rsidR="001B41B0" w:rsidRPr="004E6412" w:rsidRDefault="001B41B0" w:rsidP="001B41B0">
      <w:pPr>
        <w:rPr>
          <w:sz w:val="20"/>
          <w:szCs w:val="20"/>
        </w:rPr>
      </w:pPr>
      <w:r w:rsidRPr="004E6412">
        <w:rPr>
          <w:sz w:val="20"/>
          <w:szCs w:val="20"/>
        </w:rPr>
        <w:t xml:space="preserve">Izvor: </w:t>
      </w:r>
      <w:r w:rsidR="0016332F" w:rsidRPr="004E6412">
        <w:rPr>
          <w:sz w:val="20"/>
          <w:szCs w:val="20"/>
        </w:rPr>
        <w:t>I</w:t>
      </w:r>
      <w:r w:rsidRPr="004E6412">
        <w:rPr>
          <w:sz w:val="20"/>
          <w:szCs w:val="20"/>
        </w:rPr>
        <w:t>zrada autora.</w:t>
      </w:r>
    </w:p>
    <w:p w:rsidR="001B41B0" w:rsidRPr="004E6412" w:rsidRDefault="001B41B0" w:rsidP="001B41B0"/>
    <w:p w:rsidR="0096708B" w:rsidRPr="004E6412" w:rsidRDefault="0096708B" w:rsidP="001B41B0"/>
    <w:p w:rsidR="001B41B0" w:rsidRPr="004E6412" w:rsidRDefault="00CF6C07" w:rsidP="00B15A78">
      <w:pPr>
        <w:numPr>
          <w:ilvl w:val="0"/>
          <w:numId w:val="108"/>
        </w:numPr>
        <w:contextualSpacing/>
        <w:rPr>
          <w:sz w:val="22"/>
        </w:rPr>
      </w:pPr>
      <w:r w:rsidRPr="004E6412">
        <w:rPr>
          <w:sz w:val="22"/>
        </w:rPr>
        <w:t>U</w:t>
      </w:r>
      <w:r w:rsidR="001B41B0" w:rsidRPr="004E6412">
        <w:rPr>
          <w:sz w:val="22"/>
        </w:rPr>
        <w:t xml:space="preserve">dio velikih poduzeća u ostalim odabranim pokazateljima veći </w:t>
      </w:r>
      <w:r w:rsidRPr="004E6412">
        <w:rPr>
          <w:sz w:val="22"/>
        </w:rPr>
        <w:t xml:space="preserve">je </w:t>
      </w:r>
      <w:r w:rsidR="001B41B0" w:rsidRPr="004E6412">
        <w:rPr>
          <w:sz w:val="22"/>
        </w:rPr>
        <w:t>od udjela malih poduzeća u istim kategorijama, gdje je udio velikih poduzeća veći i od udjela malih i srednjih poduzeća zajedno, a radi se o odabranim kateg</w:t>
      </w:r>
      <w:r w:rsidR="0016332F" w:rsidRPr="004E6412">
        <w:rPr>
          <w:sz w:val="22"/>
        </w:rPr>
        <w:t>orijama aktive, ukupnog prihoda te</w:t>
      </w:r>
      <w:r w:rsidR="001B41B0" w:rsidRPr="004E6412">
        <w:rPr>
          <w:sz w:val="22"/>
        </w:rPr>
        <w:t xml:space="preserve"> dobiti nakon poreza i izvoza prerađivačke industrije.</w:t>
      </w:r>
    </w:p>
    <w:p w:rsidR="001B41B0" w:rsidRPr="004E6412" w:rsidRDefault="001B41B0" w:rsidP="001B41B0"/>
    <w:p w:rsidR="001B41B0" w:rsidRPr="004E6412" w:rsidRDefault="001B41B0" w:rsidP="00B15A78">
      <w:pPr>
        <w:numPr>
          <w:ilvl w:val="0"/>
          <w:numId w:val="108"/>
        </w:numPr>
        <w:contextualSpacing/>
        <w:rPr>
          <w:sz w:val="22"/>
        </w:rPr>
      </w:pPr>
      <w:r w:rsidRPr="004E6412">
        <w:rPr>
          <w:sz w:val="22"/>
        </w:rPr>
        <w:lastRenderedPageBreak/>
        <w:t>Ovdje se posebno ističu tri pokazatelja – ukupni prihodi, dobit nakon poreza i izvoz (prihodi od prodaje u inozemstvu). Velika poduzeća ostvaruju gotovo tri puta veće ukupne prihode od malih poduzeća, sedam puta veću dobit nakon poreza od malih poduzeća i pet puta veći izvoz od malih poduzeća.</w:t>
      </w:r>
    </w:p>
    <w:p w:rsidR="001B41B0" w:rsidRPr="004E6412" w:rsidRDefault="001B41B0" w:rsidP="001B41B0">
      <w:pPr>
        <w:rPr>
          <w:sz w:val="22"/>
        </w:rPr>
      </w:pPr>
    </w:p>
    <w:p w:rsidR="001B41B0" w:rsidRPr="004E6412" w:rsidRDefault="0016332F" w:rsidP="00B15A78">
      <w:pPr>
        <w:numPr>
          <w:ilvl w:val="0"/>
          <w:numId w:val="108"/>
        </w:numPr>
        <w:contextualSpacing/>
        <w:rPr>
          <w:sz w:val="22"/>
        </w:rPr>
      </w:pPr>
      <w:r w:rsidRPr="004E6412">
        <w:rPr>
          <w:sz w:val="22"/>
        </w:rPr>
        <w:t>Bez obzira na prethodno navedene</w:t>
      </w:r>
      <w:r w:rsidR="001B41B0" w:rsidRPr="004E6412">
        <w:rPr>
          <w:sz w:val="22"/>
        </w:rPr>
        <w:t xml:space="preserve"> zaključke, značaj malih (i srednjih poduzeća) nije upitan. S ukupnim brojem zaposlenih od 142.998 osoba</w:t>
      </w:r>
      <w:r w:rsidRPr="004E6412">
        <w:rPr>
          <w:sz w:val="22"/>
        </w:rPr>
        <w:t>,</w:t>
      </w:r>
      <w:r w:rsidR="001B41B0" w:rsidRPr="004E6412">
        <w:rPr>
          <w:sz w:val="22"/>
        </w:rPr>
        <w:t xml:space="preserve"> čine gotovo 10% svih zaposlenih u RH, a isto tako su često upravo mala (i srednja) poduzeća izvor novog zapošljavanja, samozapošljavanja kao i razvoja inovativnih i inventivnih proizvoda i usluga.</w:t>
      </w:r>
    </w:p>
    <w:p w:rsidR="001B41B0" w:rsidRPr="004E6412" w:rsidRDefault="001B41B0" w:rsidP="001B41B0"/>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broju zaposlenih izdvajaju se sljedeće djelatnosti:</w:t>
      </w:r>
    </w:p>
    <w:p w:rsidR="001B41B0" w:rsidRPr="004E6412" w:rsidRDefault="001B41B0" w:rsidP="00B15A78">
      <w:pPr>
        <w:numPr>
          <w:ilvl w:val="1"/>
          <w:numId w:val="109"/>
        </w:numPr>
        <w:rPr>
          <w:sz w:val="22"/>
        </w:rPr>
      </w:pPr>
      <w:r w:rsidRPr="004E6412">
        <w:rPr>
          <w:sz w:val="22"/>
        </w:rPr>
        <w:t>Djelatnost C11 Proizvodnja pića</w:t>
      </w:r>
      <w:r w:rsidR="0016332F" w:rsidRPr="004E6412">
        <w:rPr>
          <w:sz w:val="22"/>
        </w:rPr>
        <w:t>,</w:t>
      </w:r>
      <w:r w:rsidRPr="004E6412">
        <w:rPr>
          <w:sz w:val="22"/>
        </w:rPr>
        <w:t xml:space="preserve"> u kojoj 60,36% svih zaposlenih radi u velikim poduzećima.</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71,39% svih zaposlenih radi u velikim poduzećima.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63,41% svih zaposlenih radi u malim poduzećima.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58,08% svih zaposlenih radi u malim poduzećima.</w:t>
      </w:r>
    </w:p>
    <w:p w:rsidR="001B41B0" w:rsidRPr="004E6412" w:rsidRDefault="001B41B0" w:rsidP="00B15A78">
      <w:pPr>
        <w:numPr>
          <w:ilvl w:val="1"/>
          <w:numId w:val="109"/>
        </w:numPr>
        <w:rPr>
          <w:sz w:val="22"/>
        </w:rPr>
      </w:pPr>
      <w:r w:rsidRPr="004E6412">
        <w:rPr>
          <w:sz w:val="22"/>
        </w:rPr>
        <w:t>Djelatnost C19 Proizvodnja koksa i rafiniranih naftnih proizvoda</w:t>
      </w:r>
      <w:r w:rsidR="0016332F" w:rsidRPr="004E6412">
        <w:rPr>
          <w:sz w:val="22"/>
        </w:rPr>
        <w:t>,</w:t>
      </w:r>
      <w:r w:rsidRPr="004E6412">
        <w:rPr>
          <w:sz w:val="22"/>
        </w:rPr>
        <w:t xml:space="preserve"> u kojoj 99,39% svih zaposlenih radi </w:t>
      </w:r>
      <w:r w:rsidR="0016332F" w:rsidRPr="004E6412">
        <w:rPr>
          <w:sz w:val="22"/>
        </w:rPr>
        <w:t>u velikim poduzećima (prevladava</w:t>
      </w:r>
      <w:r w:rsidRPr="004E6412">
        <w:rPr>
          <w:sz w:val="22"/>
        </w:rPr>
        <w:t xml:space="preserve"> poduzeće INA – Industrija nafte d.d.).</w:t>
      </w:r>
    </w:p>
    <w:p w:rsidR="001B41B0" w:rsidRPr="004E6412" w:rsidRDefault="001B41B0" w:rsidP="00B15A78">
      <w:pPr>
        <w:numPr>
          <w:ilvl w:val="1"/>
          <w:numId w:val="109"/>
        </w:numPr>
        <w:rPr>
          <w:sz w:val="22"/>
        </w:rPr>
      </w:pPr>
      <w:r w:rsidRPr="004E6412">
        <w:rPr>
          <w:sz w:val="22"/>
        </w:rPr>
        <w:t>Djelatnost C21 Proizvodnja osnovnih farmaceutskih proizvoda</w:t>
      </w:r>
      <w:r w:rsidR="0016332F" w:rsidRPr="004E6412">
        <w:rPr>
          <w:sz w:val="22"/>
        </w:rPr>
        <w:t>,</w:t>
      </w:r>
      <w:r w:rsidRPr="004E6412">
        <w:rPr>
          <w:sz w:val="22"/>
        </w:rPr>
        <w:t xml:space="preserve"> u kojoj 84,32% svih zaposlenih radi u velikim poduzećima.</w:t>
      </w:r>
    </w:p>
    <w:p w:rsidR="001B41B0" w:rsidRPr="004E6412" w:rsidRDefault="001B41B0" w:rsidP="00B15A78">
      <w:pPr>
        <w:numPr>
          <w:ilvl w:val="1"/>
          <w:numId w:val="109"/>
        </w:numPr>
        <w:rPr>
          <w:sz w:val="22"/>
        </w:rPr>
      </w:pPr>
      <w:r w:rsidRPr="004E6412">
        <w:rPr>
          <w:sz w:val="22"/>
        </w:rPr>
        <w:t>Djelatnost C22 Proizvodnja proizvoda od gume i plastike</w:t>
      </w:r>
      <w:r w:rsidR="0016332F" w:rsidRPr="004E6412">
        <w:rPr>
          <w:sz w:val="22"/>
        </w:rPr>
        <w:t>,</w:t>
      </w:r>
      <w:r w:rsidRPr="004E6412">
        <w:rPr>
          <w:sz w:val="22"/>
        </w:rPr>
        <w:t xml:space="preserve"> u kojoj 72,30% svih zaposlenih radi u malim poduzećima.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68,99% svih zaposlenih radi u velikim poduzećima.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ukupnim prihodima izdvajaju se sljedeće djelatnosti:</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83,34% ukupnih prihoda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55,67% ukupnih prihoda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39,28% ukupnih prihoda ostvaruju srednja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47,64% ukupnih prihoda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16332F" w:rsidRPr="004E6412">
        <w:rPr>
          <w:sz w:val="22"/>
        </w:rPr>
        <w:t>,</w:t>
      </w:r>
      <w:r w:rsidRPr="004E6412">
        <w:rPr>
          <w:sz w:val="22"/>
        </w:rPr>
        <w:t xml:space="preserve"> u kojoj 89,34% ukupnih prihoda ostva</w:t>
      </w:r>
      <w:r w:rsidR="0016332F"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gotovih metalnih proizvoda, osim strojeva i opreme</w:t>
      </w:r>
      <w:r w:rsidR="0016332F" w:rsidRPr="004E6412">
        <w:rPr>
          <w:sz w:val="22"/>
        </w:rPr>
        <w:t>,</w:t>
      </w:r>
      <w:r w:rsidRPr="004E6412">
        <w:rPr>
          <w:sz w:val="22"/>
        </w:rPr>
        <w:t xml:space="preserve"> u kojoj 57,39% ukupnih prihoda ostvaruju mala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79,94% ukupnih prihoda ostvaruju velika poduzeća.</w:t>
      </w:r>
    </w:p>
    <w:p w:rsidR="001B41B0" w:rsidRPr="004E6412" w:rsidRDefault="001B41B0" w:rsidP="00B15A78">
      <w:pPr>
        <w:numPr>
          <w:ilvl w:val="1"/>
          <w:numId w:val="109"/>
        </w:numPr>
        <w:rPr>
          <w:sz w:val="22"/>
        </w:rPr>
      </w:pPr>
      <w:r w:rsidRPr="004E6412">
        <w:rPr>
          <w:sz w:val="22"/>
        </w:rPr>
        <w:lastRenderedPageBreak/>
        <w:t>Djelatnost C30 Proizvodnja ostalih prijevoznih sredstava</w:t>
      </w:r>
      <w:r w:rsidR="0016332F" w:rsidRPr="004E6412">
        <w:rPr>
          <w:sz w:val="22"/>
        </w:rPr>
        <w:t>,</w:t>
      </w:r>
      <w:r w:rsidRPr="004E6412">
        <w:rPr>
          <w:sz w:val="22"/>
        </w:rPr>
        <w:t xml:space="preserve"> u kojoj 88,03% ukupnih prihoda ostvaruju velika </w:t>
      </w:r>
      <w:r w:rsidR="0016332F"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ukupnoj dobiti nakon poreza izdvajaju se sljedeće djelatnosti:</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55,41% ukupne dobiti nakon poreza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58,27% ukupne dobiti nakon poreza ostvaruju mala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16332F" w:rsidRPr="004E6412">
        <w:rPr>
          <w:sz w:val="22"/>
        </w:rPr>
        <w:t>,</w:t>
      </w:r>
      <w:r w:rsidRPr="004E6412">
        <w:rPr>
          <w:sz w:val="22"/>
        </w:rPr>
        <w:t xml:space="preserve"> u kojoj 72,83% ukupne dobiti nakon poreza ostvaruju srednja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96,25% ukupne dobiti nakon poreza ostva</w:t>
      </w:r>
      <w:r w:rsidR="00E345C4"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51,43% ukupne dobiti nakon poreza ostvaruju mala poduzeća.</w:t>
      </w:r>
    </w:p>
    <w:p w:rsidR="001B41B0" w:rsidRPr="004E6412" w:rsidRDefault="001B41B0" w:rsidP="00B15A78">
      <w:pPr>
        <w:numPr>
          <w:ilvl w:val="1"/>
          <w:numId w:val="109"/>
        </w:numPr>
        <w:rPr>
          <w:sz w:val="22"/>
        </w:rPr>
      </w:pPr>
      <w:r w:rsidRPr="004E6412">
        <w:rPr>
          <w:sz w:val="22"/>
        </w:rPr>
        <w:t>Djelatnost C24 Proizvodnja metala</w:t>
      </w:r>
      <w:r w:rsidR="00E345C4" w:rsidRPr="004E6412">
        <w:rPr>
          <w:sz w:val="22"/>
        </w:rPr>
        <w:t>,</w:t>
      </w:r>
      <w:r w:rsidRPr="004E6412">
        <w:rPr>
          <w:sz w:val="22"/>
        </w:rPr>
        <w:t xml:space="preserve"> u kojoj 93,21% ukupne dobiti nakon poreza ostvaruju velika poduzeća.</w:t>
      </w:r>
    </w:p>
    <w:p w:rsidR="001B41B0" w:rsidRPr="004E6412" w:rsidRDefault="001B41B0" w:rsidP="00B15A78">
      <w:pPr>
        <w:numPr>
          <w:ilvl w:val="1"/>
          <w:numId w:val="109"/>
        </w:numPr>
        <w:rPr>
          <w:sz w:val="22"/>
        </w:rPr>
      </w:pPr>
      <w:r w:rsidRPr="004E6412">
        <w:rPr>
          <w:sz w:val="22"/>
        </w:rPr>
        <w:t>Djelatnost C30 Proizvodnja ostalih prijevoznih sredstava</w:t>
      </w:r>
      <w:r w:rsidR="00E345C4" w:rsidRPr="004E6412">
        <w:rPr>
          <w:sz w:val="22"/>
        </w:rPr>
        <w:t>,</w:t>
      </w:r>
      <w:r w:rsidRPr="004E6412">
        <w:rPr>
          <w:sz w:val="22"/>
        </w:rPr>
        <w:t xml:space="preserve"> u kojoj 98,40% ukupne dobiti nakon poreza ostvaruju velika </w:t>
      </w:r>
      <w:r w:rsidR="00E345C4"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gubitku nakon poreza izdvajaju se sljedeće djelatnosti:</w:t>
      </w:r>
    </w:p>
    <w:p w:rsidR="001B41B0" w:rsidRPr="004E6412" w:rsidRDefault="001B41B0" w:rsidP="00B15A78">
      <w:pPr>
        <w:numPr>
          <w:ilvl w:val="1"/>
          <w:numId w:val="109"/>
        </w:numPr>
        <w:rPr>
          <w:sz w:val="22"/>
        </w:rPr>
      </w:pPr>
      <w:r w:rsidRPr="004E6412">
        <w:rPr>
          <w:sz w:val="22"/>
        </w:rPr>
        <w:t>Djelatnost C10 Proizvodnja prehrambenih proizvoda</w:t>
      </w:r>
      <w:r w:rsidR="00E345C4" w:rsidRPr="004E6412">
        <w:rPr>
          <w:sz w:val="22"/>
        </w:rPr>
        <w:t>,</w:t>
      </w:r>
      <w:r w:rsidRPr="004E6412">
        <w:rPr>
          <w:sz w:val="22"/>
        </w:rPr>
        <w:t xml:space="preserve"> u kojoj 62,85% ukupnog gubitka nakon poreza ostvaruju velika poduzeća.</w:t>
      </w:r>
    </w:p>
    <w:p w:rsidR="001B41B0" w:rsidRPr="004E6412" w:rsidRDefault="001B41B0" w:rsidP="00B15A78">
      <w:pPr>
        <w:numPr>
          <w:ilvl w:val="1"/>
          <w:numId w:val="109"/>
        </w:numPr>
        <w:rPr>
          <w:sz w:val="22"/>
        </w:rPr>
      </w:pPr>
      <w:r w:rsidRPr="004E6412">
        <w:rPr>
          <w:sz w:val="22"/>
        </w:rPr>
        <w:t>Djelatnost C15 Proizvodnja kože i srodnih proizvoda</w:t>
      </w:r>
      <w:r w:rsidR="00E345C4" w:rsidRPr="004E6412">
        <w:rPr>
          <w:sz w:val="22"/>
        </w:rPr>
        <w:t>,</w:t>
      </w:r>
      <w:r w:rsidRPr="004E6412">
        <w:rPr>
          <w:sz w:val="22"/>
        </w:rPr>
        <w:t xml:space="preserve"> u kojoj 70,52%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C17 Proizvodnja papira i proizvoda od papira u kojoj 87,86% ukupnog gubitka nakon poreza ostvaruju velika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E345C4" w:rsidRPr="004E6412">
        <w:rPr>
          <w:sz w:val="22"/>
        </w:rPr>
        <w:t>,</w:t>
      </w:r>
      <w:r w:rsidRPr="004E6412">
        <w:rPr>
          <w:sz w:val="22"/>
        </w:rPr>
        <w:t xml:space="preserve"> u kojoj 91,36% ukupnog gubitka nakon poreza ostvaruju velika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72,79% ukupnog gubitka nakon poreza ostvaruju srednja poduzeća.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60,63%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71,59%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91,16%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67,89% ukupnog gubitka nakon poreza ostvaruju srednja poduzeća.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izvozu izdvajaju se sljedeće djelatnosti:</w:t>
      </w:r>
    </w:p>
    <w:p w:rsidR="001B41B0" w:rsidRPr="004E6412" w:rsidRDefault="001B41B0" w:rsidP="00B15A78">
      <w:pPr>
        <w:numPr>
          <w:ilvl w:val="1"/>
          <w:numId w:val="109"/>
        </w:numPr>
        <w:rPr>
          <w:sz w:val="22"/>
        </w:rPr>
      </w:pPr>
      <w:r w:rsidRPr="004E6412">
        <w:rPr>
          <w:sz w:val="22"/>
        </w:rPr>
        <w:lastRenderedPageBreak/>
        <w:t>Djelatnost C12 Proizvodnja duhanskih proizvoda</w:t>
      </w:r>
      <w:r w:rsidR="00E345C4" w:rsidRPr="004E6412">
        <w:rPr>
          <w:sz w:val="22"/>
        </w:rPr>
        <w:t>,</w:t>
      </w:r>
      <w:r w:rsidRPr="004E6412">
        <w:rPr>
          <w:sz w:val="22"/>
        </w:rPr>
        <w:t xml:space="preserve"> u kojoj 88,55% ukupnog izvoza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E345C4" w:rsidRPr="004E6412">
        <w:rPr>
          <w:sz w:val="22"/>
        </w:rPr>
        <w:t>,</w:t>
      </w:r>
      <w:r w:rsidRPr="004E6412">
        <w:rPr>
          <w:sz w:val="22"/>
        </w:rPr>
        <w:t xml:space="preserve"> u kojoj 48,18% ukupnog izvoza ostvaruju srednja poduzeća, a 44,96% mala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E345C4" w:rsidRPr="004E6412">
        <w:rPr>
          <w:sz w:val="22"/>
        </w:rPr>
        <w:t>,</w:t>
      </w:r>
      <w:r w:rsidRPr="004E6412">
        <w:rPr>
          <w:sz w:val="22"/>
        </w:rPr>
        <w:t xml:space="preserve"> u kojoj 52,46% ukupnog izvoza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92,40% ukupnog izvoza ostva</w:t>
      </w:r>
      <w:r w:rsidR="00E345C4" w:rsidRPr="004E6412">
        <w:rPr>
          <w:sz w:val="22"/>
        </w:rPr>
        <w:t>ruju velika poduzeća (prevladava</w:t>
      </w:r>
      <w:r w:rsidRPr="004E6412">
        <w:rPr>
          <w:sz w:val="22"/>
        </w:rPr>
        <w:t xml:space="preserve"> poduzeće Pliva Hrvatska d.o.o.), dok mala poduzeća nisu ostvarila prihode od izvoza.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57,50% ukupnog izvoza ostvaruju srednja poduzeća, a 39,11% mala poduzeća.</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83,84% ukupnog izvoza ostvaruju velika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85,12% ukupnog izvoza ostvaruju velika poduzeća.</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60,44% ukupnog izvoza ostvaruju srednja poduzeća.</w:t>
      </w:r>
    </w:p>
    <w:p w:rsidR="001B41B0" w:rsidRPr="004E6412" w:rsidRDefault="001B41B0" w:rsidP="001B41B0">
      <w:pPr>
        <w:rPr>
          <w:sz w:val="22"/>
        </w:rPr>
      </w:pPr>
    </w:p>
    <w:p w:rsidR="001B41B0" w:rsidRPr="004E6412" w:rsidRDefault="001B41B0" w:rsidP="001B41B0">
      <w:pPr>
        <w:rPr>
          <w:sz w:val="22"/>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16" w:name="_Toc372088133"/>
      <w:bookmarkStart w:id="317" w:name="_Toc377551068"/>
      <w:bookmarkStart w:id="318" w:name="_Toc377635257"/>
      <w:r w:rsidRPr="007D0CFD">
        <w:rPr>
          <w:rStyle w:val="IntenseEmphasis"/>
          <w:b/>
          <w:bCs w:val="0"/>
          <w:iCs w:val="0"/>
          <w:color w:val="548DD4" w:themeColor="text2" w:themeTint="99"/>
          <w:sz w:val="20"/>
        </w:rPr>
        <w:lastRenderedPageBreak/>
        <w:t xml:space="preserve">Tablica </w:t>
      </w:r>
      <w:r w:rsidR="00DC21FD" w:rsidRPr="007D0CFD">
        <w:rPr>
          <w:rStyle w:val="IntenseEmphasis"/>
          <w:b/>
          <w:bCs w:val="0"/>
          <w:iCs w:val="0"/>
          <w:color w:val="548DD4" w:themeColor="text2" w:themeTint="99"/>
          <w:sz w:val="20"/>
        </w:rPr>
        <w:t>56</w:t>
      </w:r>
      <w:r w:rsidRPr="007D0CFD">
        <w:rPr>
          <w:rStyle w:val="IntenseEmphasis"/>
          <w:b/>
          <w:bCs w:val="0"/>
          <w:iCs w:val="0"/>
          <w:color w:val="548DD4" w:themeColor="text2" w:themeTint="99"/>
          <w:sz w:val="20"/>
        </w:rPr>
        <w:t>. Struktura djelatnosti prema veličini poduzeća i odabranim pokazateljima poslovanja 2012.</w:t>
      </w:r>
      <w:bookmarkEnd w:id="316"/>
      <w:bookmarkEnd w:id="317"/>
      <w:bookmarkEnd w:id="318"/>
      <w:r w:rsidRPr="007D0CFD">
        <w:rPr>
          <w:rStyle w:val="IntenseEmphasis"/>
          <w:b/>
          <w:bCs w:val="0"/>
          <w:iCs w:val="0"/>
          <w:color w:val="548DD4" w:themeColor="text2" w:themeTint="99"/>
          <w:sz w:val="20"/>
        </w:rPr>
        <w:t xml:space="preserve"> </w:t>
      </w:r>
    </w:p>
    <w:p w:rsidR="00740520" w:rsidRPr="00740520" w:rsidRDefault="00740520" w:rsidP="00740520"/>
    <w:bookmarkStart w:id="319" w:name="_MON_1440758978"/>
    <w:bookmarkEnd w:id="319"/>
    <w:p w:rsidR="001B41B0" w:rsidRPr="004E6412" w:rsidRDefault="001B41B0" w:rsidP="001B41B0">
      <w:pPr>
        <w:rPr>
          <w:lang w:eastAsia="hr-HR"/>
        </w:rPr>
      </w:pPr>
      <w:r w:rsidRPr="004E6412">
        <w:object w:dxaOrig="15674" w:dyaOrig="8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pt;height:394.4pt" o:ole="">
            <v:imagedata r:id="rId52" o:title=""/>
          </v:shape>
          <o:OLEObject Type="Embed" ProgID="Excel.Sheet.8" ShapeID="_x0000_i1025" DrawAspect="Content" ObjectID="_1546162788" r:id="rId53"/>
        </w:object>
      </w:r>
    </w:p>
    <w:bookmarkStart w:id="320" w:name="_MON_1440759267"/>
    <w:bookmarkEnd w:id="320"/>
    <w:p w:rsidR="001B41B0" w:rsidRPr="004E6412" w:rsidRDefault="001B41B0" w:rsidP="001B41B0">
      <w:pPr>
        <w:rPr>
          <w:b/>
        </w:rPr>
      </w:pPr>
      <w:r w:rsidRPr="004E6412">
        <w:object w:dxaOrig="15674" w:dyaOrig="8829">
          <v:shape id="_x0000_i1026" type="#_x0000_t75" style="width:699.2pt;height:392.8pt" o:ole="">
            <v:imagedata r:id="rId54" o:title=""/>
          </v:shape>
          <o:OLEObject Type="Embed" ProgID="Excel.Sheet.8" ShapeID="_x0000_i1026" DrawAspect="Content" ObjectID="_1546162789" r:id="rId55"/>
        </w:object>
      </w:r>
    </w:p>
    <w:p w:rsidR="001B41B0" w:rsidRPr="004E6412" w:rsidRDefault="001B41B0" w:rsidP="001B41B0">
      <w:pPr>
        <w:rPr>
          <w:b/>
        </w:rPr>
      </w:pPr>
    </w:p>
    <w:bookmarkStart w:id="321" w:name="_MON_1440759458"/>
    <w:bookmarkEnd w:id="321"/>
    <w:p w:rsidR="001B41B0" w:rsidRPr="004E6412" w:rsidRDefault="001B41B0" w:rsidP="001B41B0">
      <w:pPr>
        <w:rPr>
          <w:b/>
        </w:rPr>
      </w:pPr>
      <w:r w:rsidRPr="004E6412">
        <w:object w:dxaOrig="15104" w:dyaOrig="8800">
          <v:shape id="_x0000_i1027" type="#_x0000_t75" style="width:700pt;height:408.8pt" o:ole="">
            <v:imagedata r:id="rId56" o:title=""/>
          </v:shape>
          <o:OLEObject Type="Embed" ProgID="Excel.Sheet.8" ShapeID="_x0000_i1027" DrawAspect="Content" ObjectID="_1546162790" r:id="rId57"/>
        </w:object>
      </w:r>
    </w:p>
    <w:p w:rsidR="001B41B0" w:rsidRPr="004E6412" w:rsidRDefault="00E345C4" w:rsidP="001B41B0">
      <w:pPr>
        <w:jc w:val="left"/>
        <w:rPr>
          <w:sz w:val="20"/>
          <w:szCs w:val="20"/>
        </w:rPr>
      </w:pPr>
      <w:r w:rsidRPr="004E6412">
        <w:rPr>
          <w:sz w:val="20"/>
          <w:szCs w:val="20"/>
        </w:rPr>
        <w:t>Izvor: I</w:t>
      </w:r>
      <w:r w:rsidR="001B41B0" w:rsidRPr="004E6412">
        <w:rPr>
          <w:sz w:val="20"/>
          <w:szCs w:val="20"/>
        </w:rPr>
        <w:t>zrada autora prema podacima FINA-e.</w:t>
      </w: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A37C35">
      <w:pPr>
        <w:pStyle w:val="Heading3"/>
      </w:pPr>
      <w:bookmarkStart w:id="322" w:name="_Toc372087971"/>
      <w:bookmarkStart w:id="323" w:name="_Toc378069032"/>
      <w:r w:rsidRPr="004E6412">
        <w:lastRenderedPageBreak/>
        <w:t xml:space="preserve">Usporedba odabranih pokazatelja poslovanja pojedinih djelatnosti i </w:t>
      </w:r>
      <w:r w:rsidR="005B1407" w:rsidRPr="004E6412">
        <w:t>pod</w:t>
      </w:r>
      <w:r w:rsidRPr="004E6412">
        <w:t>djelatnosti prerađivačke industrije 2012.</w:t>
      </w:r>
      <w:bookmarkEnd w:id="322"/>
      <w:r w:rsidRPr="004E6412">
        <w:t xml:space="preserve"> </w:t>
      </w:r>
      <w:r w:rsidR="0096708B" w:rsidRPr="004E6412">
        <w:t>godine</w:t>
      </w:r>
      <w:bookmarkEnd w:id="323"/>
    </w:p>
    <w:p w:rsidR="00D001B9" w:rsidRPr="004E6412" w:rsidRDefault="00D001B9" w:rsidP="00D001B9"/>
    <w:p w:rsidR="001B41B0" w:rsidRPr="004E6412" w:rsidRDefault="0096708B" w:rsidP="00B15A78">
      <w:pPr>
        <w:pStyle w:val="ListParagraph"/>
        <w:numPr>
          <w:ilvl w:val="0"/>
          <w:numId w:val="110"/>
        </w:numPr>
        <w:spacing w:after="0"/>
        <w:ind w:left="714" w:hanging="357"/>
        <w:jc w:val="both"/>
        <w:rPr>
          <w:rFonts w:ascii="Times New Roman" w:hAnsi="Times New Roman"/>
        </w:rPr>
      </w:pPr>
      <w:r w:rsidRPr="004E6412">
        <w:rPr>
          <w:rFonts w:ascii="Times New Roman" w:hAnsi="Times New Roman"/>
        </w:rPr>
        <w:t xml:space="preserve">U </w:t>
      </w:r>
      <w:r w:rsidR="001B41B0" w:rsidRPr="004E6412">
        <w:rPr>
          <w:rFonts w:ascii="Times New Roman" w:hAnsi="Times New Roman"/>
        </w:rPr>
        <w:t xml:space="preserve"> </w:t>
      </w:r>
      <w:r w:rsidR="00825896" w:rsidRPr="004E6412">
        <w:rPr>
          <w:rFonts w:ascii="Times New Roman" w:hAnsi="Times New Roman"/>
        </w:rPr>
        <w:t>T</w:t>
      </w:r>
      <w:r w:rsidR="00CF6C07" w:rsidRPr="004E6412">
        <w:rPr>
          <w:rFonts w:ascii="Times New Roman" w:hAnsi="Times New Roman"/>
        </w:rPr>
        <w:t xml:space="preserve">ablici </w:t>
      </w:r>
      <w:r w:rsidR="00A40A60" w:rsidRPr="004E6412">
        <w:rPr>
          <w:rFonts w:ascii="Times New Roman" w:hAnsi="Times New Roman"/>
        </w:rPr>
        <w:t>57</w:t>
      </w:r>
      <w:r w:rsidR="00E345C4" w:rsidRPr="004E6412">
        <w:rPr>
          <w:rFonts w:ascii="Times New Roman" w:hAnsi="Times New Roman"/>
        </w:rPr>
        <w:t>. naveden</w:t>
      </w:r>
      <w:r w:rsidR="001B41B0" w:rsidRPr="004E6412">
        <w:rPr>
          <w:rFonts w:ascii="Times New Roman" w:hAnsi="Times New Roman"/>
        </w:rPr>
        <w:t xml:space="preserve"> je usporedni pregled vrijednosti odabranih pok</w:t>
      </w:r>
      <w:r w:rsidR="00E345C4" w:rsidRPr="004E6412">
        <w:rPr>
          <w:rFonts w:ascii="Times New Roman" w:hAnsi="Times New Roman"/>
        </w:rPr>
        <w:t>azatelja uspješnosti poslovanja</w:t>
      </w:r>
      <w:r w:rsidR="001B41B0" w:rsidRPr="004E6412">
        <w:rPr>
          <w:rFonts w:ascii="Times New Roman" w:hAnsi="Times New Roman"/>
        </w:rPr>
        <w:t xml:space="preserve"> za pojedine djelatnosti i poddjelatnosti prerađivačke industrije u 2012.</w:t>
      </w:r>
      <w:r w:rsidRPr="004E6412">
        <w:rPr>
          <w:rFonts w:ascii="Times New Roman" w:hAnsi="Times New Roman"/>
        </w:rPr>
        <w:t xml:space="preserve"> godini.</w:t>
      </w:r>
    </w:p>
    <w:p w:rsidR="001B41B0" w:rsidRPr="004E6412" w:rsidRDefault="001B41B0" w:rsidP="001B41B0"/>
    <w:p w:rsidR="00416AA9" w:rsidRPr="007D0CFD" w:rsidRDefault="00A40A60" w:rsidP="007D0CFD">
      <w:pPr>
        <w:pStyle w:val="Heading5"/>
        <w:rPr>
          <w:rStyle w:val="IntenseEmphasis"/>
          <w:b/>
          <w:bCs w:val="0"/>
          <w:iCs w:val="0"/>
          <w:color w:val="548DD4" w:themeColor="text2" w:themeTint="99"/>
          <w:sz w:val="20"/>
        </w:rPr>
      </w:pPr>
      <w:bookmarkStart w:id="324" w:name="_Toc372088134"/>
      <w:bookmarkStart w:id="325" w:name="_Toc377551069"/>
      <w:bookmarkStart w:id="326" w:name="_Toc377635258"/>
      <w:r w:rsidRPr="007D0CFD">
        <w:rPr>
          <w:rStyle w:val="IntenseEmphasis"/>
          <w:b/>
          <w:bCs w:val="0"/>
          <w:iCs w:val="0"/>
          <w:color w:val="548DD4" w:themeColor="text2" w:themeTint="99"/>
          <w:sz w:val="20"/>
        </w:rPr>
        <w:t>Tablica 57</w:t>
      </w:r>
      <w:r w:rsidR="00416AA9" w:rsidRPr="007D0CFD">
        <w:rPr>
          <w:rStyle w:val="IntenseEmphasis"/>
          <w:b/>
          <w:bCs w:val="0"/>
          <w:iCs w:val="0"/>
          <w:color w:val="548DD4" w:themeColor="text2" w:themeTint="99"/>
          <w:sz w:val="20"/>
        </w:rPr>
        <w:t xml:space="preserve">. Usporedba odabranih pokazatelja poslovanja </w:t>
      </w:r>
      <w:r w:rsidR="001162F6">
        <w:rPr>
          <w:rStyle w:val="IntenseEmphasis"/>
          <w:b/>
          <w:bCs w:val="0"/>
          <w:iCs w:val="0"/>
          <w:color w:val="548DD4" w:themeColor="text2" w:themeTint="99"/>
          <w:sz w:val="20"/>
        </w:rPr>
        <w:t>pojedinih djelatnosti i pod</w:t>
      </w:r>
      <w:r w:rsidR="00416AA9" w:rsidRPr="007D0CFD">
        <w:rPr>
          <w:rStyle w:val="IntenseEmphasis"/>
          <w:b/>
          <w:bCs w:val="0"/>
          <w:iCs w:val="0"/>
          <w:color w:val="548DD4" w:themeColor="text2" w:themeTint="99"/>
          <w:sz w:val="20"/>
        </w:rPr>
        <w:t>djelatnosti prerađivačke industrije 2012.</w:t>
      </w:r>
      <w:bookmarkEnd w:id="324"/>
      <w:bookmarkEnd w:id="325"/>
      <w:bookmarkEnd w:id="326"/>
      <w:r w:rsidR="00416AA9" w:rsidRPr="007D0CFD">
        <w:rPr>
          <w:rStyle w:val="IntenseEmphasis"/>
          <w:b/>
          <w:bCs w:val="0"/>
          <w:iCs w:val="0"/>
          <w:color w:val="548DD4" w:themeColor="text2" w:themeTint="99"/>
          <w:sz w:val="20"/>
        </w:rPr>
        <w:t xml:space="preserve"> </w:t>
      </w:r>
    </w:p>
    <w:tbl>
      <w:tblPr>
        <w:tblW w:w="5000" w:type="pct"/>
        <w:tblCellMar>
          <w:left w:w="28" w:type="dxa"/>
          <w:right w:w="0" w:type="dxa"/>
        </w:tblCellMar>
        <w:tblLook w:val="04A0" w:firstRow="1" w:lastRow="0" w:firstColumn="1" w:lastColumn="0" w:noHBand="0" w:noVBand="1"/>
      </w:tblPr>
      <w:tblGrid>
        <w:gridCol w:w="533"/>
        <w:gridCol w:w="3463"/>
        <w:gridCol w:w="701"/>
        <w:gridCol w:w="923"/>
        <w:gridCol w:w="691"/>
        <w:gridCol w:w="1312"/>
        <w:gridCol w:w="1312"/>
        <w:gridCol w:w="1145"/>
        <w:gridCol w:w="1234"/>
        <w:gridCol w:w="750"/>
        <w:gridCol w:w="799"/>
        <w:gridCol w:w="926"/>
        <w:gridCol w:w="1000"/>
        <w:gridCol w:w="642"/>
      </w:tblGrid>
      <w:tr w:rsidR="001B41B0" w:rsidRPr="004E6412" w:rsidTr="001B41B0">
        <w:trPr>
          <w:trHeight w:val="900"/>
        </w:trPr>
        <w:tc>
          <w:tcPr>
            <w:tcW w:w="1295"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w:t>
            </w:r>
          </w:p>
        </w:tc>
        <w:tc>
          <w:tcPr>
            <w:tcW w:w="22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4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97195F">
        <w:trPr>
          <w:trHeight w:val="225"/>
        </w:trPr>
        <w:tc>
          <w:tcPr>
            <w:tcW w:w="1295" w:type="pct"/>
            <w:gridSpan w:val="2"/>
            <w:tcBorders>
              <w:top w:val="single" w:sz="4" w:space="0" w:color="auto"/>
              <w:left w:val="single" w:sz="4" w:space="0" w:color="auto"/>
              <w:bottom w:val="single" w:sz="4" w:space="0" w:color="auto"/>
              <w:right w:val="single" w:sz="4" w:space="0" w:color="000000"/>
            </w:tcBorders>
            <w:shd w:val="clear" w:color="auto" w:fill="D9D9D9"/>
            <w:vAlign w:val="center"/>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 Prerađivačka industrija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11.562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224.441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56.688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189.340.968.142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165.521.378.649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8.130.605.704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45.755.161.993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C10 Proizvodnja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43.826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52.468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35.210.756.774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32.741.686.821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342.685.999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6.426.279.587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0,998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mesa i proizvodnja mesnih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7.793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51.884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5.240.222.197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7.267.317.038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-17.870.574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1.068.935.881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0,422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riba, rakova i školjki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40.001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957.168.528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699.824.772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41.853.258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208.006.449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voća i povrća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4.519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62.245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3.983.257.982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2.801.482.000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-63.263.465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684.294.568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10 4</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biljnih i životinjskih ulja i masti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66.520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2.253.842.021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1.308.912.904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-24.620.463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200.694.512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0,691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10 5</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mliječnih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66.930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7.512.077.540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7.185.954.828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237.577.042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1.133.279.644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10 6</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mlinskih proizvoda, škroba i škrobnih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49.866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1.827.790.149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1.584.849.228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-242.369.361</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16.975.969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10 7</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pekarskih i brašneno-konditorskih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15.813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40.107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4.677.036.745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4.292.162.707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40.921.009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1.414.689.617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0,953</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10 8</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7.216.039.573</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6.291.760.662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318.846.863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1.454.388.567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1,349</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pripremljene hrane za životinje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58.140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1.543.322.039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1.309.422.682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51.611.690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245.014.380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0,883</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C11 Proizvodnja pića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6.027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9.280.808.087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6.307.280.480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420.546.782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2.100.932.553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4,53</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C12 Proizvodnja duhanskih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87.576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3.855.499.046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1.761.308.677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277.619.246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709.797.800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0,276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1,431</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C13 Proizvodnja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38.647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1.512.121.025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1.110.473.662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-299.182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321.503.095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1,106</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Priprema i predenje tekstilnih vlakana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43.198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331.412.242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204.595.102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-2.515.922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54.714.591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1,850</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Tkanje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187.442.219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172.157.283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5.919.010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47.556.635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0,901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Dovršavanje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23.489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19.790.767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41.120.906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870.505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15.720.798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ostalog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38.706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973.475.797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692.600.371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-4.572.775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203.511.071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0,769</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C14 Proizvodnja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35.137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5.468.341.377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3.783.181.619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-67.786.416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1.141.238.931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3,152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odjeće, osim krznene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13.018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34.179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4.191.384.718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2.834.385.405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-159.253.188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816.425.168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7,725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34.924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24.709.662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4.304.403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-1.669.637</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1.226.339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0,911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pletene i kukičane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40.764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1.252.246.997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944.491.811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93.136.409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323.587.424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1,526</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C15 Proizvodnja kože i srodnih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8.362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34.211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2.797.967.191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3.005.533.627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-70.470.244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530.253.848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1,342</w:t>
            </w:r>
          </w:p>
        </w:tc>
      </w:tr>
      <w:tr w:rsidR="001B41B0" w:rsidRPr="004E6412" w:rsidTr="001B41B0">
        <w:trPr>
          <w:trHeight w:val="67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15 1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Štavljenje i obrada kože; proizvodnja putnih i ručnih torba, sedlarskih i remenarskih proizvoda; dorada i bojenje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3.387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35.041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1.333.769.009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2.273.947.530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115.735.670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366.135.222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8,68</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lastRenderedPageBreak/>
              <w:t>15 2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obuće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33.645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1.464.198.182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731.586.097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-186.205.914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164.118.626</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4,135</w:t>
            </w:r>
          </w:p>
        </w:tc>
      </w:tr>
    </w:tbl>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30"/>
        <w:gridCol w:w="3284"/>
        <w:gridCol w:w="846"/>
        <w:gridCol w:w="923"/>
        <w:gridCol w:w="741"/>
        <w:gridCol w:w="1302"/>
        <w:gridCol w:w="1302"/>
        <w:gridCol w:w="1145"/>
        <w:gridCol w:w="1222"/>
        <w:gridCol w:w="747"/>
        <w:gridCol w:w="812"/>
        <w:gridCol w:w="926"/>
        <w:gridCol w:w="1000"/>
        <w:gridCol w:w="651"/>
      </w:tblGrid>
      <w:tr w:rsidR="001B41B0" w:rsidRPr="004E6412" w:rsidTr="001B41B0">
        <w:trPr>
          <w:trHeight w:val="900"/>
        </w:trPr>
        <w:tc>
          <w:tcPr>
            <w:tcW w:w="1236"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660"/>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C16 Prerada drva i proizvoda od drva i pluta, osim namještaja; proizvodnja proizvoda od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11.930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38.132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5.659.117.351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4.631.094.146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-93.410.335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1.064.899.693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Piljenje i blanjanje drva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4.682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37.292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2.343.656.145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2.009.514.071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40.555.045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486.113.200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9,365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drva, pluta,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7.248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38.674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3.315.461.206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2.621.580.075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-133.965.380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578.786.493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0,773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3,321</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C17 Proizvodnja papira i proizvoda od papira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3.562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54.406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2.503.883.948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2.560.706.546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-382.489.022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339.870.598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-15,28</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celuloze,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57.387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597.477.401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830.546.834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-409.022.890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-85.443.687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-310,88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0,689</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53.214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1.906.406.547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1.730.159.712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26.533.868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425.314.285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0,747</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C18 Tiskanje i 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849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3.079.871.233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2.796.064.348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20.447.992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914.202.390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r>
      <w:tr w:rsidR="001B41B0" w:rsidRPr="004E6412" w:rsidTr="001B41B0">
        <w:trPr>
          <w:trHeight w:val="24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Tiskanje i uslužne djelatnosti povezane s tiskanjem</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54.881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3.000.177.493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2.675.861.760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15.666.138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889.949.725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0,676</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63.215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79.693.740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120.202.588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4.781.854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24.252.665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5,582</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C19 Proizvodnja koksa i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koksnih peći</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C20 Proizvodnja kemikalija i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62.675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8.831.799.528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7.089.978.410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-935.064.830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1.073.102.013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kemikalija, gnojiva i dušičnih spojeva, plastike i sintetičkoga kaučuka u primarnim oblicima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66.817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5.141.376.909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4.376.993.097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-977.498.099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475.821.583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-19,01</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pesticida i drugih agrokemijskih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680.177.779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302.265.442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26.637.415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80.780.481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0,206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20 3</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boja, lakova i sličnih premaza, grafičkih boja i kitova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66.439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714.110.325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655.794.612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31.351.806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149.747.371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20 4</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sapuna i deterdženata, sredstava za čišćenje i poliranje, parfema i toaletno-kozmetičkih preparata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53.503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1.050.552.370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1.054.513.896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607.340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219.514.538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0,944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20 5</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1.245.560.652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700.391.431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-16.163.292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147.237.989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1,067</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20 6</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umjetnih vlakana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19.932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C21 Proizvodnja osnovnih farmaceutskih proizvoda i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4.126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11.515.824.306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5.201.680.904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808.459.392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2.121.205.262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farmaceutskih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69.329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12.806.420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2.689.277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-969.972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-7,57</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103.908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11.503.017.886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5.198.991.627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809.429.364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2.120.226.495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28" w:type="dxa"/>
        </w:tblCellMar>
        <w:tblLook w:val="04A0" w:firstRow="1" w:lastRow="0" w:firstColumn="1" w:lastColumn="0" w:noHBand="0" w:noVBand="1"/>
      </w:tblPr>
      <w:tblGrid>
        <w:gridCol w:w="513"/>
        <w:gridCol w:w="3190"/>
        <w:gridCol w:w="853"/>
        <w:gridCol w:w="955"/>
        <w:gridCol w:w="686"/>
        <w:gridCol w:w="1304"/>
        <w:gridCol w:w="1289"/>
        <w:gridCol w:w="1162"/>
        <w:gridCol w:w="1224"/>
        <w:gridCol w:w="773"/>
        <w:gridCol w:w="810"/>
        <w:gridCol w:w="998"/>
        <w:gridCol w:w="1054"/>
        <w:gridCol w:w="643"/>
      </w:tblGrid>
      <w:tr w:rsidR="001B41B0" w:rsidRPr="004E6412" w:rsidTr="001B41B0">
        <w:trPr>
          <w:trHeight w:val="900"/>
        </w:trPr>
        <w:tc>
          <w:tcPr>
            <w:tcW w:w="1198"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xml:space="preserve">ROE (%)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C22 Proizvodnja proizvoda od gume i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691</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6.588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48.133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4.339.923.794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4.182.178.616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33.126.861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908.903.357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gume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54.807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611.314.557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581.521.627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29.699.390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146.353.734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13,66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0,437</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5.832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47.268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3.728.609.237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3.600.656.989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3.427.471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762.549.623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0,977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0,797</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C23 Proizvodnja ostalih nemetalnih mineralnih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10.146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14.311.692.929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7.529.428.896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-225.479.710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2.049.148.317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1,521</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stakla i proizvoda od stakla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1.691.593.097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1.305.651.596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75.151.849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468.812.441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vatrostalnih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40.567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16.380.547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10.936.874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-3.880.604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1.351.510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81,26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0,456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0,118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23 3</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gline za građevinarstvo</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1.571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49.957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2.439.844.829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722.349.017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-172.489.350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124.892.598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23 4</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od porculana i keramike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40.806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299.827.739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166.108.067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-14.064.661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35.455.579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0,287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23 5</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cementa, vapna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1.419</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95.457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4.208.007.080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1.851.269.441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-95.269.640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596.105.227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1,978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23 6</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betona, cementa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2.844</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54.930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3.358.208.829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2.283.888.586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31.311.282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527.452.626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1,087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0,409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23 7</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Rezanje, oblikovanje i obrada kamena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48.500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1.077.971.076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513.944.221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912.120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188.045.756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2,094</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23 9</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brusnih proizvoda i nemetalnih mineralnih proizvoda, d.n.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69.404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1.219.859.732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675.281.094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-47.150.706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107.032.580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2,703</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C24 Proizvodnja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4.787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55.596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4.377.709.848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4.701.749.768</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363.905.209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1.193.334.794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69,52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1,322</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24 1</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sirovog željeza, čelika i ferolegura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778.805.650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145.897.837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-75.686.528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-38.982.043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-9,72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19,07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0,717</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24 2</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čeličnih cijevi i pribora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52.811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363.090.509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1.298.768.317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561.324.632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641.160.085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241,53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3,023</w:t>
            </w:r>
          </w:p>
        </w:tc>
      </w:tr>
      <w:tr w:rsidR="001B41B0" w:rsidRPr="004E6412" w:rsidTr="001B41B0">
        <w:trPr>
          <w:trHeight w:val="450"/>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24 3</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primarne prerade čelika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44.499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85.980.810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32.937.154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-854.370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5.259.226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24 4</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plemenitih i ostalih obojenih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1.203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67.265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1.890.955.821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2.002.420.451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-166.680.850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184.762.285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-79,29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1,111</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24 5</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Lijevanje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50.926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1.258.877.058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1.221.726.009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45.802.325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401.135.241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1,134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0,650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22"/>
        <w:gridCol w:w="3219"/>
        <w:gridCol w:w="852"/>
        <w:gridCol w:w="932"/>
        <w:gridCol w:w="741"/>
        <w:gridCol w:w="1296"/>
        <w:gridCol w:w="1296"/>
        <w:gridCol w:w="1123"/>
        <w:gridCol w:w="1216"/>
        <w:gridCol w:w="787"/>
        <w:gridCol w:w="809"/>
        <w:gridCol w:w="969"/>
        <w:gridCol w:w="1012"/>
        <w:gridCol w:w="657"/>
      </w:tblGrid>
      <w:tr w:rsidR="001B41B0" w:rsidRPr="004E6412" w:rsidTr="001B41B0">
        <w:trPr>
          <w:trHeight w:val="900"/>
        </w:trPr>
        <w:tc>
          <w:tcPr>
            <w:tcW w:w="1212"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6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1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C25 Proizvodnja gotovih metalnih proizvoda, osim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26.950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56.026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13.325.617.891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11.896.808.737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593.764.836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4.110.882.605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2,237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konstrukcija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56.304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5.613.834.975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5.436.648.691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128.575.921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1.776.072.743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10,41</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0,743</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2,839</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cisterni, rezervoara i sličnih posuda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905.795.360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510.999.838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20.831.600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148.638.698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parnih kotlova, osim kotlova za centralno grijanje toplom vodom</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63.741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518.387.751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518.521.391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20.040.600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179.540.920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2,562</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oružja i streljiva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52.677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13.344.965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14.602.197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-737.826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4.695.567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71,03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0,466</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Kovanje, prešanje, štancanje i valjanje metala; metalurgija praha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83.280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327.513.186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371.443.344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32.025.647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165.252.800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Obrada i prevlačenje metala; strojna obrada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54.544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2.205.571.222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2.110.841.953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200.207.147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891.142.151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27,30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1,132</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0,638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sječiva, alata i opće željezne robe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806.468.872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744.785.223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56.168.516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293.761.423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2,300</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25 9</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gotovih proizvoda od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4.179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47.901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2.934.701.560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2.188.966.100</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136.653.231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651.778.303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11,66</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1,381</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0,857</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C26 Proizvodnja računala te elektroničkih i optičkih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85.276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4.243.854.246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5.868.936.378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241.743.078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1.459.894.897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0,526</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0,879</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komponenata i ploča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53.822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180.422.325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271.819.668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7.562.476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136.168.419</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3,913</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računala i periferne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72.549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2.000.058.018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2.874.765.248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78.896.441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389.981.326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11,88</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0,357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komunikacijske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123.578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1.432.868.257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2.206.258.331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126.294.170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756.282.377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3,334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uređaja za široku potrošnju</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28.385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4.061.063</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3.648.199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956.051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instrumenata i aparata za mjerenje, ispitivanje i navigaciju; proizvodnja satova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55.561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331.552.068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177.644.679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9.444.676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58.909.226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2,85</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0,477</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0,324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opreme za zračenje, elektromedicinske i elektroterapeutske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60.698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62.359.360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65.383.104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5.506.560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20.960.265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0,050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optičkih instrumenata i fotografske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231.723.926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267.214.828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16.507.025</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98.432.761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1,758</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26 8</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magnetskih i optičkih medija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154.456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809.229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2.202.321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-2.464.082</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-1.795.528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-304,50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100,84</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3,468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bl>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tbl>
      <w:tblPr>
        <w:tblW w:w="5000" w:type="pct"/>
        <w:tblCellMar>
          <w:left w:w="28" w:type="dxa"/>
          <w:right w:w="0" w:type="dxa"/>
        </w:tblCellMar>
        <w:tblLook w:val="04A0" w:firstRow="1" w:lastRow="0" w:firstColumn="1" w:lastColumn="0" w:noHBand="0" w:noVBand="1"/>
      </w:tblPr>
      <w:tblGrid>
        <w:gridCol w:w="530"/>
        <w:gridCol w:w="3330"/>
        <w:gridCol w:w="846"/>
        <w:gridCol w:w="923"/>
        <w:gridCol w:w="691"/>
        <w:gridCol w:w="1290"/>
        <w:gridCol w:w="1290"/>
        <w:gridCol w:w="1145"/>
        <w:gridCol w:w="1219"/>
        <w:gridCol w:w="747"/>
        <w:gridCol w:w="852"/>
        <w:gridCol w:w="926"/>
        <w:gridCol w:w="1000"/>
        <w:gridCol w:w="642"/>
      </w:tblGrid>
      <w:tr w:rsidR="001B41B0" w:rsidRPr="004E6412" w:rsidTr="001B41B0">
        <w:trPr>
          <w:trHeight w:val="900"/>
        </w:trPr>
        <w:tc>
          <w:tcPr>
            <w:tcW w:w="125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lastRenderedPageBreak/>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C27 Proizvodnja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8.158.054.461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7.823.058.384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376.973.706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2.116.070.805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1,886</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elektromotora, generatora, transformatora te uređaja za distribuciju i kontrolu električne energije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78.761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5.009.792.142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4.059.033.172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327.762.098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1.332.639.977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baterija i akumulatora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90.339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89.845.364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27.497.118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-5.299.939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2.629.170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0,450</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žice i elektroinstalacijskog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49.140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860.184.580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1.262.602.410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-1.221.688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131.141.339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električne opreme za rasvjetu</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43.035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345.364.013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214.485.160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-5.087.941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53.231.770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27 5</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aparata za kućanstvo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45.290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392.845.965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530.466.198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-48.523.672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56.696.782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-33,03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ostale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92.415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1.460.022.397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1.728.974.326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109.344.848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539.731.767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0,978</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C28 Proizvodnja strojeva i uređaja,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60.909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6.051.933.939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5.761.966.575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167.058.729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1.743.157.518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2,641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67.300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1.903.945.046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1.812.028.950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20.471.862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596.606.158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0,804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1,820</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2.754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57.426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1.598.499.406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1.469.994.289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17.436.118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400.113.033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poljoprivredu i šumarstvo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827.240.697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694.416.647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27.488.249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187.026.980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7,788</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obradu metala i alatnih strojeva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55.915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465.925.942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428.421.889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-11.402.719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130.021.507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2,595</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posebne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56.568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1.256.322.848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1.357.104.800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113.065.219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429.389.840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36,07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5,242</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C29 Proizvodnja motornih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2.967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60.652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2.504.314.563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2.224.631.929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1.990.171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487.195.203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0,837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motornih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69.587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465.435.057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941.993.014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113.835.746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0,409</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karoserija za motorna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51.794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86.382.511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82.052.286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-5.029.968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10.119.711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-37,98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dijelova i pribora za motorna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58.278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1.952.496.995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1.200.586.629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6.594.741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363.239.746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1,660</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C30 Proizvodnja ostalih prijevoznih sredstava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11.776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65.087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6.482.565.196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8.655.522.472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3.211.734.497</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5.625.971.913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402,00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Gradnja brodova i čamaca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9.461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64.616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4.849.345.595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7.958.626.835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3.580.608.821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5.162.157.313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73,84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1277,86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željezničkih lokomotiva i tračničkih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67.100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1.274.184.079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590.884.106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-369.045.256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409.909.689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-28,96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-140,96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0,384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zrakoplova i svemirskih letjelica te srodnih prijevoznih sredstava i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70.786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309.463.271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60.074.620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-3.632.222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41.486.858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vojnih borbenih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prijevoznih sredstava,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49.030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49.572.251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45.936.911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3.803.154</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12.418.053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1,426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0,092</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firstRow="1" w:lastRow="0" w:firstColumn="1" w:lastColumn="0" w:noHBand="0" w:noVBand="1"/>
      </w:tblPr>
      <w:tblGrid>
        <w:gridCol w:w="511"/>
        <w:gridCol w:w="3166"/>
        <w:gridCol w:w="852"/>
        <w:gridCol w:w="954"/>
        <w:gridCol w:w="685"/>
        <w:gridCol w:w="1287"/>
        <w:gridCol w:w="1287"/>
        <w:gridCol w:w="1201"/>
        <w:gridCol w:w="1222"/>
        <w:gridCol w:w="772"/>
        <w:gridCol w:w="809"/>
        <w:gridCol w:w="997"/>
        <w:gridCol w:w="1052"/>
        <w:gridCol w:w="636"/>
      </w:tblGrid>
      <w:tr w:rsidR="001B41B0" w:rsidRPr="004E6412" w:rsidTr="001B41B0">
        <w:trPr>
          <w:trHeight w:val="900"/>
        </w:trPr>
        <w:tc>
          <w:tcPr>
            <w:tcW w:w="119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lastRenderedPageBreak/>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8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C31 Proizvodnja namještaja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4.778.688.431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3.252.151.165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-111.650.371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805.591.297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0,858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0,676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2,059</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C32 Ostala prerađivačka industrija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2.141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45.240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1.104.404.315</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986.928.897</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28.676.084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265.114.674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0,992</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nakita, imitacije nakita (bižuterije) i srodnih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45.116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154.934.532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98.970.841</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-905.188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25.635.993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7,134</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glazbenih instrumenata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27.233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4.102.049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2.157.875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-76.701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530.054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0,624</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0,869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32 3</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sportske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34.146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28.532.744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29.504.258</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6.038.304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12.876.063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21,16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63,29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1,867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0,665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2,060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32 4</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igara i igračaka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40.341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103.491.079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53.622.799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-703.442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17.672.100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-3,94</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2,769</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32 5</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medicinskih i stomatoloških instrumenata i pribora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49.759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488.954.463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506.097.755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22.432.555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131.116.478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0,649</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32 9</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Prerađivačka industrija, d. 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822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43.000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324.389.448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296.575.369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1.890.556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77.283.986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1,51</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1,506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0,610</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1,414</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C33 Popravak i instaliranje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59.811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1.875.822.907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3.765.512.912</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1.812.108.945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2.500.455.329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357,57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4,090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Popravak proizvoda od metala,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4.540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59.698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1.490.724.223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3.353.070.143</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1.779.681.466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2.366.621.712</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514,89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1,183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0,725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4,278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E345C4" w:rsidP="001B41B0">
            <w:pPr>
              <w:jc w:val="left"/>
              <w:rPr>
                <w:sz w:val="16"/>
                <w:szCs w:val="16"/>
              </w:rPr>
            </w:pPr>
            <w:r w:rsidRPr="004E6412">
              <w:rPr>
                <w:sz w:val="16"/>
                <w:szCs w:val="16"/>
              </w:rPr>
              <w:t>I</w:t>
            </w:r>
            <w:r w:rsidR="001B41B0" w:rsidRPr="004E6412">
              <w:rPr>
                <w:sz w:val="16"/>
                <w:szCs w:val="16"/>
              </w:rPr>
              <w:t>nstaliranje industrijskih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742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60.500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385.098.684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412.442.769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32.427.479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133.833.617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20,12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1,640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0,546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3,512</w:t>
            </w:r>
          </w:p>
        </w:tc>
      </w:tr>
    </w:tbl>
    <w:p w:rsidR="001B41B0" w:rsidRPr="004E6412" w:rsidRDefault="001B41B0" w:rsidP="001B41B0">
      <w:pPr>
        <w:rPr>
          <w:sz w:val="20"/>
          <w:szCs w:val="20"/>
        </w:rPr>
      </w:pPr>
      <w:r w:rsidRPr="004E6412">
        <w:rPr>
          <w:sz w:val="20"/>
          <w:szCs w:val="20"/>
        </w:rPr>
        <w:t>Izvor: Izrada autora</w:t>
      </w:r>
    </w:p>
    <w:p w:rsidR="001B41B0" w:rsidRPr="004E6412" w:rsidRDefault="001B41B0" w:rsidP="001B41B0">
      <w:pPr>
        <w:tabs>
          <w:tab w:val="left" w:pos="2540"/>
        </w:tabs>
        <w:sectPr w:rsidR="001B41B0" w:rsidRPr="004E6412" w:rsidSect="00F81C4C">
          <w:pgSz w:w="16838" w:h="11906" w:orient="landscape"/>
          <w:pgMar w:top="720" w:right="720" w:bottom="720" w:left="720" w:header="709" w:footer="709" w:gutter="0"/>
          <w:cols w:space="708"/>
          <w:docGrid w:linePitch="360"/>
        </w:sectPr>
      </w:pPr>
    </w:p>
    <w:p w:rsidR="001B41B0" w:rsidRPr="004E6412" w:rsidRDefault="001B41B0" w:rsidP="001B41B0">
      <w:pPr>
        <w:pStyle w:val="Heading2"/>
      </w:pPr>
      <w:bookmarkStart w:id="327" w:name="_Toc372087972"/>
      <w:bookmarkStart w:id="328" w:name="_Toc378069033"/>
      <w:r w:rsidRPr="004E6412">
        <w:lastRenderedPageBreak/>
        <w:t>C10 Proizvodnja prehrambenih proizvoda</w:t>
      </w:r>
      <w:bookmarkEnd w:id="210"/>
      <w:bookmarkEnd w:id="211"/>
      <w:bookmarkEnd w:id="212"/>
      <w:bookmarkEnd w:id="213"/>
      <w:bookmarkEnd w:id="327"/>
      <w:bookmarkEnd w:id="328"/>
    </w:p>
    <w:p w:rsidR="001B41B0" w:rsidRPr="004E6412" w:rsidRDefault="001B41B0" w:rsidP="001B41B0">
      <w:pPr>
        <w:rPr>
          <w:lang w:eastAsia="hr-HR"/>
        </w:rPr>
      </w:pPr>
    </w:p>
    <w:p w:rsidR="00BA701E" w:rsidRPr="004E6412" w:rsidRDefault="00BA701E" w:rsidP="001B41B0">
      <w:pPr>
        <w:rPr>
          <w:lang w:eastAsia="hr-HR"/>
        </w:rPr>
      </w:pPr>
    </w:p>
    <w:p w:rsidR="001B41B0" w:rsidRPr="004E6412" w:rsidRDefault="001B41B0" w:rsidP="001B41B0">
      <w:pPr>
        <w:rPr>
          <w:sz w:val="22"/>
        </w:rPr>
      </w:pPr>
      <w:r w:rsidRPr="004E6412">
        <w:rPr>
          <w:sz w:val="22"/>
        </w:rPr>
        <w:t>Djelatnost Proizvodnja prehrambenih proizvoda (C10) uključuje preradu i konzerviranje mesa i proizvodnju mesnih proizvoda (C10.1),  preradu i konzerviranje riba, rakova i školjki (C10.2), preradu i konzerviranje voća i povrća (C10.3), proizvodnju biljnih i životinjskih ulja i masti (C10.4),  proizvodnju mliječnih proizvoda (C10.5), proizvodnju mlinarskih proizvoda, škroba i škrobnih proizvoda (C10.6), proizvodnju brašna i brašnastih proizvoda (C10.7), proizvodnju ostalih prehrambenih proizvoda (C10.8) i proizvodnju pripremljene hrane za životinje (C.10.9).</w:t>
      </w:r>
    </w:p>
    <w:p w:rsidR="001B41B0" w:rsidRPr="004E6412" w:rsidRDefault="001B41B0" w:rsidP="001B41B0">
      <w:pPr>
        <w:rPr>
          <w:szCs w:val="24"/>
        </w:rPr>
      </w:pPr>
    </w:p>
    <w:p w:rsidR="00BA701E" w:rsidRPr="004E6412" w:rsidRDefault="00BA701E" w:rsidP="001B41B0">
      <w:pPr>
        <w:rPr>
          <w:szCs w:val="24"/>
        </w:rPr>
      </w:pPr>
    </w:p>
    <w:p w:rsidR="001B41B0" w:rsidRPr="004E6412" w:rsidRDefault="001B41B0" w:rsidP="00D001B9">
      <w:pPr>
        <w:pStyle w:val="Heading3"/>
      </w:pPr>
      <w:bookmarkStart w:id="329" w:name="_Toc365992519"/>
      <w:bookmarkStart w:id="330" w:name="_Toc366154257"/>
      <w:bookmarkStart w:id="331" w:name="_Toc366154377"/>
      <w:bookmarkStart w:id="332" w:name="_Toc366409920"/>
      <w:bookmarkStart w:id="333" w:name="_Toc372087973"/>
      <w:bookmarkStart w:id="334" w:name="_Toc378069034"/>
      <w:r w:rsidRPr="004E6412">
        <w:t>Globalni trendovi razvoja</w:t>
      </w:r>
      <w:bookmarkEnd w:id="329"/>
      <w:bookmarkEnd w:id="330"/>
      <w:bookmarkEnd w:id="331"/>
      <w:bookmarkEnd w:id="332"/>
      <w:bookmarkEnd w:id="333"/>
      <w:bookmarkEnd w:id="334"/>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 xml:space="preserve">U posljednjem desetljeću proizvodnja prehrambenih proizvoda na globalnoj razini bilježi uzlazni trend. </w:t>
      </w:r>
    </w:p>
    <w:p w:rsidR="001B41B0" w:rsidRPr="004E6412" w:rsidRDefault="001B41B0" w:rsidP="001B41B0">
      <w:pPr>
        <w:pStyle w:val="ListParagraph"/>
        <w:spacing w:after="0"/>
        <w:ind w:left="714"/>
        <w:jc w:val="both"/>
        <w:rPr>
          <w:rFonts w:ascii="Times New Roman" w:hAnsi="Times New Roman"/>
        </w:rPr>
      </w:pPr>
    </w:p>
    <w:p w:rsidR="001B41B0" w:rsidRPr="004E6412" w:rsidRDefault="00E345C4"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Udružuju se n</w:t>
      </w:r>
      <w:r w:rsidR="001B41B0" w:rsidRPr="004E6412">
        <w:rPr>
          <w:rFonts w:ascii="Times New Roman" w:hAnsi="Times New Roman"/>
        </w:rPr>
        <w:t>ajveći svjetski proizvođači pr</w:t>
      </w:r>
      <w:r w:rsidRPr="004E6412">
        <w:rPr>
          <w:rFonts w:ascii="Times New Roman" w:hAnsi="Times New Roman"/>
        </w:rPr>
        <w:t>ehrambenih proizvoda</w:t>
      </w:r>
      <w:r w:rsidR="001B41B0" w:rsidRPr="004E6412">
        <w:rPr>
          <w:rFonts w:ascii="Times New Roman" w:hAnsi="Times New Roman"/>
        </w:rPr>
        <w:t>. Tehnološki napredak omogućio je razvoj novih proizvoda i diversifikaciju, a nova regulacija ove djelatnosti rezultirala je povećanom orijentacijom proizvođača na  kupce i okoliš.</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Među najvažnije globalne trendove koji prevladavaju u industrijskoj djelatnosti proizvodnje prehrambenih p</w:t>
      </w:r>
      <w:r w:rsidR="00E345C4" w:rsidRPr="004E6412">
        <w:rPr>
          <w:rFonts w:ascii="Times New Roman" w:hAnsi="Times New Roman"/>
        </w:rPr>
        <w:t>roizvoda ubrajaju se: učinkovitost</w:t>
      </w:r>
      <w:r w:rsidRPr="004E6412">
        <w:rPr>
          <w:rFonts w:ascii="Times New Roman" w:hAnsi="Times New Roman"/>
        </w:rPr>
        <w:t xml:space="preserve"> proizvodnje kao ključ dugoročne održivosti; potražnja za diversificiranim proizvodima; sigurnost hrane; rastuća važnost tržišta zemalja u razvoju; održivost kao temeljna poslovna praksa; okrupnjavanje poduzeća i restrukturiranje vrijednosnog lanca.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Ipak, globalna ekonomska i financijska kriza imala je nepovoljan utjecaj na proizvodnju prehrambenih proizvoda u većini zemalja svijeta. Najveći problemi očituju se u obliku rastućih cijena hrane, povećanih troškova prijevoza i smanjenju potrošnje.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Očekuje se daljnji rast ove industrijske djelatnosti na svjetskoj razini koji će prvenstveno biti vođen potencijalom zemalja u razvoju, njihovom rastućem stanovništvu i doho</w:t>
      </w:r>
      <w:r w:rsidR="000E56DF" w:rsidRPr="004E6412">
        <w:rPr>
          <w:rFonts w:ascii="Times New Roman" w:hAnsi="Times New Roman"/>
        </w:rPr>
        <w:t>d</w:t>
      </w:r>
      <w:r w:rsidRPr="004E6412">
        <w:rPr>
          <w:rFonts w:ascii="Times New Roman" w:hAnsi="Times New Roman"/>
        </w:rPr>
        <w:t>cima. Maloprodaja je dio djelatnosti za koji se očekuje da će ostvariti najveće koristi od rasta cjelokupne proizvodnje prehrambene industrije.</w:t>
      </w:r>
    </w:p>
    <w:p w:rsidR="001B41B0" w:rsidRDefault="001B41B0" w:rsidP="001B41B0">
      <w:pPr>
        <w:rPr>
          <w:szCs w:val="24"/>
        </w:rPr>
      </w:pPr>
    </w:p>
    <w:p w:rsidR="001B41B0" w:rsidRPr="004E6412" w:rsidRDefault="001B41B0" w:rsidP="00D001B9">
      <w:pPr>
        <w:pStyle w:val="Heading3"/>
      </w:pPr>
      <w:bookmarkStart w:id="335" w:name="_Toc365992520"/>
      <w:bookmarkStart w:id="336" w:name="_Toc366154258"/>
      <w:bookmarkStart w:id="337" w:name="_Toc366154378"/>
      <w:bookmarkStart w:id="338" w:name="_Toc366409921"/>
      <w:bookmarkStart w:id="339" w:name="_Toc372087974"/>
      <w:bookmarkStart w:id="340" w:name="_Toc378069035"/>
      <w:r w:rsidRPr="004E6412">
        <w:t>Trendovi razvoja u Europskoj uniji</w:t>
      </w:r>
      <w:bookmarkEnd w:id="335"/>
      <w:bookmarkEnd w:id="336"/>
      <w:bookmarkEnd w:id="337"/>
      <w:bookmarkEnd w:id="338"/>
      <w:bookmarkEnd w:id="339"/>
      <w:bookmarkEnd w:id="340"/>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prehrambenih proizvoda u EU (uključujući proizvodnju pića) predstavlja najveći proizvodni sektor u pogledu ostvarene dobiti, broja zaposlenih te dodane vrijednosti.</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w:t>
      </w:r>
      <w:r w:rsidR="0060452D" w:rsidRPr="004E6412">
        <w:rPr>
          <w:rFonts w:ascii="Times New Roman" w:hAnsi="Times New Roman"/>
        </w:rPr>
        <w:t>benih proizvoda je rascjepkana</w:t>
      </w:r>
      <w:r w:rsidRPr="004E6412">
        <w:rPr>
          <w:rFonts w:ascii="Times New Roman" w:hAnsi="Times New Roman"/>
        </w:rPr>
        <w:t xml:space="preserve"> industri</w:t>
      </w:r>
      <w:r w:rsidR="0060452D" w:rsidRPr="004E6412">
        <w:rPr>
          <w:rFonts w:ascii="Times New Roman" w:hAnsi="Times New Roman"/>
        </w:rPr>
        <w:t>jska djelatnost u kojoj prevladavaju</w:t>
      </w:r>
      <w:r w:rsidRPr="004E6412">
        <w:rPr>
          <w:rFonts w:ascii="Times New Roman" w:hAnsi="Times New Roman"/>
        </w:rPr>
        <w:t xml:space="preserve"> mala i srednja poduzeća. Navedeno ima utjecaja na sposobnost inoviranja te na ulaganje u istraživanje i razvoj. Proizvodnja mesa i mesnih prerađevina predstavlja najveću poddjelatnost generirajući gotovo 20% ukupne dobiti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Tržišni udio proizvodnje prehrambenih proizvoda EU</w:t>
      </w:r>
      <w:r w:rsidR="000E56DF" w:rsidRPr="004E6412">
        <w:rPr>
          <w:rFonts w:ascii="Times New Roman" w:hAnsi="Times New Roman"/>
        </w:rPr>
        <w:t>-a</w:t>
      </w:r>
      <w:r w:rsidRPr="004E6412">
        <w:rPr>
          <w:rFonts w:ascii="Times New Roman" w:hAnsi="Times New Roman"/>
        </w:rPr>
        <w:t xml:space="preserve"> posljednjih se godi</w:t>
      </w:r>
      <w:r w:rsidR="000E56DF" w:rsidRPr="004E6412">
        <w:rPr>
          <w:rFonts w:ascii="Times New Roman" w:hAnsi="Times New Roman"/>
        </w:rPr>
        <w:t>na smanjio na tržištima SAD-a i</w:t>
      </w:r>
      <w:r w:rsidRPr="004E6412">
        <w:rPr>
          <w:rFonts w:ascii="Times New Roman" w:hAnsi="Times New Roman"/>
        </w:rPr>
        <w:t xml:space="preserve"> Japana, no bilježi porast u Indiji, Kini i Rusiji.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lastRenderedPageBreak/>
        <w:t>Trendovi i pokretači promjena u europskoj proizvodnji prehrambenih proizvoda uključuju: potrebu povećanja produktivnosti, izradu politika i pravila u okviru djelatnosti, razvoj tehnologije, jačanje međunarodne konkurencije te promjene navika potrošača.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Proizvodnji prehrambenih proizvoda u EU nedostaje konkretna, jasna i specifična industrijska politika koja bi uzela u obzir međupovezanost više različitih EU politika od utjecaja na ovu djelatnost.</w:t>
      </w:r>
    </w:p>
    <w:p w:rsidR="001B41B0" w:rsidRPr="004E6412" w:rsidRDefault="001B41B0" w:rsidP="001B41B0">
      <w:pPr>
        <w:rPr>
          <w:szCs w:val="24"/>
        </w:rPr>
      </w:pPr>
    </w:p>
    <w:p w:rsidR="001B41B0" w:rsidRPr="004E6412" w:rsidRDefault="001B41B0" w:rsidP="00D001B9">
      <w:pPr>
        <w:pStyle w:val="Heading3"/>
      </w:pPr>
      <w:bookmarkStart w:id="341" w:name="_Toc365992521"/>
      <w:bookmarkStart w:id="342" w:name="_Toc366154259"/>
      <w:bookmarkStart w:id="343" w:name="_Toc366154379"/>
      <w:bookmarkStart w:id="344" w:name="_Toc366409922"/>
      <w:bookmarkStart w:id="345" w:name="_Toc372087975"/>
      <w:bookmarkStart w:id="346" w:name="_Toc378069036"/>
      <w:r w:rsidRPr="004E6412">
        <w:t>Stanje i perspektive razvoja u Republici Hrvatskoj</w:t>
      </w:r>
      <w:bookmarkEnd w:id="341"/>
      <w:bookmarkEnd w:id="342"/>
      <w:bookmarkEnd w:id="343"/>
      <w:bookmarkEnd w:id="344"/>
      <w:bookmarkEnd w:id="345"/>
      <w:bookmarkEnd w:id="346"/>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Proizvodnja prehrambenih proizvoda dugi niz godina predstavlja važan dio domaćeg gospodarstva. Obilježava</w:t>
      </w:r>
      <w:r w:rsidR="000E56DF" w:rsidRPr="004E6412">
        <w:rPr>
          <w:rFonts w:ascii="Times New Roman" w:hAnsi="Times New Roman"/>
        </w:rPr>
        <w:t xml:space="preserve"> je raznolikost i razvijenost, a</w:t>
      </w:r>
      <w:r w:rsidRPr="004E6412">
        <w:rPr>
          <w:rFonts w:ascii="Times New Roman" w:hAnsi="Times New Roman"/>
        </w:rPr>
        <w:t xml:space="preserve"> s obzirom na vrijednost industrijske proizvodnje predstavlja najznačajniji proizvodni sektor. </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industrijskoj djelatnosti proizvodnje prehrambenih proizvoda, mesna poddjelatnost ima najveći udio (20,45%). U posljednje vrijeme ovaj se segment suočava s mnogim izazovima uključujući i gubitak izvoznih tržišta, smanjenje dobiti proizvođača, primjenu novih standarda i pravila u skladu s EU</w:t>
      </w:r>
      <w:r w:rsidR="000E56DF" w:rsidRPr="004E6412">
        <w:rPr>
          <w:rFonts w:ascii="Times New Roman" w:hAnsi="Times New Roman"/>
        </w:rPr>
        <w:t>-om</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eastAsia="Times New Roman" w:hAnsi="Times New Roman"/>
          <w:lang w:eastAsia="hr-HR"/>
        </w:rPr>
      </w:pPr>
      <w:r w:rsidRPr="004E6412">
        <w:rPr>
          <w:rFonts w:ascii="Times New Roman" w:eastAsia="Times New Roman" w:hAnsi="Times New Roman"/>
          <w:lang w:eastAsia="hr-HR"/>
        </w:rPr>
        <w:t>Proizvodnja prehra</w:t>
      </w:r>
      <w:r w:rsidR="000E56DF" w:rsidRPr="004E6412">
        <w:rPr>
          <w:rFonts w:ascii="Times New Roman" w:eastAsia="Times New Roman" w:hAnsi="Times New Roman"/>
          <w:lang w:eastAsia="hr-HR"/>
        </w:rPr>
        <w:t xml:space="preserve">mbenih proizvoda u Hrvatskoj </w:t>
      </w:r>
      <w:r w:rsidRPr="004E6412">
        <w:rPr>
          <w:rFonts w:ascii="Times New Roman" w:eastAsia="Times New Roman" w:hAnsi="Times New Roman"/>
          <w:lang w:eastAsia="hr-HR"/>
        </w:rPr>
        <w:t>porasla</w:t>
      </w:r>
      <w:r w:rsidR="000E56DF"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u odnosu na 2010. za 2,2%, a 2012. 0,3% u odnosu na 2010. Uspoređujući 2012. s 2011.</w:t>
      </w:r>
      <w:r w:rsidR="000E56DF" w:rsidRPr="004E6412">
        <w:rPr>
          <w:rFonts w:ascii="Times New Roman" w:eastAsia="Times New Roman" w:hAnsi="Times New Roman"/>
          <w:lang w:eastAsia="hr-HR"/>
        </w:rPr>
        <w:t xml:space="preserve"> godinom</w:t>
      </w:r>
      <w:r w:rsidRPr="004E6412">
        <w:rPr>
          <w:rFonts w:ascii="Times New Roman" w:eastAsia="Times New Roman" w:hAnsi="Times New Roman"/>
          <w:lang w:eastAsia="hr-HR"/>
        </w:rPr>
        <w:t>, ostvaren je pad proizvodnje od 1,9%. Prva četiri mjeseca 2013. ostvaren je pad od 2,1% u odnosu na prva četiri mjese</w:t>
      </w:r>
      <w:r w:rsidR="000E56DF" w:rsidRPr="004E6412">
        <w:rPr>
          <w:rFonts w:ascii="Times New Roman" w:eastAsia="Times New Roman" w:hAnsi="Times New Roman"/>
          <w:lang w:eastAsia="hr-HR"/>
        </w:rPr>
        <w:t xml:space="preserve">ca 2012. Proizvođačke cijene </w:t>
      </w:r>
      <w:r w:rsidRPr="004E6412">
        <w:rPr>
          <w:rFonts w:ascii="Times New Roman" w:eastAsia="Times New Roman" w:hAnsi="Times New Roman"/>
          <w:lang w:eastAsia="hr-HR"/>
        </w:rPr>
        <w:t xml:space="preserve">porasle </w:t>
      </w:r>
      <w:r w:rsidR="000E56DF" w:rsidRPr="004E6412">
        <w:rPr>
          <w:rFonts w:ascii="Times New Roman" w:eastAsia="Times New Roman" w:hAnsi="Times New Roman"/>
          <w:lang w:eastAsia="hr-HR"/>
        </w:rPr>
        <w:t xml:space="preserve">su </w:t>
      </w:r>
      <w:r w:rsidRPr="004E6412">
        <w:rPr>
          <w:rFonts w:ascii="Times New Roman" w:eastAsia="Times New Roman" w:hAnsi="Times New Roman"/>
          <w:lang w:eastAsia="hr-HR"/>
        </w:rPr>
        <w:t xml:space="preserve">za 10,9% 2012.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u odnosu na 2010., a u travnju 2013. za 14,1 % u odnosu na 2010. </w:t>
      </w:r>
    </w:p>
    <w:p w:rsidR="001B41B0" w:rsidRPr="004E6412" w:rsidRDefault="001B41B0" w:rsidP="001B41B0">
      <w:pPr>
        <w:pStyle w:val="ListParagraph"/>
        <w:rPr>
          <w:rFonts w:ascii="Times New Roman" w:eastAsia="Times New Roman" w:hAnsi="Times New Roman"/>
          <w:lang w:eastAsia="hr-HR"/>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Sveukupno u 2012. djelatnost Proizvodnja prehrambenih proizvoda obuhvaća 1.499 poduzeća što je u odnosu na prethodnu godinu 9 poduzeća manje. Ova djelatnost u 2012. zapošljava 43.826 osoba gledano prema satima rada. To je u odnosu na prvu promatranu godinu (2010.) povećanje za manje od 1%, odnosno 290 u apsolutnom odnosu. Dakle, iako je broj poduzeća u opadanju, djelatnost bilježi povećanje zaposlenika.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Preko </w:t>
      </w:r>
      <w:r w:rsidR="000E56DF" w:rsidRPr="004E6412">
        <w:rPr>
          <w:rFonts w:ascii="Times New Roman" w:hAnsi="Times New Roman"/>
        </w:rPr>
        <w:t xml:space="preserve">70% kapitala ove djelatnosti </w:t>
      </w:r>
      <w:r w:rsidRPr="004E6412">
        <w:rPr>
          <w:rFonts w:ascii="Times New Roman" w:hAnsi="Times New Roman"/>
        </w:rPr>
        <w:t xml:space="preserve">inozemnog </w:t>
      </w:r>
      <w:r w:rsidR="000E56DF" w:rsidRPr="004E6412">
        <w:rPr>
          <w:rFonts w:ascii="Times New Roman" w:hAnsi="Times New Roman"/>
        </w:rPr>
        <w:t xml:space="preserve">je </w:t>
      </w:r>
      <w:r w:rsidR="00B41872" w:rsidRPr="004E6412">
        <w:rPr>
          <w:rFonts w:ascii="Times New Roman" w:hAnsi="Times New Roman"/>
        </w:rPr>
        <w:t>porijek</w:t>
      </w:r>
      <w:r w:rsidRPr="004E6412">
        <w:rPr>
          <w:rFonts w:ascii="Times New Roman" w:hAnsi="Times New Roman"/>
        </w:rPr>
        <w:t>la. Zabilježena koncentracija</w:t>
      </w:r>
      <w:r w:rsidR="00B41872" w:rsidRPr="004E6412">
        <w:rPr>
          <w:rFonts w:ascii="Times New Roman" w:hAnsi="Times New Roman"/>
        </w:rPr>
        <w:t xml:space="preserve"> je visoka</w:t>
      </w:r>
      <w:r w:rsidRPr="004E6412">
        <w:rPr>
          <w:rFonts w:ascii="Times New Roman" w:hAnsi="Times New Roman"/>
        </w:rPr>
        <w:t>, prema kriterijima aktive, prihoda, broja zapos</w:t>
      </w:r>
      <w:r w:rsidR="00B41872" w:rsidRPr="004E6412">
        <w:rPr>
          <w:rFonts w:ascii="Times New Roman" w:hAnsi="Times New Roman"/>
        </w:rPr>
        <w:t>lenih, uvoza i izvoza</w:t>
      </w:r>
      <w:r w:rsidRPr="004E6412">
        <w:rPr>
          <w:rFonts w:ascii="Times New Roman" w:hAnsi="Times New Roman"/>
        </w:rPr>
        <w:t xml:space="preserve">. Od 1.499 poduzeća u 2012. njih 66 pridonosi ukupnim prihodima djelatnosti s udjelom većim od 80%. Među njima s najvećim </w:t>
      </w:r>
      <w:r w:rsidR="00B41872" w:rsidRPr="004E6412">
        <w:rPr>
          <w:rFonts w:ascii="Times New Roman" w:hAnsi="Times New Roman"/>
        </w:rPr>
        <w:t xml:space="preserve">se udjelom od gotovo 10% </w:t>
      </w:r>
      <w:r w:rsidRPr="004E6412">
        <w:rPr>
          <w:rFonts w:ascii="Times New Roman" w:hAnsi="Times New Roman"/>
        </w:rPr>
        <w:t>može istaknuti Vindija d.d., dok su na drugom i trećem mje</w:t>
      </w:r>
      <w:r w:rsidR="00B41872" w:rsidRPr="004E6412">
        <w:rPr>
          <w:rFonts w:ascii="Times New Roman" w:hAnsi="Times New Roman"/>
        </w:rPr>
        <w:t xml:space="preserve">stu s podjednakim udjelom od </w:t>
      </w:r>
      <w:r w:rsidRPr="004E6412">
        <w:rPr>
          <w:rFonts w:ascii="Times New Roman" w:hAnsi="Times New Roman"/>
        </w:rPr>
        <w:t>skoro 6% Podravka d.d. i PIK Vrbovec d.d.. Ukupno 99 poduzeća drži 80% aktive. Koncentracija je posebice izražena kod međunarodne trgovine; 28 najvećih poduzeća čini 78% ukupnog izvoza, a 33 poduzeća uvoze 79% ukupnog uvoza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Vrijednost aktive ove djelatnosti povećavana je u sve tri promatrane godine (2010.</w:t>
      </w:r>
      <w:r w:rsidR="00685A6A" w:rsidRPr="004E6412">
        <w:rPr>
          <w:rFonts w:ascii="Times New Roman" w:hAnsi="Times New Roman"/>
        </w:rPr>
        <w:t xml:space="preserve"> – </w:t>
      </w:r>
      <w:r w:rsidRPr="004E6412">
        <w:rPr>
          <w:rFonts w:ascii="Times New Roman" w:hAnsi="Times New Roman"/>
        </w:rPr>
        <w:t>2012</w:t>
      </w:r>
      <w:r w:rsidR="00685A6A" w:rsidRPr="004E6412">
        <w:rPr>
          <w:rFonts w:ascii="Times New Roman" w:hAnsi="Times New Roman"/>
        </w:rPr>
        <w:t>.); u 2012.</w:t>
      </w:r>
      <w:r w:rsidRPr="004E6412">
        <w:rPr>
          <w:rFonts w:ascii="Times New Roman" w:hAnsi="Times New Roman"/>
        </w:rPr>
        <w:t xml:space="preserve"> je u odnosu na 2010. viša</w:t>
      </w:r>
      <w:r w:rsidR="00685A6A" w:rsidRPr="004E6412">
        <w:rPr>
          <w:rFonts w:ascii="Times New Roman" w:hAnsi="Times New Roman"/>
        </w:rPr>
        <w:t xml:space="preserve"> za 9,81%. U strukturi pasive</w:t>
      </w:r>
      <w:r w:rsidRPr="004E6412">
        <w:rPr>
          <w:rFonts w:ascii="Times New Roman" w:hAnsi="Times New Roman"/>
        </w:rPr>
        <w:t xml:space="preserve"> ističe </w:t>
      </w:r>
      <w:r w:rsidR="00685A6A" w:rsidRPr="004E6412">
        <w:rPr>
          <w:rFonts w:ascii="Times New Roman" w:hAnsi="Times New Roman"/>
        </w:rPr>
        <w:t xml:space="preserve">se </w:t>
      </w:r>
      <w:r w:rsidRPr="004E6412">
        <w:rPr>
          <w:rFonts w:ascii="Times New Roman" w:hAnsi="Times New Roman"/>
        </w:rPr>
        <w:t>činjenica da najveći udio otpada na kapital i rezerve, što pokazuje da je u ovoj djelatnosti istaknuto financiranje od strane vlasnika. U pasivi je zamjetno da najmanji dio zapravo nose dugoročne o</w:t>
      </w:r>
      <w:r w:rsidR="00685A6A" w:rsidRPr="004E6412">
        <w:rPr>
          <w:rFonts w:ascii="Times New Roman" w:hAnsi="Times New Roman"/>
        </w:rPr>
        <w:t>bveze, koje se najviše sastoje</w:t>
      </w:r>
      <w:r w:rsidRPr="004E6412">
        <w:rPr>
          <w:rFonts w:ascii="Times New Roman" w:hAnsi="Times New Roman"/>
        </w:rPr>
        <w:t xml:space="preserve"> od duga prema bankama. Iz</w:t>
      </w:r>
      <w:r w:rsidR="00685A6A" w:rsidRPr="004E6412">
        <w:rPr>
          <w:rFonts w:ascii="Times New Roman" w:hAnsi="Times New Roman"/>
        </w:rPr>
        <w:t xml:space="preserve"> analize aktive očita je činjenica</w:t>
      </w:r>
      <w:r w:rsidRPr="004E6412">
        <w:rPr>
          <w:rFonts w:ascii="Times New Roman" w:hAnsi="Times New Roman"/>
        </w:rPr>
        <w:t xml:space="preserve"> da se u ovoj djelatnosti drastič</w:t>
      </w:r>
      <w:r w:rsidR="00685A6A" w:rsidRPr="004E6412">
        <w:rPr>
          <w:rFonts w:ascii="Times New Roman" w:hAnsi="Times New Roman"/>
        </w:rPr>
        <w:t>no smanjila vrijednost zadržane zarade (s 1.763.453.695 kuna na 879.700.198 kuna u razdoblju</w:t>
      </w:r>
      <w:r w:rsidRPr="004E6412">
        <w:rPr>
          <w:rFonts w:ascii="Times New Roman" w:hAnsi="Times New Roman"/>
        </w:rPr>
        <w:t xml:space="preserve"> 2010.</w:t>
      </w:r>
      <w:r w:rsidR="00685A6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lastRenderedPageBreak/>
        <w:t xml:space="preserve">Proizvodnja prehrambenih proizvodnja je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povećala obujam poslovanja više od 10%, što potvrđuje rast ukupnih prihoda za 12,01% i ukupnih rashoda za 11,29%. Poslovni prihodi i rashodi činili su preko 96% ukupnih prihoda i rashoda. </w:t>
      </w:r>
    </w:p>
    <w:p w:rsidR="00BF769D" w:rsidRPr="004E6412" w:rsidRDefault="00BF769D" w:rsidP="00BF769D"/>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Profitabilnost djelatnosti </w:t>
      </w:r>
      <w:r w:rsidR="001B41B0" w:rsidRPr="004E6412">
        <w:rPr>
          <w:rFonts w:ascii="Times New Roman" w:hAnsi="Times New Roman"/>
        </w:rPr>
        <w:t xml:space="preserve">povećala </w:t>
      </w:r>
      <w:r w:rsidRPr="004E6412">
        <w:rPr>
          <w:rFonts w:ascii="Times New Roman" w:hAnsi="Times New Roman"/>
        </w:rPr>
        <w:t xml:space="preserve">se </w:t>
      </w:r>
      <w:r w:rsidR="001B41B0" w:rsidRPr="004E6412">
        <w:rPr>
          <w:rFonts w:ascii="Times New Roman" w:eastAsia="HelveticaNeueLTPro-BdCn" w:hAnsi="Times New Roman"/>
        </w:rPr>
        <w:t>u razdoblju 2010.</w:t>
      </w:r>
      <w:r w:rsidRPr="004E6412">
        <w:rPr>
          <w:rFonts w:ascii="Times New Roman" w:eastAsia="HelveticaNeueLTPro-BdCn" w:hAnsi="Times New Roman"/>
        </w:rPr>
        <w:t xml:space="preserve"> – </w:t>
      </w:r>
      <w:r w:rsidR="001B41B0" w:rsidRPr="004E6412">
        <w:rPr>
          <w:rFonts w:ascii="Times New Roman" w:eastAsia="HelveticaNeueLTPro-BdCn" w:hAnsi="Times New Roman"/>
        </w:rPr>
        <w:t>2012</w:t>
      </w:r>
      <w:r w:rsidRPr="004E6412">
        <w:rPr>
          <w:rFonts w:ascii="Times New Roman" w:hAnsi="Times New Roman"/>
        </w:rPr>
        <w:t xml:space="preserve">. Naime, kumulativna dobit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za 20,52% (2010. – 2012.), dok je kumulativni gubitak smanje</w:t>
      </w:r>
      <w:r w:rsidRPr="004E6412">
        <w:rPr>
          <w:rFonts w:ascii="Times New Roman" w:hAnsi="Times New Roman"/>
        </w:rPr>
        <w:t xml:space="preserve">n za 7,95%. U sve tri godine </w:t>
      </w:r>
      <w:r w:rsidR="001B41B0" w:rsidRPr="004E6412">
        <w:rPr>
          <w:rFonts w:ascii="Times New Roman" w:hAnsi="Times New Roman"/>
        </w:rPr>
        <w:t xml:space="preserve">dobit </w:t>
      </w:r>
      <w:r w:rsidRPr="004E6412">
        <w:rPr>
          <w:rFonts w:ascii="Times New Roman" w:hAnsi="Times New Roman"/>
        </w:rPr>
        <w:t xml:space="preserve">je </w:t>
      </w:r>
      <w:r w:rsidR="001B41B0" w:rsidRPr="004E6412">
        <w:rPr>
          <w:rFonts w:ascii="Times New Roman" w:hAnsi="Times New Roman"/>
        </w:rPr>
        <w:t>bila veća od gubitka, što potvrđuju i pokazatelji profitabilnosti</w:t>
      </w:r>
      <w:r w:rsidRPr="004E6412">
        <w:rPr>
          <w:rFonts w:ascii="Times New Roman" w:hAnsi="Times New Roman"/>
        </w:rPr>
        <w:t>,</w:t>
      </w:r>
      <w:r w:rsidR="001B41B0" w:rsidRPr="004E6412">
        <w:rPr>
          <w:rFonts w:ascii="Times New Roman" w:hAnsi="Times New Roman"/>
        </w:rPr>
        <w:t xml:space="preserve"> iako valja napomenuti da su stope profitabilnosti bile vrlo niske. Najveće stope profitabilnosti ostvarivale su se u 2011. Stvorena doda</w:t>
      </w:r>
      <w:r w:rsidRPr="004E6412">
        <w:rPr>
          <w:rFonts w:ascii="Times New Roman" w:hAnsi="Times New Roman"/>
        </w:rPr>
        <w:t xml:space="preserve">na vrijednost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baš kao i stopa bruto operativnog viška, a pritom je smanjeno opterećenje financ</w:t>
      </w:r>
      <w:r w:rsidRPr="004E6412">
        <w:rPr>
          <w:rFonts w:ascii="Times New Roman" w:hAnsi="Times New Roman"/>
        </w:rPr>
        <w:t>ijskog duga i njegovog omjera s</w:t>
      </w:r>
      <w:r w:rsidR="001B41B0" w:rsidRPr="004E6412">
        <w:rPr>
          <w:rFonts w:ascii="Times New Roman" w:hAnsi="Times New Roman"/>
        </w:rPr>
        <w:t xml:space="preserve"> EBITDA. Sposobnost otplate dugova je povećana.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Na 5 milijardi kuna</w:t>
      </w:r>
      <w:r w:rsidR="001B41B0" w:rsidRPr="004E6412">
        <w:rPr>
          <w:rFonts w:ascii="Times New Roman" w:hAnsi="Times New Roman"/>
        </w:rPr>
        <w:t xml:space="preserve"> izvoza i u</w:t>
      </w:r>
      <w:r w:rsidRPr="004E6412">
        <w:rPr>
          <w:rFonts w:ascii="Times New Roman" w:hAnsi="Times New Roman"/>
        </w:rPr>
        <w:t>voza ostvareno je 9 milijuna kuna</w:t>
      </w:r>
      <w:r w:rsidR="001B41B0" w:rsidRPr="004E6412">
        <w:rPr>
          <w:rFonts w:ascii="Times New Roman" w:hAnsi="Times New Roman"/>
        </w:rPr>
        <w:t xml:space="preserve"> minusa u trgovinskoj bilanci. Važna je činjenica za hrvatsko gospodarstvo da je ova djelatnost u razdoblju 2010.</w:t>
      </w:r>
      <w:r w:rsidRPr="004E6412">
        <w:rPr>
          <w:rFonts w:ascii="Times New Roman" w:hAnsi="Times New Roman"/>
        </w:rPr>
        <w:t xml:space="preserve"> – </w:t>
      </w:r>
      <w:r w:rsidR="001B41B0" w:rsidRPr="004E6412">
        <w:rPr>
          <w:rFonts w:ascii="Times New Roman" w:hAnsi="Times New Roman"/>
        </w:rPr>
        <w:t>2012. svoj uvoz i izvoz z</w:t>
      </w:r>
      <w:r w:rsidRPr="004E6412">
        <w:rPr>
          <w:rFonts w:ascii="Times New Roman" w:hAnsi="Times New Roman"/>
        </w:rPr>
        <w:t>asebno povećala za milijardu kuna. S obzirom na trgovinsku razmjenu</w:t>
      </w:r>
      <w:r w:rsidR="001B41B0" w:rsidRPr="004E6412">
        <w:rPr>
          <w:rFonts w:ascii="Times New Roman" w:hAnsi="Times New Roman"/>
        </w:rPr>
        <w:t xml:space="preserve">, ovo je velika djelatnost u usporedbi s ostalim djelatnostima iz prerađivačke industrije, zbog čega je udio izvoza u industriji bio 8,88% (2012.), a udio izvoza u BDP-u relativno visokih 1,54%.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Vrlo je visok udio bruto dodane vrijednosti ove djelatnosti u bruto dodanoj vrijednosti gospodarstva Hrvatske (udio od 2,</w:t>
      </w:r>
      <w:r w:rsidR="00685A6A" w:rsidRPr="004E6412">
        <w:rPr>
          <w:rFonts w:ascii="Times New Roman" w:hAnsi="Times New Roman"/>
        </w:rPr>
        <w:t>31% u 2012.), a</w:t>
      </w:r>
      <w:r w:rsidRPr="004E6412">
        <w:rPr>
          <w:rFonts w:ascii="Times New Roman" w:hAnsi="Times New Roman"/>
        </w:rPr>
        <w:t xml:space="preserve"> visok </w:t>
      </w:r>
      <w:r w:rsidR="00685A6A" w:rsidRPr="004E6412">
        <w:rPr>
          <w:rFonts w:ascii="Times New Roman" w:hAnsi="Times New Roman"/>
        </w:rPr>
        <w:t xml:space="preserve">je i </w:t>
      </w:r>
      <w:r w:rsidRPr="004E6412">
        <w:rPr>
          <w:rFonts w:ascii="Times New Roman" w:hAnsi="Times New Roman"/>
        </w:rPr>
        <w:t>udio u bruto dodanoj vrijednosti prerađivač</w:t>
      </w:r>
      <w:r w:rsidR="00685A6A" w:rsidRPr="004E6412">
        <w:rPr>
          <w:rFonts w:ascii="Times New Roman" w:hAnsi="Times New Roman"/>
        </w:rPr>
        <w:t xml:space="preserve">ke industrije (14,68% u 2012.). </w:t>
      </w:r>
      <w:r w:rsidRPr="004E6412">
        <w:rPr>
          <w:rFonts w:ascii="Times New Roman" w:hAnsi="Times New Roman"/>
        </w:rPr>
        <w:t>Analiza specijalizacije ukazuje na savršenu intraindustrijsku razmjenu pripadajuće djelatnosti. Državne potpore i subvencije čine manje od 0,5% ukupnih prihoda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Proizvodnost rada </w:t>
      </w:r>
      <w:r w:rsidR="00472508" w:rsidRPr="004E6412">
        <w:rPr>
          <w:rFonts w:ascii="Times New Roman" w:hAnsi="Times New Roman"/>
        </w:rPr>
        <w:t>je u razdoblju 2010.</w:t>
      </w:r>
      <w:r w:rsidR="00685A6A" w:rsidRPr="004E6412">
        <w:rPr>
          <w:rFonts w:ascii="Times New Roman" w:hAnsi="Times New Roman"/>
        </w:rPr>
        <w:t xml:space="preserve"> – </w:t>
      </w:r>
      <w:r w:rsidR="00472508" w:rsidRPr="004E6412">
        <w:rPr>
          <w:rFonts w:ascii="Times New Roman" w:hAnsi="Times New Roman"/>
        </w:rPr>
        <w:t>2012. p</w:t>
      </w:r>
      <w:r w:rsidR="00BF769D" w:rsidRPr="004E6412">
        <w:rPr>
          <w:rFonts w:ascii="Times New Roman" w:hAnsi="Times New Roman"/>
        </w:rPr>
        <w:t>ovećana za 1</w:t>
      </w:r>
      <w:r w:rsidR="00685A6A" w:rsidRPr="004E6412">
        <w:rPr>
          <w:rFonts w:ascii="Times New Roman" w:hAnsi="Times New Roman"/>
        </w:rPr>
        <w:t>,89%, a proizvodnost kapitala</w:t>
      </w:r>
      <w:r w:rsidR="00BF769D" w:rsidRPr="004E6412">
        <w:rPr>
          <w:rFonts w:ascii="Times New Roman" w:hAnsi="Times New Roman"/>
        </w:rPr>
        <w:t xml:space="preserve"> smanjena </w:t>
      </w:r>
      <w:r w:rsidR="00685A6A" w:rsidRPr="004E6412">
        <w:rPr>
          <w:rFonts w:ascii="Times New Roman" w:hAnsi="Times New Roman"/>
        </w:rPr>
        <w:t xml:space="preserve">je </w:t>
      </w:r>
      <w:r w:rsidR="00BF769D" w:rsidRPr="004E6412">
        <w:rPr>
          <w:rFonts w:ascii="Times New Roman" w:hAnsi="Times New Roman"/>
        </w:rPr>
        <w:t>za 1,69%</w:t>
      </w:r>
      <w:r w:rsidRPr="004E6412">
        <w:rPr>
          <w:rFonts w:ascii="Times New Roman" w:hAnsi="Times New Roman"/>
        </w:rPr>
        <w:t xml:space="preserve"> uz smanjenje jediničnog troška rada.</w:t>
      </w:r>
      <w:r w:rsidR="00685A6A" w:rsidRPr="004E6412">
        <w:rPr>
          <w:rFonts w:ascii="Times New Roman" w:hAnsi="Times New Roman"/>
        </w:rPr>
        <w:t xml:space="preserve"> Opremljenost rada kapitalom </w:t>
      </w:r>
      <w:r w:rsidRPr="004E6412">
        <w:rPr>
          <w:rFonts w:ascii="Times New Roman" w:hAnsi="Times New Roman"/>
        </w:rPr>
        <w:t>povećana</w:t>
      </w:r>
      <w:r w:rsidR="00BF769D" w:rsidRPr="004E6412">
        <w:rPr>
          <w:rFonts w:ascii="Times New Roman" w:hAnsi="Times New Roman"/>
        </w:rPr>
        <w:t xml:space="preserve"> </w:t>
      </w:r>
      <w:r w:rsidR="00685A6A" w:rsidRPr="004E6412">
        <w:rPr>
          <w:rFonts w:ascii="Times New Roman" w:hAnsi="Times New Roman"/>
        </w:rPr>
        <w:t xml:space="preserve">je </w:t>
      </w:r>
      <w:r w:rsidR="00BF769D" w:rsidRPr="004E6412">
        <w:rPr>
          <w:rFonts w:ascii="Times New Roman" w:hAnsi="Times New Roman"/>
        </w:rPr>
        <w:t>za 9,94%</w:t>
      </w:r>
      <w:r w:rsidRPr="004E6412">
        <w:rPr>
          <w:rFonts w:ascii="Times New Roman" w:hAnsi="Times New Roman"/>
        </w:rPr>
        <w:t>. U prosjeku, ova djelatnost ima 3,8 puta više fiksnog kapitala od vrijednosti godišnjeg prosječnog troška plaće zaposlenika.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smanjena</w:t>
      </w:r>
      <w:r w:rsidRPr="004E6412">
        <w:rPr>
          <w:rFonts w:ascii="Times New Roman" w:hAnsi="Times New Roman"/>
        </w:rPr>
        <w:t xml:space="preserve"> je</w:t>
      </w:r>
      <w:r w:rsidR="001B41B0" w:rsidRPr="004E6412">
        <w:rPr>
          <w:rFonts w:ascii="Times New Roman" w:hAnsi="Times New Roman"/>
        </w:rPr>
        <w:t xml:space="preserve"> u promatranom razdoblju. Ukupna kratkotrajna imovina je za svega 16% nadilazila vri</w:t>
      </w:r>
      <w:r w:rsidRPr="004E6412">
        <w:rPr>
          <w:rFonts w:ascii="Times New Roman" w:hAnsi="Times New Roman"/>
        </w:rPr>
        <w:t>jednost kratkoročnih obveza. K</w:t>
      </w:r>
      <w:r w:rsidR="001B41B0" w:rsidRPr="004E6412">
        <w:rPr>
          <w:rFonts w:ascii="Times New Roman" w:hAnsi="Times New Roman"/>
        </w:rPr>
        <w:t>ada se od toga oduzmu manje likvidne zalihe</w:t>
      </w:r>
      <w:r w:rsidRPr="004E6412">
        <w:rPr>
          <w:rFonts w:ascii="Times New Roman" w:hAnsi="Times New Roman"/>
        </w:rPr>
        <w:t>,</w:t>
      </w:r>
      <w:r w:rsidR="001B41B0" w:rsidRPr="004E6412">
        <w:rPr>
          <w:rFonts w:ascii="Times New Roman" w:hAnsi="Times New Roman"/>
        </w:rPr>
        <w:t xml:space="preserve"> dolazimo do podatka o nemogućnosti pokrića svih kratkoročnih obveza s likvidnom imovinom.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Ve</w:t>
      </w:r>
      <w:r w:rsidR="00685A6A" w:rsidRPr="004E6412">
        <w:rPr>
          <w:rFonts w:ascii="Times New Roman" w:hAnsi="Times New Roman"/>
        </w:rPr>
        <w:t>ći dio pokazatelja, osim čimbenika zaduženosti, ne ukazuje</w:t>
      </w:r>
      <w:r w:rsidRPr="004E6412">
        <w:rPr>
          <w:rFonts w:ascii="Times New Roman" w:hAnsi="Times New Roman"/>
        </w:rPr>
        <w:t xml:space="preserve"> na veću zaduženost djelatnosti. Ipak, ono što zabrinjava je nedovoljna likvidnost koja b</w:t>
      </w:r>
      <w:r w:rsidR="00685A6A" w:rsidRPr="004E6412">
        <w:rPr>
          <w:rFonts w:ascii="Times New Roman" w:hAnsi="Times New Roman"/>
        </w:rPr>
        <w:t>i dugoročno</w:t>
      </w:r>
      <w:r w:rsidRPr="004E6412">
        <w:rPr>
          <w:rFonts w:ascii="Times New Roman" w:hAnsi="Times New Roman"/>
        </w:rPr>
        <w:t xml:space="preserve"> mogla prerasti u problem tehničke insolventnosti.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Broj zaposlenih u djelatnosti proizvodnje prehrambenih proizvoda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kretao </w:t>
      </w:r>
      <w:r w:rsidR="00685A6A" w:rsidRPr="004E6412">
        <w:rPr>
          <w:rFonts w:ascii="Times New Roman" w:hAnsi="Times New Roman"/>
        </w:rPr>
        <w:t xml:space="preserve">se </w:t>
      </w:r>
      <w:r w:rsidRPr="004E6412">
        <w:rPr>
          <w:rFonts w:ascii="Times New Roman" w:hAnsi="Times New Roman"/>
        </w:rPr>
        <w:t>redom 43.356, 43.044 i 43.826, što označava blagi rast. U istom razdoblju dolazi do rasta neto plaća od 1,75%, dok su u prosjeku bruto plaće pale za 0,7%. Najveći dio zaposlenih, kao i u ostalim djelatnostima prerađivačke industrije, ima srednju stručnu spremu (47,26% u 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Po kriteriju prihoda</w:t>
      </w:r>
      <w:r w:rsidR="00685A6A" w:rsidRPr="004E6412">
        <w:rPr>
          <w:rFonts w:ascii="Times New Roman" w:hAnsi="Times New Roman"/>
        </w:rPr>
        <w:t>,</w:t>
      </w:r>
      <w:r w:rsidRPr="004E6412">
        <w:rPr>
          <w:rFonts w:ascii="Times New Roman" w:hAnsi="Times New Roman"/>
        </w:rPr>
        <w:t xml:space="preserve"> najveća poddjelatnost je prerada i konzerviranje mesa i proizvodnja mesnih proizvoda s udjelom od 22,22% (2012.). Prema veličini aktive najveća je proizvodnja mliječnih proizvoda s udjelom od 21,33% (2012.). Prema kriteriju EBITDA, BDV-a, izvoza i uvoza najviše do izražaja dolazi proizvodnja ostalih prehrambenih proizvoda. Najveći broj </w:t>
      </w:r>
      <w:r w:rsidRPr="004E6412">
        <w:rPr>
          <w:rFonts w:ascii="Times New Roman" w:hAnsi="Times New Roman"/>
        </w:rPr>
        <w:lastRenderedPageBreak/>
        <w:t>zaposlenih u sve tri promatrane godine imala je proizvodnja pekarskih i brašneno-konditorskih proizvoda koja je u 2012. činila 36,08% od ukupnog broja zaposlenih u ovoj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Industrijsku djelatnost Proizvodnja prehrambenih proizvoda obilježava velik potencijal zapošljavanja i rasta</w:t>
      </w:r>
      <w:r w:rsidR="00685A6A" w:rsidRPr="004E6412">
        <w:rPr>
          <w:rFonts w:ascii="Times New Roman" w:hAnsi="Times New Roman"/>
        </w:rPr>
        <w:t>,</w:t>
      </w:r>
      <w:r w:rsidRPr="004E6412">
        <w:rPr>
          <w:rFonts w:ascii="Times New Roman" w:hAnsi="Times New Roman"/>
        </w:rPr>
        <w:t xml:space="preserve"> no primjetan je problem nedostataka kvalificirane i stručne radne snage. Proizv</w:t>
      </w:r>
      <w:r w:rsidR="00B015D9" w:rsidRPr="004E6412">
        <w:rPr>
          <w:rFonts w:ascii="Times New Roman" w:hAnsi="Times New Roman"/>
        </w:rPr>
        <w:t xml:space="preserve">odnja prehrambenih proizvoda </w:t>
      </w:r>
      <w:r w:rsidRPr="004E6412">
        <w:rPr>
          <w:rFonts w:ascii="Times New Roman" w:hAnsi="Times New Roman"/>
        </w:rPr>
        <w:t>koncentrirana</w:t>
      </w:r>
      <w:r w:rsidR="00B015D9" w:rsidRPr="004E6412">
        <w:rPr>
          <w:rFonts w:ascii="Times New Roman" w:hAnsi="Times New Roman"/>
        </w:rPr>
        <w:t xml:space="preserve"> je,</w:t>
      </w:r>
      <w:r w:rsidRPr="004E6412">
        <w:rPr>
          <w:rFonts w:ascii="Times New Roman" w:hAnsi="Times New Roman"/>
        </w:rPr>
        <w:t xml:space="preserve"> i to većim dijelu na</w:t>
      </w:r>
      <w:r w:rsidR="00B015D9" w:rsidRPr="004E6412">
        <w:rPr>
          <w:rFonts w:ascii="Times New Roman" w:hAnsi="Times New Roman"/>
        </w:rPr>
        <w:t xml:space="preserve"> području Zagreba i u Koprivničko-k</w:t>
      </w:r>
      <w:r w:rsidRPr="004E6412">
        <w:rPr>
          <w:rFonts w:ascii="Times New Roman" w:hAnsi="Times New Roman"/>
        </w:rPr>
        <w:t>riževačkoj, Varaždinskoj te Osječko-baranjskoj županiji, u kojima se nalaze i najveća domaća poduzeća.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Prodaja prehrambenih proizvoda privatnih marki posljednjih se godina povećala</w:t>
      </w:r>
      <w:r w:rsidR="00B015D9" w:rsidRPr="004E6412">
        <w:rPr>
          <w:rFonts w:ascii="Times New Roman" w:hAnsi="Times New Roman"/>
        </w:rPr>
        <w:t xml:space="preserve">, što ukazuje na </w:t>
      </w:r>
      <w:r w:rsidRPr="004E6412">
        <w:rPr>
          <w:rFonts w:ascii="Times New Roman" w:hAnsi="Times New Roman"/>
        </w:rPr>
        <w:t xml:space="preserve">mogućnosti povećanja prodaje domaćih proizvođača koji prodaju pod vlastitom markom. </w:t>
      </w:r>
    </w:p>
    <w:p w:rsidR="001B41B0" w:rsidRPr="004E6412" w:rsidRDefault="001B41B0" w:rsidP="001B41B0"/>
    <w:p w:rsidR="001B41B0" w:rsidRPr="004E6412" w:rsidRDefault="00B015D9"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okviru h</w:t>
      </w:r>
      <w:r w:rsidR="001B41B0" w:rsidRPr="004E6412">
        <w:rPr>
          <w:rFonts w:ascii="Times New Roman" w:hAnsi="Times New Roman"/>
        </w:rPr>
        <w:t>rvatskog klastera konkurentnosti prehrambeno-prerađivačkog sektora definirana su prioritetna područja razvoja: unapr</w:t>
      </w:r>
      <w:r w:rsidRPr="004E6412">
        <w:rPr>
          <w:rFonts w:ascii="Times New Roman" w:hAnsi="Times New Roman"/>
        </w:rPr>
        <w:t>j</w:t>
      </w:r>
      <w:r w:rsidR="001B41B0" w:rsidRPr="004E6412">
        <w:rPr>
          <w:rFonts w:ascii="Times New Roman" w:hAnsi="Times New Roman"/>
        </w:rPr>
        <w:t>eđenje poslovnog okruženja i jačanje konkurentnosti prehrambeno-prerađivačkog sektora, unapr</w:t>
      </w:r>
      <w:r w:rsidRPr="004E6412">
        <w:rPr>
          <w:rFonts w:ascii="Times New Roman" w:hAnsi="Times New Roman"/>
        </w:rPr>
        <w:t>j</w:t>
      </w:r>
      <w:r w:rsidR="001B41B0" w:rsidRPr="004E6412">
        <w:rPr>
          <w:rFonts w:ascii="Times New Roman" w:hAnsi="Times New Roman"/>
        </w:rPr>
        <w:t>eđenje i diversifikacija proizvodnje kroz istraživanje i razvoj, tehnološki razvoj i primjenu inovacija, razvoj ljudskog kapitala kroz unapr</w:t>
      </w:r>
      <w:r w:rsidRPr="004E6412">
        <w:rPr>
          <w:rFonts w:ascii="Times New Roman" w:hAnsi="Times New Roman"/>
        </w:rPr>
        <w:t>j</w:t>
      </w:r>
      <w:r w:rsidR="001B41B0" w:rsidRPr="004E6412">
        <w:rPr>
          <w:rFonts w:ascii="Times New Roman" w:hAnsi="Times New Roman"/>
        </w:rPr>
        <w:t xml:space="preserve">eđenje znanja, sposobnosti i vještina te </w:t>
      </w:r>
      <w:r w:rsidR="001B41B0" w:rsidRPr="004E6412">
        <w:rPr>
          <w:rFonts w:ascii="Times New Roman" w:hAnsi="Times New Roman"/>
          <w:i/>
        </w:rPr>
        <w:t>brendiranje</w:t>
      </w:r>
      <w:r w:rsidR="001B41B0" w:rsidRPr="004E6412">
        <w:rPr>
          <w:rFonts w:ascii="Times New Roman" w:hAnsi="Times New Roman"/>
        </w:rPr>
        <w:t xml:space="preserve"> prehrambeno-prerađivačkog sektora i proizvoda primjenom inovativnog dizajna i promidžbenih aktivnosti te utvrđivanje prioritetnih standarda kvalitete. Poticanje tradicionalnih, izvornih i kvalitetnih proizvoda</w:t>
      </w:r>
      <w:r w:rsidRPr="004E6412">
        <w:rPr>
          <w:rFonts w:ascii="Times New Roman" w:hAnsi="Times New Roman"/>
        </w:rPr>
        <w:t>,</w:t>
      </w:r>
      <w:r w:rsidR="001B41B0" w:rsidRPr="004E6412">
        <w:rPr>
          <w:rFonts w:ascii="Times New Roman" w:hAnsi="Times New Roman"/>
        </w:rPr>
        <w:t xml:space="preserve"> kako bi se stvorila njihova prepoznatljivost na širem području EU</w:t>
      </w:r>
      <w:r w:rsidRPr="004E6412">
        <w:rPr>
          <w:rFonts w:ascii="Times New Roman" w:hAnsi="Times New Roman"/>
        </w:rPr>
        <w:t>-a,</w:t>
      </w:r>
      <w:r w:rsidR="001B41B0" w:rsidRPr="004E6412">
        <w:rPr>
          <w:rFonts w:ascii="Times New Roman" w:hAnsi="Times New Roman"/>
        </w:rPr>
        <w:t xml:space="preserve"> stvara potencijal za stvaranje tržišnih niša i rast proizvodnje.</w:t>
      </w:r>
    </w:p>
    <w:p w:rsidR="001B41B0" w:rsidRPr="004E6412" w:rsidRDefault="001B41B0" w:rsidP="001B41B0"/>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Kao potencijali i snage djelatnosti proizvodnje prehrambenih</w:t>
      </w:r>
      <w:r w:rsidR="00B015D9" w:rsidRPr="004E6412">
        <w:rPr>
          <w:rFonts w:ascii="Times New Roman" w:hAnsi="Times New Roman"/>
        </w:rPr>
        <w:t xml:space="preserve"> proizvoda ističu se prikupljeno</w:t>
      </w:r>
      <w:r w:rsidRPr="004E6412">
        <w:rPr>
          <w:rFonts w:ascii="Times New Roman" w:hAnsi="Times New Roman"/>
        </w:rPr>
        <w:t xml:space="preserve"> znanje, tradicija i iskustvo te nova dinamika proizvodnje. </w:t>
      </w:r>
      <w:r w:rsidRPr="004E6412">
        <w:rPr>
          <w:rFonts w:ascii="Times New Roman" w:hAnsi="Times New Roman"/>
          <w:lang w:eastAsia="hr-HR"/>
        </w:rPr>
        <w:t>Djelatnost ob</w:t>
      </w:r>
      <w:r w:rsidR="00B015D9" w:rsidRPr="004E6412">
        <w:rPr>
          <w:rFonts w:ascii="Times New Roman" w:hAnsi="Times New Roman"/>
          <w:lang w:eastAsia="hr-HR"/>
        </w:rPr>
        <w:t>ilježava visok stupanj dovršetka</w:t>
      </w:r>
      <w:r w:rsidRPr="004E6412">
        <w:rPr>
          <w:rFonts w:ascii="Times New Roman" w:hAnsi="Times New Roman"/>
          <w:lang w:eastAsia="hr-HR"/>
        </w:rPr>
        <w:t xml:space="preserve"> proizvoda. Kao takva, djelatnost je sposobna privlačiti ulaganja i kapital koji su potrebni za razvoj.</w:t>
      </w:r>
      <w:r w:rsidRPr="004E6412">
        <w:rPr>
          <w:rFonts w:ascii="Times New Roman" w:hAnsi="Times New Roman"/>
        </w:rPr>
        <w:t xml:space="preserve"> Dodatno, jedan od potencijala za rast proizvodnje prehrambenih proizvoda u Hrvatskoj je i turizam, odnosno potencijalna potražnja proizašla iz turizma, kao i povezivanje s poljoprivrednom proizvodnjom.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Perspektive budućeg razvoja hrvatskih proizvođača prehrambenih proizvoda temelje se na reviziji strategija poslovanja za domaće i strana tržišta, unaprjeđenju proizvodnog portfelja na način da ga prilagode potrošačevim željama i potrebama, optimizaciji lanca opskrbe koja uključuje optimizaciju nabave, povećanje učinkovitosti proizvodnih procesa i produktivnost rada, upravljanje logistikom i kompleksnošću portfelja.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347" w:name="_Toc372087976"/>
      <w:bookmarkStart w:id="348" w:name="_Toc378069037"/>
      <w:r w:rsidRPr="004E6412">
        <w:rPr>
          <w:rFonts w:eastAsia="Calibri"/>
        </w:rPr>
        <w:lastRenderedPageBreak/>
        <w:t>Zaključni prikaz pokazatelja</w:t>
      </w:r>
      <w:bookmarkEnd w:id="347"/>
      <w:bookmarkEnd w:id="348"/>
    </w:p>
    <w:p w:rsidR="001B41B0" w:rsidRPr="004E6412" w:rsidRDefault="001B41B0" w:rsidP="001B41B0">
      <w:pPr>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49" w:name="_Toc372088135"/>
      <w:bookmarkStart w:id="350" w:name="_Toc377551070"/>
      <w:bookmarkStart w:id="351" w:name="_Toc37763525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58</w:t>
      </w:r>
      <w:r w:rsidRPr="007D0CFD">
        <w:rPr>
          <w:rStyle w:val="IntenseEmphasis"/>
          <w:b/>
          <w:bCs w:val="0"/>
          <w:iCs w:val="0"/>
          <w:color w:val="548DD4" w:themeColor="text2" w:themeTint="99"/>
          <w:sz w:val="20"/>
        </w:rPr>
        <w:t>. Kvantitativni pokazatelji (C10)</w:t>
      </w:r>
      <w:bookmarkEnd w:id="349"/>
      <w:bookmarkEnd w:id="350"/>
      <w:bookmarkEnd w:id="351"/>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100,10</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107,60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103,07</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102,2</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9</w:t>
            </w:r>
            <w:r w:rsidR="007253BD" w:rsidRPr="004E6412">
              <w:rPr>
                <w:rFonts w:eastAsia="Times New Roman"/>
                <w:color w:val="000000"/>
                <w:sz w:val="22"/>
                <w:lang w:eastAsia="hr-HR"/>
              </w:rPr>
              <w:t>8,1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43.536</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43.044</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43.826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29.229.224.017</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31.737.457.980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32.741.686.821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1.896.503.134</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2.378.872.375</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2.287.124.458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2,70%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4,06%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3,63%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671.381</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737.326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747.084</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6.265.519.541</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6.817.467.256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6.426.279.587</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22.325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25.539</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26.728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20.680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10.608</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18.909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1,005</w:t>
            </w:r>
          </w:p>
        </w:tc>
        <w:tc>
          <w:tcPr>
            <w:tcW w:w="968"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1,034</w:t>
            </w:r>
          </w:p>
        </w:tc>
        <w:tc>
          <w:tcPr>
            <w:tcW w:w="1100"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18.857.164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159.587.929</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-9.220.416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13,87%</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15,36%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15,51%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0,058</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B015D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15,76%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14,68%</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14,04%</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0,983</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0,999</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143.916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158.384</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146.632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2,15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2,22</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2,32</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0,47</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0,46</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0,57</w:t>
            </w:r>
          </w:p>
        </w:tc>
      </w:tr>
    </w:tbl>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52" w:name="_Toc372088136"/>
      <w:bookmarkStart w:id="353" w:name="_Toc377551071"/>
      <w:bookmarkStart w:id="354" w:name="_Toc377635260"/>
      <w:r w:rsidRPr="007D0CFD">
        <w:rPr>
          <w:rStyle w:val="IntenseEmphasis"/>
          <w:b/>
          <w:bCs w:val="0"/>
          <w:iCs w:val="0"/>
          <w:color w:val="548DD4" w:themeColor="text2" w:themeTint="99"/>
          <w:sz w:val="20"/>
        </w:rPr>
        <w:lastRenderedPageBreak/>
        <w:t xml:space="preserve">Tablica </w:t>
      </w:r>
      <w:r w:rsidR="00A40A60" w:rsidRPr="007D0CFD">
        <w:rPr>
          <w:rStyle w:val="IntenseEmphasis"/>
          <w:b/>
          <w:bCs w:val="0"/>
          <w:iCs w:val="0"/>
          <w:color w:val="548DD4" w:themeColor="text2" w:themeTint="99"/>
          <w:sz w:val="20"/>
        </w:rPr>
        <w:t>59</w:t>
      </w:r>
      <w:r w:rsidRPr="007D0CFD">
        <w:rPr>
          <w:rStyle w:val="IntenseEmphasis"/>
          <w:b/>
          <w:bCs w:val="0"/>
          <w:iCs w:val="0"/>
          <w:color w:val="548DD4" w:themeColor="text2" w:themeTint="99"/>
          <w:sz w:val="20"/>
        </w:rPr>
        <w:t>. Kvalitativni pokazatelji (C10)</w:t>
      </w:r>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B015D9"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Ograničen pristu</w:t>
            </w:r>
            <w:r w:rsidR="00F15A22" w:rsidRPr="004E6412">
              <w:rPr>
                <w:sz w:val="22"/>
              </w:rPr>
              <w:t>p kapitalu. Dostupna i prikladna</w:t>
            </w:r>
            <w:r w:rsidRPr="004E6412">
              <w:rPr>
                <w:sz w:val="22"/>
              </w:rPr>
              <w:t xml:space="preserve"> radna snaga. Djelatnost zapošljava većinom radnike SSS obrazovne strukture.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F15A22" w:rsidP="0097195F">
            <w:pPr>
              <w:spacing w:line="240" w:lineRule="auto"/>
              <w:rPr>
                <w:sz w:val="22"/>
              </w:rPr>
            </w:pPr>
            <w:r w:rsidRPr="004E6412">
              <w:rPr>
                <w:sz w:val="22"/>
              </w:rPr>
              <w:t>Visok stupanj dovršenosti proizvoda namijenjenih krajnjoj</w:t>
            </w:r>
            <w:r w:rsidR="001B41B0" w:rsidRPr="004E6412">
              <w:rPr>
                <w:sz w:val="22"/>
              </w:rPr>
              <w:t xml:space="preserve"> potrošnji. Financijska kriza i fluktuacije u cijeni sirovina dovele su do stvaranja nesigurnosti na tržištu prehrambenim proizvodima te rezultirale smanjenom potrošnjom, </w:t>
            </w:r>
            <w:r w:rsidRPr="004E6412">
              <w:rPr>
                <w:sz w:val="22"/>
              </w:rPr>
              <w:t>promjenama potrošačkih navika i</w:t>
            </w:r>
            <w:r w:rsidR="001B41B0" w:rsidRPr="004E6412">
              <w:rPr>
                <w:sz w:val="22"/>
              </w:rPr>
              <w:t xml:space="preserve"> općenito smanjenju prodaje.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F15A22" w:rsidP="0097195F">
            <w:pPr>
              <w:spacing w:line="240" w:lineRule="auto"/>
              <w:rPr>
                <w:sz w:val="22"/>
              </w:rPr>
            </w:pPr>
            <w:r w:rsidRPr="004E6412">
              <w:rPr>
                <w:sz w:val="22"/>
              </w:rPr>
              <w:t>Potrebno je neprestano</w:t>
            </w:r>
            <w:r w:rsidR="001B41B0" w:rsidRPr="004E6412">
              <w:rPr>
                <w:sz w:val="22"/>
              </w:rPr>
              <w:t xml:space="preserve"> ulagati u strojeve, opremu i tehnologiju.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Troškovi za istraživanje i razvoj u proizvodnji prehrambenih proizvoda su u padu. Trend odgovara padu troškova za istraživanje i razvoj na razini čitavog gospodarstva. U ukupnim izdacima za istraživanje i razvoj u djelatnosti proizvodnje prehrambenih proizvoda najveći udio odnosi se na područje ljudskih potencijala.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F15A22" w:rsidP="0097195F">
            <w:pPr>
              <w:spacing w:line="240" w:lineRule="auto"/>
              <w:rPr>
                <w:sz w:val="22"/>
              </w:rPr>
            </w:pPr>
            <w:r w:rsidRPr="004E6412">
              <w:rPr>
                <w:sz w:val="22"/>
              </w:rPr>
              <w:t>Strogi propisi</w:t>
            </w:r>
            <w:r w:rsidR="001B41B0" w:rsidRPr="004E6412">
              <w:rPr>
                <w:sz w:val="22"/>
              </w:rPr>
              <w:t xml:space="preserve"> i standardi povezani </w:t>
            </w:r>
            <w:r w:rsidRPr="004E6412">
              <w:rPr>
                <w:sz w:val="22"/>
              </w:rPr>
              <w:t xml:space="preserve">su </w:t>
            </w:r>
            <w:r w:rsidR="001B41B0" w:rsidRPr="004E6412">
              <w:rPr>
                <w:sz w:val="22"/>
              </w:rPr>
              <w:t>s procesom proizvodnje.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w:t>
            </w:r>
            <w:r w:rsidR="00F15A22" w:rsidRPr="004E6412">
              <w:rPr>
                <w:sz w:val="22"/>
              </w:rPr>
              <w:t>elatnosti. 33 poduzeća ostvaruju</w:t>
            </w:r>
            <w:r w:rsidRPr="004E6412">
              <w:rPr>
                <w:sz w:val="22"/>
              </w:rPr>
              <w:t xml:space="preserve"> oko 80% ukupnog uvoza, 28 poduzeća ostvaruje oko 78% ukupnog izvoza, te 66 od 1.499 poduzeća ostvaruje oko 80% ukupnih prihoda djelatnosti. Vindija d.d., ostvaruje 10% ukupnih prihoda, a Podravka d.d. i PIK Vrbovec d.d. ostvaruju po 6% ukupnih prihoda.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Udio izvoza </w:t>
            </w:r>
            <w:r w:rsidR="00F15A22" w:rsidRPr="004E6412">
              <w:rPr>
                <w:sz w:val="22"/>
              </w:rPr>
              <w:t xml:space="preserve">u ukupnom prihodu je oko 15%, a </w:t>
            </w:r>
            <w:r w:rsidRPr="004E6412">
              <w:rPr>
                <w:sz w:val="22"/>
              </w:rPr>
              <w:t xml:space="preserve">smanjuje </w:t>
            </w:r>
            <w:r w:rsidR="00F15A22" w:rsidRPr="004E6412">
              <w:rPr>
                <w:sz w:val="22"/>
              </w:rPr>
              <w:t xml:space="preserve">se </w:t>
            </w:r>
            <w:r w:rsidRPr="004E6412">
              <w:rPr>
                <w:sz w:val="22"/>
              </w:rPr>
              <w:t>odnos izvoza i uvoza. Pok</w:t>
            </w:r>
            <w:r w:rsidR="00F15A22" w:rsidRPr="004E6412">
              <w:rPr>
                <w:sz w:val="22"/>
              </w:rPr>
              <w:t>azatelj relativnih usporednih</w:t>
            </w:r>
            <w:r w:rsidRPr="004E6412">
              <w:rPr>
                <w:sz w:val="22"/>
              </w:rPr>
              <w:t xml:space="preserve"> prednosti je vrlo nizak. Odstupaju poddjelatnosti C10.8 Proizvodnja ostalih prehrambenih proizvoda i C10.3 Prerada i konzerviranje voća i povrća s većim udjelom izvoza u ukupnim prihodima.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Djelatnost ima potencijal rasta i zapošljavanja. Najveći je u poddjelatnostima C10.8 Proizvodnja ostalih prehrambenih proizvoda i C10.3 Prerada i konzerviranje voća i povrća.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55" w:name="_Toc365992522"/>
      <w:bookmarkStart w:id="356" w:name="_Toc366152978"/>
      <w:bookmarkStart w:id="357" w:name="_Toc366154260"/>
      <w:bookmarkStart w:id="358" w:name="_Toc366154380"/>
      <w:bookmarkStart w:id="359" w:name="_Toc366409923"/>
      <w:bookmarkStart w:id="360" w:name="_Toc372087977"/>
      <w:bookmarkStart w:id="361" w:name="_Toc378069038"/>
      <w:r w:rsidRPr="004E6412">
        <w:lastRenderedPageBreak/>
        <w:t>C11 Proizvodnja pića</w:t>
      </w:r>
      <w:bookmarkEnd w:id="355"/>
      <w:bookmarkEnd w:id="356"/>
      <w:bookmarkEnd w:id="357"/>
      <w:bookmarkEnd w:id="358"/>
      <w:bookmarkEnd w:id="359"/>
      <w:bookmarkEnd w:id="360"/>
      <w:bookmarkEnd w:id="361"/>
    </w:p>
    <w:p w:rsidR="001B41B0" w:rsidRPr="004E6412" w:rsidRDefault="001B41B0" w:rsidP="001B41B0">
      <w:pPr>
        <w:rPr>
          <w:lang w:eastAsia="hr-HR"/>
        </w:rPr>
      </w:pPr>
    </w:p>
    <w:p w:rsidR="001B41B0" w:rsidRPr="004E6412" w:rsidRDefault="001B41B0" w:rsidP="001B41B0">
      <w:pPr>
        <w:rPr>
          <w:b/>
          <w:bCs/>
          <w:sz w:val="22"/>
          <w:lang w:eastAsia="hr-HR"/>
        </w:rPr>
      </w:pPr>
      <w:r w:rsidRPr="004E6412">
        <w:rPr>
          <w:sz w:val="22"/>
          <w:lang w:eastAsia="hr-HR"/>
        </w:rPr>
        <w:t>Djelatnost Proizvodnja pića (C11) uključuje destiliranje, pročišćavanje i miješanje alkoholnih pića (C11.01), proizvodnju vina od grožđa (C11.02), proizvodnju jabukovače i ostalih voćnih vina (C11.03), proizvodnju ostalih nedestiliranih fermentiranih pića (C11.04), proizvodnju piva (C11.05), proizvodnju slada (C11.06) i proizvodnju osvježavajućih napitaka; proizvodnju mineralne vode i drugih flaširanih voda (C11.07).</w:t>
      </w:r>
    </w:p>
    <w:p w:rsidR="001B41B0" w:rsidRPr="004E6412" w:rsidRDefault="001B41B0" w:rsidP="001B41B0">
      <w:pPr>
        <w:rPr>
          <w:lang w:eastAsia="hr-HR"/>
        </w:rPr>
      </w:pPr>
    </w:p>
    <w:p w:rsidR="001B41B0" w:rsidRPr="004E6412" w:rsidRDefault="001B41B0" w:rsidP="00D001B9">
      <w:pPr>
        <w:pStyle w:val="Heading3"/>
        <w:rPr>
          <w:lang w:eastAsia="hr-HR"/>
        </w:rPr>
      </w:pPr>
      <w:bookmarkStart w:id="362" w:name="_Toc365992523"/>
      <w:bookmarkStart w:id="363" w:name="_Toc366154261"/>
      <w:bookmarkStart w:id="364" w:name="_Toc366154381"/>
      <w:bookmarkStart w:id="365" w:name="_Toc366409924"/>
      <w:bookmarkStart w:id="366" w:name="_Toc372087978"/>
      <w:bookmarkStart w:id="367" w:name="_Toc378069039"/>
      <w:r w:rsidRPr="004E6412">
        <w:rPr>
          <w:lang w:eastAsia="hr-HR"/>
        </w:rPr>
        <w:t>Globalni trendovi razvoja</w:t>
      </w:r>
      <w:bookmarkEnd w:id="362"/>
      <w:bookmarkEnd w:id="363"/>
      <w:bookmarkEnd w:id="364"/>
      <w:bookmarkEnd w:id="365"/>
      <w:bookmarkEnd w:id="366"/>
      <w:bookmarkEnd w:id="367"/>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Na razvijenim tržištima primjetna je promjena dobne strukture potrošača i smanjenje broja stanovnika pa globalna poduzeća koja se bave proizvodnjom pića traže nove načine povećanja prodaje, ostvarenja sinergije prodajnih i proizvodnih akti</w:t>
      </w:r>
      <w:r w:rsidR="00F15A22" w:rsidRPr="004E6412">
        <w:rPr>
          <w:rFonts w:ascii="Times New Roman" w:hAnsi="Times New Roman"/>
          <w:lang w:eastAsia="hr-HR"/>
        </w:rPr>
        <w:t>vnosti te postizanja učinkovitosti</w:t>
      </w:r>
      <w:r w:rsidRPr="004E6412">
        <w:rPr>
          <w:rFonts w:ascii="Times New Roman" w:hAnsi="Times New Roman"/>
          <w:lang w:eastAsia="hr-HR"/>
        </w:rPr>
        <w:t xml:space="preserve"> djelovanja. Potreba rasta na tržištima zemalja u razvoju sve je veća i potaknuta je rastom broja stanovnika te širenjem srednje dohodovne skupine potrošača. Osvajanje tržišta zem</w:t>
      </w:r>
      <w:r w:rsidR="00F15A22" w:rsidRPr="004E6412">
        <w:rPr>
          <w:rFonts w:ascii="Times New Roman" w:hAnsi="Times New Roman"/>
          <w:lang w:eastAsia="hr-HR"/>
        </w:rPr>
        <w:t>alja u razvoju predstavlja tako</w:t>
      </w:r>
      <w:r w:rsidRPr="004E6412">
        <w:rPr>
          <w:rFonts w:ascii="Times New Roman" w:hAnsi="Times New Roman"/>
          <w:lang w:eastAsia="hr-HR"/>
        </w:rPr>
        <w:t xml:space="preserve"> temelj budućeg</w:t>
      </w:r>
      <w:r w:rsidR="00F15A22" w:rsidRPr="004E6412">
        <w:rPr>
          <w:rFonts w:ascii="Times New Roman" w:hAnsi="Times New Roman"/>
          <w:lang w:eastAsia="hr-HR"/>
        </w:rPr>
        <w:t>a</w:t>
      </w:r>
      <w:r w:rsidRPr="004E6412">
        <w:rPr>
          <w:rFonts w:ascii="Times New Roman" w:hAnsi="Times New Roman"/>
          <w:lang w:eastAsia="hr-HR"/>
        </w:rPr>
        <w:t xml:space="preserve"> uspjeha. </w:t>
      </w:r>
    </w:p>
    <w:p w:rsidR="001B41B0" w:rsidRPr="004E6412" w:rsidRDefault="001B41B0" w:rsidP="001B41B0">
      <w:pPr>
        <w:rPr>
          <w:sz w:val="22"/>
          <w:lang w:eastAsia="hr-HR"/>
        </w:rPr>
      </w:pPr>
    </w:p>
    <w:p w:rsidR="001B41B0" w:rsidRPr="004E6412" w:rsidRDefault="00F15A22"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Novi je trend usmjerenost</w:t>
      </w:r>
      <w:r w:rsidR="001B41B0" w:rsidRPr="004E6412">
        <w:rPr>
          <w:rFonts w:ascii="Times New Roman" w:hAnsi="Times New Roman"/>
          <w:lang w:eastAsia="hr-HR"/>
        </w:rPr>
        <w:t xml:space="preserve"> na stvaranje vlastite marke proizvoda. Na tržištima</w:t>
      </w:r>
      <w:r w:rsidRPr="004E6412">
        <w:rPr>
          <w:rFonts w:ascii="Times New Roman" w:hAnsi="Times New Roman"/>
          <w:lang w:eastAsia="hr-HR"/>
        </w:rPr>
        <w:t>,</w:t>
      </w:r>
      <w:r w:rsidR="001B41B0" w:rsidRPr="004E6412">
        <w:rPr>
          <w:rFonts w:ascii="Times New Roman" w:hAnsi="Times New Roman"/>
          <w:lang w:eastAsia="hr-HR"/>
        </w:rPr>
        <w:t xml:space="preserve"> koja se tek razvijaju</w:t>
      </w:r>
      <w:r w:rsidRPr="004E6412">
        <w:rPr>
          <w:rFonts w:ascii="Times New Roman" w:hAnsi="Times New Roman"/>
          <w:lang w:eastAsia="hr-HR"/>
        </w:rPr>
        <w:t>,</w:t>
      </w:r>
      <w:r w:rsidR="001B41B0" w:rsidRPr="004E6412">
        <w:rPr>
          <w:rFonts w:ascii="Times New Roman" w:hAnsi="Times New Roman"/>
          <w:lang w:eastAsia="hr-HR"/>
        </w:rPr>
        <w:t xml:space="preserve"> upravljanje lancem nabave</w:t>
      </w:r>
      <w:r w:rsidRPr="004E6412">
        <w:rPr>
          <w:rFonts w:ascii="Times New Roman" w:hAnsi="Times New Roman"/>
          <w:lang w:eastAsia="hr-HR"/>
        </w:rPr>
        <w:t xml:space="preserve"> mora uključiti potrebe rastuće</w:t>
      </w:r>
      <w:r w:rsidR="001B41B0" w:rsidRPr="004E6412">
        <w:rPr>
          <w:rFonts w:ascii="Times New Roman" w:hAnsi="Times New Roman"/>
          <w:lang w:eastAsia="hr-HR"/>
        </w:rPr>
        <w:t xml:space="preserve"> ali promjenjive potražnje, dok je na razvijenim tržištima naglasak na smanjivanju troškova i poboljšanju usluga kupcima. Revizijom svojih lanaca nabave</w:t>
      </w:r>
      <w:r w:rsidR="00FE61A7" w:rsidRPr="004E6412">
        <w:rPr>
          <w:rFonts w:ascii="Times New Roman" w:hAnsi="Times New Roman"/>
          <w:lang w:eastAsia="hr-HR"/>
        </w:rPr>
        <w:t>,</w:t>
      </w:r>
      <w:r w:rsidR="001B41B0" w:rsidRPr="004E6412">
        <w:rPr>
          <w:rFonts w:ascii="Times New Roman" w:hAnsi="Times New Roman"/>
          <w:lang w:eastAsia="hr-HR"/>
        </w:rPr>
        <w:t xml:space="preserve"> poduzeća dobivaju širi pregled ključnih političkih, ekonomskih i ekoloških rizika i načina na koji mogu utjecati na poslovanje.</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 xml:space="preserve">U današnjem okruženju proizvođači pića zabrinuti su zbog rastućih troškova sirovina i velike količine potrošnje </w:t>
      </w:r>
      <w:r w:rsidR="00FE61A7" w:rsidRPr="004E6412">
        <w:rPr>
          <w:rFonts w:ascii="Times New Roman" w:hAnsi="Times New Roman"/>
          <w:lang w:eastAsia="hr-HR"/>
        </w:rPr>
        <w:t xml:space="preserve">energije u procesu proizvodnje. </w:t>
      </w:r>
      <w:r w:rsidRPr="004E6412">
        <w:rPr>
          <w:rFonts w:ascii="Times New Roman" w:hAnsi="Times New Roman"/>
          <w:lang w:eastAsia="hr-HR"/>
        </w:rPr>
        <w:t>Potrebno je smanjiti troškove i maksimizi</w:t>
      </w:r>
      <w:r w:rsidR="00FE61A7" w:rsidRPr="004E6412">
        <w:rPr>
          <w:rFonts w:ascii="Times New Roman" w:hAnsi="Times New Roman"/>
          <w:lang w:eastAsia="hr-HR"/>
        </w:rPr>
        <w:t>rati produktivnost i učinkovitost</w:t>
      </w:r>
      <w:r w:rsidRPr="004E6412">
        <w:rPr>
          <w:rFonts w:ascii="Times New Roman" w:hAnsi="Times New Roman"/>
          <w:lang w:eastAsia="hr-HR"/>
        </w:rPr>
        <w:t xml:space="preserve"> poslovanja. Okrupnjava</w:t>
      </w:r>
      <w:r w:rsidR="00FE61A7" w:rsidRPr="004E6412">
        <w:rPr>
          <w:rFonts w:ascii="Times New Roman" w:hAnsi="Times New Roman"/>
          <w:lang w:eastAsia="hr-HR"/>
        </w:rPr>
        <w:t xml:space="preserve">nje nabave često je prvi korak. </w:t>
      </w:r>
      <w:r w:rsidRPr="004E6412">
        <w:rPr>
          <w:rFonts w:ascii="Times New Roman" w:hAnsi="Times New Roman"/>
          <w:lang w:eastAsia="hr-HR"/>
        </w:rPr>
        <w:t>Zajednička ulaganja ili preuzimanja predstavljaju strategije koje omogućuju poduzećima osvajanje</w:t>
      </w:r>
      <w:r w:rsidR="00FE61A7" w:rsidRPr="004E6412">
        <w:rPr>
          <w:rFonts w:ascii="Times New Roman" w:hAnsi="Times New Roman"/>
          <w:lang w:eastAsia="hr-HR"/>
        </w:rPr>
        <w:t xml:space="preserve"> novih tržišta ili jačanje vlastite</w:t>
      </w:r>
      <w:r w:rsidRPr="004E6412">
        <w:rPr>
          <w:rFonts w:ascii="Times New Roman" w:hAnsi="Times New Roman"/>
          <w:lang w:eastAsia="hr-HR"/>
        </w:rPr>
        <w:t xml:space="preserve"> pozicije na tržištu.</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Kako bi osigurali opstanak na tržištu i prilagođavanje novim globalnim trendovima</w:t>
      </w:r>
      <w:r w:rsidR="00FE61A7" w:rsidRPr="004E6412">
        <w:rPr>
          <w:rFonts w:ascii="Times New Roman" w:hAnsi="Times New Roman"/>
          <w:lang w:eastAsia="hr-HR"/>
        </w:rPr>
        <w:t>,</w:t>
      </w:r>
      <w:r w:rsidRPr="004E6412">
        <w:rPr>
          <w:rFonts w:ascii="Times New Roman" w:hAnsi="Times New Roman"/>
          <w:lang w:eastAsia="hr-HR"/>
        </w:rPr>
        <w:t xml:space="preserve"> nužno je uvođenje nekoliko promjena: uvođenje tehnoloških promjena i automatizacija proizvodnje (umrežavanje, integracija sustava kontrole i automatizacija mjerenja pritiska i tijekova proizvodnje); fleksibilnost na području marketinga (označavanje, pakiranje); raznolikost, osobito u proizvodnji piva (promjenjivost sirovina, manje proizvodne jedinice).</w:t>
      </w:r>
    </w:p>
    <w:p w:rsidR="001B41B0" w:rsidRPr="004E6412" w:rsidRDefault="001B41B0" w:rsidP="001B41B0">
      <w:pPr>
        <w:rPr>
          <w:lang w:eastAsia="hr-HR"/>
        </w:rPr>
      </w:pPr>
    </w:p>
    <w:p w:rsidR="001B41B0" w:rsidRPr="004E6412" w:rsidRDefault="001B41B0" w:rsidP="00D001B9">
      <w:pPr>
        <w:pStyle w:val="Heading3"/>
        <w:rPr>
          <w:lang w:eastAsia="hr-HR"/>
        </w:rPr>
      </w:pPr>
      <w:bookmarkStart w:id="368" w:name="_Toc365992524"/>
      <w:bookmarkStart w:id="369" w:name="_Toc366154262"/>
      <w:bookmarkStart w:id="370" w:name="_Toc366154382"/>
      <w:bookmarkStart w:id="371" w:name="_Toc366409925"/>
      <w:bookmarkStart w:id="372" w:name="_Toc372087979"/>
      <w:bookmarkStart w:id="373" w:name="_Toc378069040"/>
      <w:r w:rsidRPr="004E6412">
        <w:rPr>
          <w:lang w:eastAsia="hr-HR"/>
        </w:rPr>
        <w:t>Trendovi razvoja u Europskoj uniji</w:t>
      </w:r>
      <w:bookmarkEnd w:id="368"/>
      <w:bookmarkEnd w:id="369"/>
      <w:bookmarkEnd w:id="370"/>
      <w:bookmarkEnd w:id="371"/>
      <w:bookmarkEnd w:id="372"/>
      <w:bookmarkEnd w:id="373"/>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uz proizvodnju hrane, predstavlja važan dio europskog gospodarstva. U posljednjim se godinama smanjuje konkurentnost ovih djelatnosti te su potrebne nove strategije održavanja konkurentske pozicije na tržištu</w:t>
      </w:r>
      <w:r w:rsidR="00FE61A7" w:rsidRPr="004E6412">
        <w:rPr>
          <w:rFonts w:ascii="Times New Roman" w:hAnsi="Times New Roman"/>
          <w:lang w:eastAsia="hr-HR"/>
        </w:rPr>
        <w:t xml:space="preserve">. </w:t>
      </w:r>
      <w:r w:rsidRPr="004E6412">
        <w:rPr>
          <w:rFonts w:ascii="Times New Roman" w:hAnsi="Times New Roman"/>
          <w:lang w:eastAsia="hr-HR"/>
        </w:rPr>
        <w:t>Mobilnost proizvodnje obilježena je razinom globalne konkurentnosti i potrebom za stalnim strateškim repozicioniranjem.</w:t>
      </w:r>
    </w:p>
    <w:p w:rsidR="001B41B0" w:rsidRPr="004E6412" w:rsidRDefault="001B41B0" w:rsidP="001B41B0">
      <w:pPr>
        <w:pStyle w:val="ListParagraph"/>
        <w:spacing w:after="0"/>
        <w:jc w:val="both"/>
        <w:rPr>
          <w:rFonts w:ascii="Times New Roman" w:hAnsi="Times New Roman"/>
          <w:lang w:eastAsia="hr-HR"/>
        </w:rPr>
      </w:pPr>
    </w:p>
    <w:p w:rsidR="001B41B0" w:rsidRPr="004E6412" w:rsidRDefault="00FE61A7"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 Europi je rascjepkana djelatnost kojom prevladavaj</w:t>
      </w:r>
      <w:r w:rsidR="001B41B0" w:rsidRPr="004E6412">
        <w:rPr>
          <w:rFonts w:ascii="Times New Roman" w:hAnsi="Times New Roman"/>
          <w:lang w:eastAsia="hr-HR"/>
        </w:rPr>
        <w:t>u mala i srednja poduzeća. Rastući troškovi, rastuća konkurencija, nove potrebe i zahtjevi potrošača, korporativna odgovornost, potreba uvođenja novih model</w:t>
      </w:r>
      <w:r w:rsidRPr="004E6412">
        <w:rPr>
          <w:rFonts w:ascii="Times New Roman" w:hAnsi="Times New Roman"/>
          <w:lang w:eastAsia="hr-HR"/>
        </w:rPr>
        <w:t xml:space="preserve">a poslovanja, stroži propisi </w:t>
      </w:r>
      <w:r w:rsidR="001B41B0" w:rsidRPr="004E6412">
        <w:rPr>
          <w:rFonts w:ascii="Times New Roman" w:hAnsi="Times New Roman"/>
          <w:lang w:eastAsia="hr-HR"/>
        </w:rPr>
        <w:t xml:space="preserve">samo su neki od izazova koji stoje pred europskim proizvođačima pića. </w:t>
      </w:r>
    </w:p>
    <w:p w:rsidR="001B41B0" w:rsidRPr="004E6412" w:rsidRDefault="001B41B0" w:rsidP="001B41B0">
      <w:pPr>
        <w:rPr>
          <w:sz w:val="22"/>
          <w:lang w:eastAsia="hr-HR"/>
        </w:rPr>
      </w:pPr>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lastRenderedPageBreak/>
        <w:t>U okviru EU</w:t>
      </w:r>
      <w:r w:rsidR="00FE61A7" w:rsidRPr="004E6412">
        <w:rPr>
          <w:rFonts w:ascii="Times New Roman" w:hAnsi="Times New Roman"/>
          <w:lang w:eastAsia="hr-HR"/>
        </w:rPr>
        <w:t>-a</w:t>
      </w:r>
      <w:r w:rsidRPr="004E6412">
        <w:rPr>
          <w:rFonts w:ascii="Times New Roman" w:hAnsi="Times New Roman"/>
          <w:lang w:eastAsia="hr-HR"/>
        </w:rPr>
        <w:t>, razvijene zemlje takozvane „stare Europe“ iskazuju polarizaciju i promjenu strukture prerađivačke djelatnosti, uključujući i proizvodnju hrane i pića. U prošlosti značajne, relativno radno intenzivne industrijske djelatnosti premještaju se prema regijama dostupnijih resursa i jeftinije radne snage, a u takvim djelatnostima EU postaje neto uvoznik. S druge strane, djelatnosti s visokim sadržajem dodane vrijednosti zasnovane na razvojno-istraživačkoj djelatnosti, odnosno na inovacijama, razvijaju se ubrzano pod utjecajem globalizacije.</w:t>
      </w:r>
    </w:p>
    <w:p w:rsidR="001B41B0" w:rsidRPr="004E6412" w:rsidRDefault="001B41B0" w:rsidP="00D001B9">
      <w:pPr>
        <w:pStyle w:val="Heading3"/>
        <w:rPr>
          <w:lang w:eastAsia="hr-HR"/>
        </w:rPr>
      </w:pPr>
      <w:bookmarkStart w:id="374" w:name="_Toc365992525"/>
      <w:bookmarkStart w:id="375" w:name="_Toc366154263"/>
      <w:bookmarkStart w:id="376" w:name="_Toc366154383"/>
      <w:bookmarkStart w:id="377" w:name="_Toc366409926"/>
    </w:p>
    <w:p w:rsidR="001B41B0" w:rsidRPr="004E6412" w:rsidRDefault="001B41B0" w:rsidP="00D001B9">
      <w:pPr>
        <w:pStyle w:val="Heading3"/>
        <w:rPr>
          <w:lang w:eastAsia="hr-HR"/>
        </w:rPr>
      </w:pPr>
      <w:bookmarkStart w:id="378" w:name="_Toc372087980"/>
      <w:bookmarkStart w:id="379" w:name="_Toc378069041"/>
      <w:r w:rsidRPr="004E6412">
        <w:rPr>
          <w:lang w:eastAsia="hr-HR"/>
        </w:rPr>
        <w:t>Stanje i perspektive razvoja u Republici Hrvatskoj</w:t>
      </w:r>
      <w:bookmarkEnd w:id="374"/>
      <w:bookmarkEnd w:id="375"/>
      <w:bookmarkEnd w:id="376"/>
      <w:bookmarkEnd w:id="377"/>
      <w:bookmarkEnd w:id="378"/>
      <w:bookmarkEnd w:id="379"/>
    </w:p>
    <w:p w:rsidR="001B41B0" w:rsidRPr="004E6412" w:rsidRDefault="00FE61A7"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Proizvodnja pića u Hrvatskoj </w:t>
      </w:r>
      <w:r w:rsidR="001B41B0" w:rsidRPr="004E6412">
        <w:rPr>
          <w:rFonts w:ascii="Times New Roman" w:hAnsi="Times New Roman"/>
          <w:lang w:eastAsia="hr-HR"/>
        </w:rPr>
        <w:t xml:space="preserve">porasla </w:t>
      </w:r>
      <w:r w:rsidRPr="004E6412">
        <w:rPr>
          <w:rFonts w:ascii="Times New Roman" w:hAnsi="Times New Roman"/>
          <w:lang w:eastAsia="hr-HR"/>
        </w:rPr>
        <w:t xml:space="preserve">je </w:t>
      </w:r>
      <w:r w:rsidR="001B41B0" w:rsidRPr="004E6412">
        <w:rPr>
          <w:rFonts w:ascii="Times New Roman" w:hAnsi="Times New Roman"/>
          <w:lang w:eastAsia="hr-HR"/>
        </w:rPr>
        <w:t>2011. u odnosu na 2010. za 6,5%, a 2012. 2,1% u odnosu na 2010. Uspoređujući 2012. s 2011.</w:t>
      </w:r>
      <w:r w:rsidRPr="004E6412">
        <w:rPr>
          <w:rFonts w:ascii="Times New Roman" w:hAnsi="Times New Roman"/>
          <w:lang w:eastAsia="hr-HR"/>
        </w:rPr>
        <w:t xml:space="preserve"> godinom</w:t>
      </w:r>
      <w:r w:rsidR="001B41B0" w:rsidRPr="004E6412">
        <w:rPr>
          <w:rFonts w:ascii="Times New Roman" w:hAnsi="Times New Roman"/>
          <w:lang w:eastAsia="hr-HR"/>
        </w:rPr>
        <w:t xml:space="preserve">, ostvaren je pad proizvodnje od 4%. </w:t>
      </w:r>
      <w:r w:rsidRPr="004E6412">
        <w:rPr>
          <w:rFonts w:ascii="Times New Roman" w:hAnsi="Times New Roman"/>
          <w:lang w:eastAsia="hr-HR"/>
        </w:rPr>
        <w:t>U p</w:t>
      </w:r>
      <w:r w:rsidR="001B41B0" w:rsidRPr="004E6412">
        <w:rPr>
          <w:rFonts w:ascii="Times New Roman" w:hAnsi="Times New Roman"/>
          <w:lang w:eastAsia="hr-HR"/>
        </w:rPr>
        <w:t>rva četiri mjeseca 2013. ostvaren je pad od 6,6% u odnosu na prva četiri mjese</w:t>
      </w:r>
      <w:r w:rsidRPr="004E6412">
        <w:rPr>
          <w:rFonts w:ascii="Times New Roman" w:hAnsi="Times New Roman"/>
          <w:lang w:eastAsia="hr-HR"/>
        </w:rPr>
        <w:t xml:space="preserve">ca 2012. Proizvođačke cijene </w:t>
      </w:r>
      <w:r w:rsidR="001B41B0" w:rsidRPr="004E6412">
        <w:rPr>
          <w:rFonts w:ascii="Times New Roman" w:hAnsi="Times New Roman"/>
          <w:lang w:eastAsia="hr-HR"/>
        </w:rPr>
        <w:t xml:space="preserve">porasle </w:t>
      </w:r>
      <w:r w:rsidRPr="004E6412">
        <w:rPr>
          <w:rFonts w:ascii="Times New Roman" w:hAnsi="Times New Roman"/>
          <w:lang w:eastAsia="hr-HR"/>
        </w:rPr>
        <w:t xml:space="preserve">su </w:t>
      </w:r>
      <w:r w:rsidR="001B41B0" w:rsidRPr="004E6412">
        <w:rPr>
          <w:rFonts w:ascii="Times New Roman" w:hAnsi="Times New Roman"/>
          <w:lang w:eastAsia="hr-HR"/>
        </w:rPr>
        <w:t xml:space="preserve">za 5,9 % 2012. u odnosu na 2010., a u travnju 2013. za 9,3 % u odnosu na 2010.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Ukupna djelatnost u 2012. broji 300 poduzeća, što je za 9 poduzeća više nego u 2011. Iako broj poduzeća raste</w:t>
      </w:r>
      <w:r w:rsidR="00FE61A7" w:rsidRPr="004E6412">
        <w:rPr>
          <w:rFonts w:ascii="Times New Roman" w:hAnsi="Times New Roman"/>
          <w:lang w:eastAsia="hr-HR"/>
        </w:rPr>
        <w:t>, primjetan je stalan</w:t>
      </w:r>
      <w:r w:rsidRPr="004E6412">
        <w:rPr>
          <w:rFonts w:ascii="Times New Roman" w:hAnsi="Times New Roman"/>
          <w:lang w:eastAsia="hr-HR"/>
        </w:rPr>
        <w:t xml:space="preserve"> pad broja zaposlenih sa 6.505 osoba u 2010. na 6.027 osoba u 2012., što predstavlja ukupni pad od 7,35%.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Ponderirani udio domaćeg kapitala u ovoj djelatnosti iznosio je 55,95%, a ponderirani udio inozemnog kapitala 43,07% u 2012. (</w:t>
      </w:r>
      <w:r w:rsidR="00FE61A7" w:rsidRPr="004E6412">
        <w:rPr>
          <w:rFonts w:ascii="Times New Roman" w:hAnsi="Times New Roman"/>
          <w:lang w:eastAsia="hr-HR"/>
        </w:rPr>
        <w:t xml:space="preserve">pri čemu je ponder </w:t>
      </w:r>
      <w:r w:rsidRPr="004E6412">
        <w:rPr>
          <w:rFonts w:ascii="Times New Roman" w:hAnsi="Times New Roman"/>
          <w:lang w:eastAsia="hr-HR"/>
        </w:rPr>
        <w:t>ukupni prihod). Ističu se Zagrebačka pivovara d.o.o. i Coca Cola HB</w:t>
      </w:r>
      <w:r w:rsidR="00FE61A7" w:rsidRPr="004E6412">
        <w:rPr>
          <w:rFonts w:ascii="Times New Roman" w:hAnsi="Times New Roman"/>
          <w:lang w:eastAsia="hr-HR"/>
        </w:rPr>
        <w:t>C Hrvatska d.o.o. kao poduzeća na samom</w:t>
      </w:r>
      <w:r w:rsidRPr="004E6412">
        <w:rPr>
          <w:rFonts w:ascii="Times New Roman" w:hAnsi="Times New Roman"/>
          <w:lang w:eastAsia="hr-HR"/>
        </w:rPr>
        <w:t xml:space="preserve"> </w:t>
      </w:r>
      <w:r w:rsidR="00FE61A7" w:rsidRPr="004E6412">
        <w:rPr>
          <w:rFonts w:ascii="Times New Roman" w:hAnsi="Times New Roman"/>
          <w:lang w:eastAsia="hr-HR"/>
        </w:rPr>
        <w:t>vrhu po najvećim prihodima, koja</w:t>
      </w:r>
      <w:r w:rsidRPr="004E6412">
        <w:rPr>
          <w:rFonts w:ascii="Times New Roman" w:hAnsi="Times New Roman"/>
          <w:lang w:eastAsia="hr-HR"/>
        </w:rPr>
        <w:t xml:space="preserve"> su u 100%-tnom stranom vlasništvu. Jamnica d.d. je najveće 100%</w:t>
      </w:r>
      <w:r w:rsidR="00FE61A7" w:rsidRPr="004E6412">
        <w:rPr>
          <w:rFonts w:ascii="Times New Roman" w:hAnsi="Times New Roman"/>
          <w:lang w:eastAsia="hr-HR"/>
        </w:rPr>
        <w:t>-tno</w:t>
      </w:r>
      <w:r w:rsidRPr="004E6412">
        <w:rPr>
          <w:rFonts w:ascii="Times New Roman" w:hAnsi="Times New Roman"/>
          <w:lang w:eastAsia="hr-HR"/>
        </w:rPr>
        <w:t xml:space="preserve"> hrvatsko poduzeće po kriteriju ukupnih prihoda. U stvaranju gotovo 80% ukupnih prihoda djelatnosti sudjeluje tek 8 najvećih poduzeća ili 2,67% ukupnog broja poduzeća promatrane djelatnosti, što ukazuje na izuzetno jaku koncentraciju djelatnosti. Vrlo visoka koncentracija je vidljiva i po kriterijima </w:t>
      </w:r>
      <w:r w:rsidR="00FE61A7" w:rsidRPr="004E6412">
        <w:rPr>
          <w:rFonts w:ascii="Times New Roman" w:hAnsi="Times New Roman"/>
          <w:lang w:eastAsia="hr-HR"/>
        </w:rPr>
        <w:t>izvoza, uvoza, aktive te po</w:t>
      </w:r>
      <w:r w:rsidRPr="004E6412">
        <w:rPr>
          <w:rFonts w:ascii="Times New Roman" w:hAnsi="Times New Roman"/>
          <w:lang w:eastAsia="hr-HR"/>
        </w:rPr>
        <w:t xml:space="preserve"> zaposlenima.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eastAsia="HelveticaNeueLTPro-BdCn" w:hAnsi="Times New Roman"/>
        </w:rPr>
        <w:t>.</w:t>
      </w:r>
      <w:r w:rsidRPr="004E6412">
        <w:rPr>
          <w:rFonts w:ascii="Times New Roman" w:eastAsia="HelveticaNeueLTPro-BdCn" w:hAnsi="Times New Roman"/>
        </w:rPr>
        <w:t xml:space="preserve"> </w:t>
      </w:r>
      <w:r w:rsidRPr="004E6412">
        <w:rPr>
          <w:rFonts w:ascii="Times New Roman" w:hAnsi="Times New Roman"/>
          <w:lang w:eastAsia="hr-HR"/>
        </w:rPr>
        <w:t>došlo je do pada aktive (pasive) djelatnosti za 3,61%. Omjer dugotrajne i kratkotrajne imovin</w:t>
      </w:r>
      <w:r w:rsidR="00FE61A7" w:rsidRPr="004E6412">
        <w:rPr>
          <w:rFonts w:ascii="Times New Roman" w:hAnsi="Times New Roman"/>
          <w:lang w:eastAsia="hr-HR"/>
        </w:rPr>
        <w:t>e u sve tri godine iznosio je</w:t>
      </w:r>
      <w:r w:rsidRPr="004E6412">
        <w:rPr>
          <w:rFonts w:ascii="Times New Roman" w:hAnsi="Times New Roman"/>
          <w:lang w:eastAsia="hr-HR"/>
        </w:rPr>
        <w:t xml:space="preserve"> 57:43. Udio dugoročnog duga u pasivi je svega 14,5%. Ova djelatnost financira se ponajviše kratkoročnim izvorima.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Ukupni prihodi su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povećan</w:t>
      </w:r>
      <w:r w:rsidR="00FE61A7" w:rsidRPr="004E6412">
        <w:rPr>
          <w:rFonts w:ascii="Times New Roman" w:hAnsi="Times New Roman"/>
          <w:lang w:eastAsia="hr-HR"/>
        </w:rPr>
        <w:t xml:space="preserve">i za 3,04% na 6,03 milijarde kuna, a ukupni rashodi </w:t>
      </w:r>
      <w:r w:rsidRPr="004E6412">
        <w:rPr>
          <w:rFonts w:ascii="Times New Roman" w:hAnsi="Times New Roman"/>
          <w:lang w:eastAsia="hr-HR"/>
        </w:rPr>
        <w:t xml:space="preserve">smanjeni </w:t>
      </w:r>
      <w:r w:rsidR="00FE61A7" w:rsidRPr="004E6412">
        <w:rPr>
          <w:rFonts w:ascii="Times New Roman" w:hAnsi="Times New Roman"/>
          <w:lang w:eastAsia="hr-HR"/>
        </w:rPr>
        <w:t>su za 11,94% na 5,77 milijardi kuna,</w:t>
      </w:r>
      <w:r w:rsidRPr="004E6412">
        <w:rPr>
          <w:rFonts w:ascii="Times New Roman" w:hAnsi="Times New Roman"/>
          <w:lang w:eastAsia="hr-HR"/>
        </w:rPr>
        <w:t xml:space="preserve"> i to najviše zbog smanjenja financijskih rashoda. Zato se ukupna dobit djelatnosti u promatranom razdoblju povećala za</w:t>
      </w:r>
      <w:r w:rsidR="00FE61A7" w:rsidRPr="004E6412">
        <w:rPr>
          <w:rFonts w:ascii="Times New Roman" w:hAnsi="Times New Roman"/>
          <w:lang w:eastAsia="hr-HR"/>
        </w:rPr>
        <w:t xml:space="preserve"> 177% (odnosno s 151.421.553 kuna u 2010. na 420.546.782 kuna</w:t>
      </w:r>
      <w:r w:rsidRPr="004E6412">
        <w:rPr>
          <w:rFonts w:ascii="Times New Roman" w:hAnsi="Times New Roman"/>
          <w:lang w:eastAsia="hr-HR"/>
        </w:rPr>
        <w:t xml:space="preserve"> u 2012). </w:t>
      </w:r>
    </w:p>
    <w:p w:rsidR="001B41B0" w:rsidRPr="004E6412" w:rsidRDefault="001B41B0" w:rsidP="001B41B0">
      <w:pPr>
        <w:pStyle w:val="ListParagrap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Profitabilnost je povećana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hAnsi="Times New Roman"/>
          <w:lang w:eastAsia="hr-HR"/>
        </w:rPr>
        <w:t xml:space="preserve"> Pokazatelji ROA, ROE i ROI </w:t>
      </w:r>
      <w:r w:rsidRPr="004E6412">
        <w:rPr>
          <w:rFonts w:ascii="Times New Roman" w:hAnsi="Times New Roman"/>
          <w:lang w:eastAsia="hr-HR"/>
        </w:rPr>
        <w:t xml:space="preserve">višestruko </w:t>
      </w:r>
      <w:r w:rsidR="00FE61A7" w:rsidRPr="004E6412">
        <w:rPr>
          <w:rFonts w:ascii="Times New Roman" w:hAnsi="Times New Roman"/>
          <w:lang w:eastAsia="hr-HR"/>
        </w:rPr>
        <w:t xml:space="preserve">su </w:t>
      </w:r>
      <w:r w:rsidRPr="004E6412">
        <w:rPr>
          <w:rFonts w:ascii="Times New Roman" w:hAnsi="Times New Roman"/>
          <w:lang w:eastAsia="hr-HR"/>
        </w:rPr>
        <w:t xml:space="preserve">povećani na 4,53%, 12,50% i 7,29% u </w:t>
      </w:r>
      <w:smartTag w:uri="urn:schemas-microsoft-com:office:smarttags" w:element="metricconverter">
        <w:smartTagPr>
          <w:attr w:name="ProductID" w:val="2012. Stopa"/>
        </w:smartTagPr>
        <w:r w:rsidRPr="004E6412">
          <w:rPr>
            <w:rFonts w:ascii="Times New Roman" w:hAnsi="Times New Roman"/>
            <w:lang w:eastAsia="hr-HR"/>
          </w:rPr>
          <w:t>2012. Stopa</w:t>
        </w:r>
      </w:smartTag>
      <w:r w:rsidR="00FE61A7" w:rsidRPr="004E6412">
        <w:rPr>
          <w:rFonts w:ascii="Times New Roman" w:hAnsi="Times New Roman"/>
          <w:lang w:eastAsia="hr-HR"/>
        </w:rPr>
        <w:t xml:space="preserve"> bruto operativnog viška </w:t>
      </w:r>
      <w:r w:rsidRPr="004E6412">
        <w:rPr>
          <w:rFonts w:ascii="Times New Roman" w:hAnsi="Times New Roman"/>
          <w:lang w:eastAsia="hr-HR"/>
        </w:rPr>
        <w:t xml:space="preserve">povećana </w:t>
      </w:r>
      <w:r w:rsidR="00FE61A7" w:rsidRPr="004E6412">
        <w:rPr>
          <w:rFonts w:ascii="Times New Roman" w:hAnsi="Times New Roman"/>
          <w:lang w:eastAsia="hr-HR"/>
        </w:rPr>
        <w:t xml:space="preserve">je </w:t>
      </w:r>
      <w:r w:rsidRPr="004E6412">
        <w:rPr>
          <w:rFonts w:ascii="Times New Roman" w:hAnsi="Times New Roman"/>
          <w:lang w:eastAsia="hr-HR"/>
        </w:rPr>
        <w:t>na 15%, a stvorena dodana v</w:t>
      </w:r>
      <w:r w:rsidR="00FE61A7" w:rsidRPr="004E6412">
        <w:rPr>
          <w:rFonts w:ascii="Times New Roman" w:hAnsi="Times New Roman"/>
          <w:lang w:eastAsia="hr-HR"/>
        </w:rPr>
        <w:t>rijednost na 827,28 milijuna kuna</w:t>
      </w:r>
      <w:r w:rsidRPr="004E6412">
        <w:rPr>
          <w:rFonts w:ascii="Times New Roman" w:hAnsi="Times New Roman"/>
          <w:lang w:eastAsia="hr-HR"/>
        </w:rPr>
        <w:t>. Prihod po zaposlenom</w:t>
      </w:r>
      <w:r w:rsidR="00FE61A7" w:rsidRPr="004E6412">
        <w:rPr>
          <w:rFonts w:ascii="Times New Roman" w:hAnsi="Times New Roman"/>
          <w:lang w:eastAsia="hr-HR"/>
        </w:rPr>
        <w:t>e</w:t>
      </w:r>
      <w:r w:rsidRPr="004E6412">
        <w:rPr>
          <w:rFonts w:ascii="Times New Roman" w:hAnsi="Times New Roman"/>
          <w:lang w:eastAsia="hr-HR"/>
        </w:rPr>
        <w:t xml:space="preserve"> je povećan, a gubitak po zaposlenom</w:t>
      </w:r>
      <w:r w:rsidR="00FE61A7" w:rsidRPr="004E6412">
        <w:rPr>
          <w:rFonts w:ascii="Times New Roman" w:hAnsi="Times New Roman"/>
          <w:lang w:eastAsia="hr-HR"/>
        </w:rPr>
        <w:t>e</w:t>
      </w:r>
      <w:r w:rsidRPr="004E6412">
        <w:rPr>
          <w:rFonts w:ascii="Times New Roman" w:hAnsi="Times New Roman"/>
          <w:lang w:eastAsia="hr-HR"/>
        </w:rPr>
        <w:t xml:space="preserve"> smanjen. Međutim, profitabilnost je povećana ponajviše zbog smanjenja financijskih rashoda, dok su zarade prije amortizacije, </w:t>
      </w:r>
      <w:r w:rsidR="00FE61A7" w:rsidRPr="004E6412">
        <w:rPr>
          <w:rFonts w:ascii="Times New Roman" w:hAnsi="Times New Roman"/>
          <w:lang w:eastAsia="hr-HR"/>
        </w:rPr>
        <w:t>kamata i poreza ipak smanjene s 915,30 milijuna kuna na 870,92 milijuna kuna</w:t>
      </w:r>
      <w:r w:rsidRPr="004E6412">
        <w:rPr>
          <w:rFonts w:ascii="Times New Roman" w:hAnsi="Times New Roman"/>
          <w:lang w:eastAsia="hr-HR"/>
        </w:rPr>
        <w:t xml:space="preserve"> (</w:t>
      </w:r>
      <w:r w:rsidR="00FE61A7" w:rsidRPr="004E6412">
        <w:rPr>
          <w:rFonts w:ascii="Times New Roman" w:hAnsi="Times New Roman"/>
          <w:lang w:eastAsia="hr-HR"/>
        </w:rPr>
        <w:t xml:space="preserve">u razdoblju </w:t>
      </w:r>
      <w:r w:rsidRPr="004E6412">
        <w:rPr>
          <w:rFonts w:ascii="Times New Roman" w:hAnsi="Times New Roman"/>
          <w:lang w:eastAsia="hr-HR"/>
        </w:rPr>
        <w:t>2010.</w:t>
      </w:r>
      <w:r w:rsidR="00FE61A7" w:rsidRPr="004E6412">
        <w:rPr>
          <w:rFonts w:ascii="Times New Roman" w:hAnsi="Times New Roman"/>
          <w:lang w:eastAsia="hr-HR"/>
        </w:rPr>
        <w:t xml:space="preserve"> – </w:t>
      </w:r>
      <w:r w:rsidRPr="004E6412">
        <w:rPr>
          <w:rFonts w:ascii="Times New Roman" w:hAnsi="Times New Roman"/>
          <w:lang w:eastAsia="hr-HR"/>
        </w:rPr>
        <w:t>2012.). Dakle, profitabilnost iz redovnih djelatnosti je smanjena.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Vanjskotrgovin</w:t>
      </w:r>
      <w:r w:rsidR="00FE61A7" w:rsidRPr="004E6412">
        <w:rPr>
          <w:rFonts w:ascii="Times New Roman" w:hAnsi="Times New Roman"/>
          <w:lang w:eastAsia="hr-HR"/>
        </w:rPr>
        <w:t xml:space="preserve">ska razmjena ove djelatnosti </w:t>
      </w:r>
      <w:r w:rsidRPr="004E6412">
        <w:rPr>
          <w:rFonts w:ascii="Times New Roman" w:hAnsi="Times New Roman"/>
          <w:lang w:eastAsia="hr-HR"/>
        </w:rPr>
        <w:t xml:space="preserve">povećala </w:t>
      </w:r>
      <w:r w:rsidR="00FE61A7" w:rsidRPr="004E6412">
        <w:rPr>
          <w:rFonts w:ascii="Times New Roman" w:hAnsi="Times New Roman"/>
          <w:lang w:eastAsia="hr-HR"/>
        </w:rPr>
        <w:t xml:space="preserve">se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za gotovo 20%. Razlika izvoza i uvoza je pozitivna, ali i da</w:t>
      </w:r>
      <w:r w:rsidR="00FE61A7" w:rsidRPr="004E6412">
        <w:rPr>
          <w:rFonts w:ascii="Times New Roman" w:hAnsi="Times New Roman"/>
          <w:lang w:eastAsia="hr-HR"/>
        </w:rPr>
        <w:t>lje minimalna (1,74 milijuna kuna</w:t>
      </w:r>
      <w:r w:rsidRPr="004E6412">
        <w:rPr>
          <w:rFonts w:ascii="Times New Roman" w:hAnsi="Times New Roman"/>
          <w:lang w:eastAsia="hr-HR"/>
        </w:rPr>
        <w:t xml:space="preserve"> neto izvoza</w:t>
      </w:r>
      <w:r w:rsidR="00FE61A7" w:rsidRPr="004E6412">
        <w:rPr>
          <w:rFonts w:ascii="Times New Roman" w:hAnsi="Times New Roman"/>
          <w:lang w:eastAsia="hr-HR"/>
        </w:rPr>
        <w:t xml:space="preserve"> u odnosu na 785,62 milijuna kuna</w:t>
      </w:r>
      <w:r w:rsidRPr="004E6412">
        <w:rPr>
          <w:rFonts w:ascii="Times New Roman" w:hAnsi="Times New Roman"/>
          <w:lang w:eastAsia="hr-HR"/>
        </w:rPr>
        <w:t xml:space="preserve"> izvoza). Povećani su pokazatelji uvozne zavisnosti i </w:t>
      </w:r>
      <w:r w:rsidR="00FE61A7" w:rsidRPr="004E6412">
        <w:rPr>
          <w:rFonts w:ascii="Times New Roman" w:hAnsi="Times New Roman"/>
          <w:lang w:eastAsia="hr-HR"/>
        </w:rPr>
        <w:lastRenderedPageBreak/>
        <w:t>prodora</w:t>
      </w:r>
      <w:r w:rsidRPr="004E6412">
        <w:rPr>
          <w:rFonts w:ascii="Times New Roman" w:hAnsi="Times New Roman"/>
          <w:lang w:eastAsia="hr-HR"/>
        </w:rPr>
        <w:t xml:space="preserve"> u</w:t>
      </w:r>
      <w:r w:rsidR="00FE61A7" w:rsidRPr="004E6412">
        <w:rPr>
          <w:rFonts w:ascii="Times New Roman" w:hAnsi="Times New Roman"/>
          <w:lang w:eastAsia="hr-HR"/>
        </w:rPr>
        <w:t>voza te su smanjene usporedne</w:t>
      </w:r>
      <w:r w:rsidRPr="004E6412">
        <w:rPr>
          <w:rFonts w:ascii="Times New Roman" w:hAnsi="Times New Roman"/>
          <w:lang w:eastAsia="hr-HR"/>
        </w:rPr>
        <w:t xml:space="preserve"> prednosti. </w:t>
      </w:r>
      <w:r w:rsidR="00FE61A7" w:rsidRPr="004E6412">
        <w:rPr>
          <w:rFonts w:ascii="Times New Roman" w:hAnsi="Times New Roman"/>
          <w:lang w:eastAsia="hr-HR"/>
        </w:rPr>
        <w:t>Sudeći po p</w:t>
      </w:r>
      <w:r w:rsidRPr="004E6412">
        <w:rPr>
          <w:rFonts w:ascii="Times New Roman" w:hAnsi="Times New Roman"/>
          <w:lang w:eastAsia="hr-HR"/>
        </w:rPr>
        <w:t>ov</w:t>
      </w:r>
      <w:r w:rsidR="00FE61A7" w:rsidRPr="004E6412">
        <w:rPr>
          <w:rFonts w:ascii="Times New Roman" w:hAnsi="Times New Roman"/>
          <w:lang w:eastAsia="hr-HR"/>
        </w:rPr>
        <w:t>ećanju izvoza i uvoza te povećanju</w:t>
      </w:r>
      <w:r w:rsidRPr="004E6412">
        <w:rPr>
          <w:rFonts w:ascii="Times New Roman" w:hAnsi="Times New Roman"/>
          <w:lang w:eastAsia="hr-HR"/>
        </w:rPr>
        <w:t xml:space="preserve"> njihovih udjela u prihodima i rashodima</w:t>
      </w:r>
      <w:r w:rsidR="00FE61A7" w:rsidRPr="004E6412">
        <w:rPr>
          <w:rFonts w:ascii="Times New Roman" w:hAnsi="Times New Roman"/>
          <w:lang w:eastAsia="hr-HR"/>
        </w:rPr>
        <w:t>,</w:t>
      </w:r>
      <w:r w:rsidRPr="004E6412">
        <w:rPr>
          <w:rFonts w:ascii="Times New Roman" w:hAnsi="Times New Roman"/>
          <w:lang w:eastAsia="hr-HR"/>
        </w:rPr>
        <w:t xml:space="preserve"> možemo zaključiti da se ova djelatnost u tri promatrane godine više okrenula vanjskoj trgovini te da je osnažila vanjskotrgovinske odnose.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Analizom industrijske strukture utvrđeno je 0,73% udjela BDV-a ove djelatnosti u BDV-u gospodarstva, 4,62% udjela u BDV-u prerađivačke industrije, </w:t>
      </w:r>
      <w:r w:rsidR="007D2CE6" w:rsidRPr="004E6412">
        <w:rPr>
          <w:rFonts w:ascii="Times New Roman" w:hAnsi="Times New Roman"/>
          <w:lang w:eastAsia="hr-HR"/>
        </w:rPr>
        <w:t>čime se postiže gotovo savršena intraindustrijska razmjena i minimalan</w:t>
      </w:r>
      <w:r w:rsidRPr="004E6412">
        <w:rPr>
          <w:rFonts w:ascii="Times New Roman" w:hAnsi="Times New Roman"/>
          <w:lang w:eastAsia="hr-HR"/>
        </w:rPr>
        <w:t xml:space="preserve"> utjecaj države u financiranju ove djelatnosti.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7D2CE6"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Proizvodnost rada i kapitala povećana je</w:t>
      </w:r>
      <w:r w:rsidR="001B41B0" w:rsidRPr="004E6412">
        <w:rPr>
          <w:rFonts w:ascii="Times New Roman" w:hAnsi="Times New Roman"/>
          <w:lang w:eastAsia="hr-HR"/>
        </w:rPr>
        <w:t xml:space="preserve"> u proma</w:t>
      </w:r>
      <w:r w:rsidRPr="004E6412">
        <w:rPr>
          <w:rFonts w:ascii="Times New Roman" w:hAnsi="Times New Roman"/>
          <w:lang w:eastAsia="hr-HR"/>
        </w:rPr>
        <w:t>tranom razdoblju uz zabilježeno</w:t>
      </w:r>
      <w:r w:rsidR="001B41B0" w:rsidRPr="004E6412">
        <w:rPr>
          <w:rFonts w:ascii="Times New Roman" w:hAnsi="Times New Roman"/>
          <w:lang w:eastAsia="hr-HR"/>
        </w:rPr>
        <w:t xml:space="preserve"> smanjenje jediničnog troška rada u proizvodnji.</w:t>
      </w:r>
      <w:r w:rsidRPr="004E6412">
        <w:rPr>
          <w:rFonts w:ascii="Times New Roman" w:hAnsi="Times New Roman"/>
          <w:lang w:eastAsia="hr-HR"/>
        </w:rPr>
        <w:t xml:space="preserve"> Opremljenost rada kapitalom </w:t>
      </w:r>
      <w:r w:rsidR="001B41B0" w:rsidRPr="004E6412">
        <w:rPr>
          <w:rFonts w:ascii="Times New Roman" w:hAnsi="Times New Roman"/>
          <w:lang w:eastAsia="hr-HR"/>
        </w:rPr>
        <w:t xml:space="preserve">također </w:t>
      </w:r>
      <w:r w:rsidRPr="004E6412">
        <w:rPr>
          <w:rFonts w:ascii="Times New Roman" w:hAnsi="Times New Roman"/>
          <w:lang w:eastAsia="hr-HR"/>
        </w:rPr>
        <w:t xml:space="preserve">je </w:t>
      </w:r>
      <w:r w:rsidR="001B41B0" w:rsidRPr="004E6412">
        <w:rPr>
          <w:rFonts w:ascii="Times New Roman" w:hAnsi="Times New Roman"/>
          <w:lang w:eastAsia="hr-HR"/>
        </w:rPr>
        <w:t>povećana. Razlog ovim povećanjima nalazi se ponajviše u smanjenju broja zaposlenih za 500 osoba. Na djelu je racionalizacija poslovanja, što nije iznenađujuće ako uzmemo u obzir pad gospodarske aktivnosti i potrošnje u RH u sve tri promatrane godine.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je nelikvidna, a nelikvidnost se povećala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Ukupna zaduženost nije visoka i to prvenstveno zbog relativno malog udjela dugoročnog duga. Neto financijski dug je višestruko smanjen</w:t>
      </w:r>
      <w:r w:rsidR="007D2CE6" w:rsidRPr="004E6412">
        <w:rPr>
          <w:rFonts w:ascii="Times New Roman" w:hAnsi="Times New Roman"/>
          <w:lang w:eastAsia="hr-HR"/>
        </w:rPr>
        <w:t xml:space="preserve"> u promatranom razdoblju. Kreditori i dobavljači ove djelatnosti usmjereni su</w:t>
      </w:r>
      <w:r w:rsidRPr="004E6412">
        <w:rPr>
          <w:rFonts w:ascii="Times New Roman" w:hAnsi="Times New Roman"/>
          <w:lang w:eastAsia="hr-HR"/>
        </w:rPr>
        <w:t xml:space="preserve"> na sposobnosti otplate tekućih obveza.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Broj zaposlenih je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smanjen za 7,35%. U prerađivačkoj industriji to predstavlja udio od 2,69% ukupnog broja zaposlenih, dok je na razini ukupnog gospodarstva taj ud</w:t>
      </w:r>
      <w:r w:rsidR="007D2CE6" w:rsidRPr="004E6412">
        <w:rPr>
          <w:rFonts w:ascii="Times New Roman" w:hAnsi="Times New Roman"/>
          <w:lang w:eastAsia="hr-HR"/>
        </w:rPr>
        <w:t xml:space="preserve">io 0,42%. Neto i bruto plaće </w:t>
      </w:r>
      <w:r w:rsidRPr="004E6412">
        <w:rPr>
          <w:rFonts w:ascii="Times New Roman" w:hAnsi="Times New Roman"/>
          <w:lang w:eastAsia="hr-HR"/>
        </w:rPr>
        <w:t xml:space="preserve">u promatranom </w:t>
      </w:r>
      <w:r w:rsidR="007D2CE6" w:rsidRPr="004E6412">
        <w:rPr>
          <w:rFonts w:ascii="Times New Roman" w:hAnsi="Times New Roman"/>
          <w:lang w:eastAsia="hr-HR"/>
        </w:rPr>
        <w:t xml:space="preserve">su </w:t>
      </w:r>
      <w:r w:rsidRPr="004E6412">
        <w:rPr>
          <w:rFonts w:ascii="Times New Roman" w:hAnsi="Times New Roman"/>
          <w:lang w:eastAsia="hr-HR"/>
        </w:rPr>
        <w:t>razdoblju blago povećane unatoč sm</w:t>
      </w:r>
      <w:r w:rsidR="007D2CE6" w:rsidRPr="004E6412">
        <w:rPr>
          <w:rFonts w:ascii="Times New Roman" w:hAnsi="Times New Roman"/>
          <w:lang w:eastAsia="hr-HR"/>
        </w:rPr>
        <w:t xml:space="preserve">anjenju radne snage. </w:t>
      </w:r>
      <w:r w:rsidRPr="004E6412">
        <w:rPr>
          <w:rFonts w:ascii="Times New Roman" w:hAnsi="Times New Roman"/>
          <w:lang w:eastAsia="hr-HR"/>
        </w:rPr>
        <w:t>Najveći udio zaposlenih ima srednju stručnu spremu (45,66% u 20</w:t>
      </w:r>
      <w:r w:rsidR="007D2CE6" w:rsidRPr="004E6412">
        <w:rPr>
          <w:rFonts w:ascii="Times New Roman" w:hAnsi="Times New Roman"/>
          <w:lang w:eastAsia="hr-HR"/>
        </w:rPr>
        <w:t>12.), dok se posebno ističe veli</w:t>
      </w:r>
      <w:r w:rsidRPr="004E6412">
        <w:rPr>
          <w:rFonts w:ascii="Times New Roman" w:hAnsi="Times New Roman"/>
          <w:lang w:eastAsia="hr-HR"/>
        </w:rPr>
        <w:t>k udio visok</w:t>
      </w:r>
      <w:r w:rsidR="007D2CE6" w:rsidRPr="004E6412">
        <w:rPr>
          <w:rFonts w:ascii="Times New Roman" w:hAnsi="Times New Roman"/>
          <w:lang w:eastAsia="hr-HR"/>
        </w:rPr>
        <w:t>oobrazovanih osoba (</w:t>
      </w:r>
      <w:r w:rsidRPr="004E6412">
        <w:rPr>
          <w:rFonts w:ascii="Times New Roman" w:hAnsi="Times New Roman"/>
          <w:lang w:eastAsia="hr-HR"/>
        </w:rPr>
        <w:t>13,47%</w:t>
      </w:r>
      <w:r w:rsidR="007D2CE6" w:rsidRPr="004E6412">
        <w:rPr>
          <w:rFonts w:ascii="Times New Roman" w:hAnsi="Times New Roman"/>
          <w:lang w:eastAsia="hr-HR"/>
        </w:rPr>
        <w:t>)</w:t>
      </w:r>
      <w:r w:rsidRPr="004E6412">
        <w:rPr>
          <w:rFonts w:ascii="Times New Roman" w:hAnsi="Times New Roman"/>
          <w:lang w:eastAsia="hr-HR"/>
        </w:rPr>
        <w:t xml:space="preserve"> u 2012.</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u Hrvatskoj </w:t>
      </w:r>
      <w:r w:rsidR="007D2CE6" w:rsidRPr="004E6412">
        <w:rPr>
          <w:rFonts w:ascii="Times New Roman" w:hAnsi="Times New Roman"/>
          <w:lang w:eastAsia="hr-HR"/>
        </w:rPr>
        <w:t>je obilježena koncentracijom</w:t>
      </w:r>
      <w:r w:rsidRPr="004E6412">
        <w:rPr>
          <w:rFonts w:ascii="Times New Roman" w:hAnsi="Times New Roman"/>
          <w:lang w:eastAsia="hr-HR"/>
        </w:rPr>
        <w:t xml:space="preserve"> proizvodnje u sjeverozapadnom dijelu zemlje, no razvijena je i u drugim dijelovima. Važan je plasman proizvoda djelatnosti kroz turizam.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Ograničavajući čimbenici djelatnosti proizvodnje pića uključuju zastarjelu tehnologiju i potrebe ulaganja u nove tehnologije, otežan pristup kapitalu, nisku razinu suradnje u sektoru istraživanja i razvoja, nedostatak strategije upravljanja okolišem. Ograničavajući je čimbenik i nedovoljna raspoloživost sirovina za proizvodnju pa postoji potreba za uvozom.</w:t>
      </w:r>
    </w:p>
    <w:p w:rsidR="001B41B0" w:rsidRPr="004E6412" w:rsidRDefault="001B41B0" w:rsidP="001B41B0">
      <w:pPr>
        <w:pStyle w:val="ListParagraph"/>
        <w:rPr>
          <w:rFonts w:ascii="Times New Roman" w:hAnsi="Times New Roman"/>
          <w:lang w:eastAsia="hr-HR"/>
        </w:rPr>
      </w:pPr>
    </w:p>
    <w:p w:rsidR="001B41B0" w:rsidRPr="004E6412" w:rsidRDefault="001B41B0" w:rsidP="007D2CE6">
      <w:pPr>
        <w:pStyle w:val="ListParagraph"/>
        <w:numPr>
          <w:ilvl w:val="0"/>
          <w:numId w:val="8"/>
        </w:numPr>
        <w:spacing w:after="0"/>
        <w:ind w:left="714" w:hanging="357"/>
        <w:rPr>
          <w:rFonts w:ascii="Times New Roman" w:hAnsi="Times New Roman"/>
          <w:lang w:eastAsia="hr-HR"/>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lang w:eastAsia="hr-HR"/>
        </w:rPr>
        <w:t>Perspektive budućeg razvoja leže u ulaganjima</w:t>
      </w:r>
      <w:r w:rsidR="007D2CE6" w:rsidRPr="004E6412">
        <w:rPr>
          <w:rFonts w:ascii="Times New Roman" w:hAnsi="Times New Roman"/>
          <w:lang w:eastAsia="hr-HR"/>
        </w:rPr>
        <w:t xml:space="preserve"> u poljoprivrednu</w:t>
      </w:r>
      <w:r w:rsidRPr="004E6412">
        <w:rPr>
          <w:rFonts w:ascii="Times New Roman" w:hAnsi="Times New Roman"/>
          <w:lang w:eastAsia="hr-HR"/>
        </w:rPr>
        <w:t xml:space="preserve"> i znanstveno-tehnološku infrastrukturu koja omogućuje veće prihode i dodanu vrijednost povećanjem učinkovitosti proizvodnje i integracijom između poljoprivredne i proizvodnje pića.</w:t>
      </w:r>
      <w:bookmarkStart w:id="380" w:name="_Toc365992526"/>
    </w:p>
    <w:p w:rsidR="001B41B0" w:rsidRPr="004E6412" w:rsidRDefault="001B41B0" w:rsidP="00D001B9">
      <w:pPr>
        <w:pStyle w:val="Heading3"/>
        <w:rPr>
          <w:rFonts w:eastAsia="Calibri"/>
        </w:rPr>
      </w:pPr>
      <w:bookmarkStart w:id="381" w:name="_Toc372087981"/>
      <w:bookmarkStart w:id="382" w:name="_Toc378069042"/>
      <w:r w:rsidRPr="004E6412">
        <w:rPr>
          <w:rFonts w:eastAsia="Calibri"/>
        </w:rPr>
        <w:lastRenderedPageBreak/>
        <w:t>Zaključni prikaz pokazatelja</w:t>
      </w:r>
      <w:bookmarkEnd w:id="381"/>
      <w:bookmarkEnd w:id="382"/>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383" w:name="_Toc372088137"/>
      <w:bookmarkStart w:id="384" w:name="_Toc377551072"/>
      <w:bookmarkStart w:id="385" w:name="_Toc377635261"/>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60</w:t>
      </w:r>
      <w:r w:rsidRPr="007D0CFD">
        <w:rPr>
          <w:rStyle w:val="IntenseEmphasis"/>
          <w:b/>
          <w:bCs w:val="0"/>
          <w:iCs w:val="0"/>
          <w:color w:val="548DD4" w:themeColor="text2" w:themeTint="99"/>
          <w:sz w:val="20"/>
        </w:rPr>
        <w:t>. Kvantitativni pokazatelji (C11)</w:t>
      </w:r>
      <w:bookmarkEnd w:id="383"/>
      <w:bookmarkEnd w:id="384"/>
      <w:bookmarkEnd w:id="385"/>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vAlign w:val="center"/>
          </w:tcPr>
          <w:p w:rsidR="001B41B0" w:rsidRPr="004E6412" w:rsidRDefault="001B41B0" w:rsidP="001B41B0">
            <w:pPr>
              <w:jc w:val="right"/>
            </w:pPr>
            <w:r w:rsidRPr="004E6412">
              <w:rPr>
                <w:sz w:val="22"/>
              </w:rPr>
              <w:t>97,50</w:t>
            </w:r>
          </w:p>
        </w:tc>
        <w:tc>
          <w:tcPr>
            <w:tcW w:w="968" w:type="pct"/>
            <w:shd w:val="clear" w:color="auto" w:fill="auto"/>
            <w:noWrap/>
            <w:vAlign w:val="center"/>
          </w:tcPr>
          <w:p w:rsidR="001B41B0" w:rsidRPr="004E6412" w:rsidRDefault="001B41B0" w:rsidP="001B41B0">
            <w:pPr>
              <w:jc w:val="right"/>
            </w:pPr>
            <w:r w:rsidRPr="004E6412">
              <w:rPr>
                <w:sz w:val="22"/>
              </w:rPr>
              <w:t>101,50</w:t>
            </w:r>
          </w:p>
        </w:tc>
        <w:tc>
          <w:tcPr>
            <w:tcW w:w="1100" w:type="pct"/>
            <w:shd w:val="clear" w:color="auto" w:fill="auto"/>
            <w:noWrap/>
            <w:vAlign w:val="center"/>
          </w:tcPr>
          <w:p w:rsidR="001B41B0" w:rsidRPr="004E6412" w:rsidRDefault="001B41B0" w:rsidP="001B41B0">
            <w:pPr>
              <w:jc w:val="right"/>
            </w:pPr>
            <w:r w:rsidRPr="004E6412">
              <w:rPr>
                <w:sz w:val="22"/>
              </w:rPr>
              <w:t>104,33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vAlign w:val="center"/>
          </w:tcPr>
          <w:p w:rsidR="001B41B0" w:rsidRPr="004E6412" w:rsidRDefault="001B41B0" w:rsidP="001B41B0">
            <w:pPr>
              <w:jc w:val="right"/>
            </w:pPr>
            <w:r w:rsidRPr="004E6412">
              <w:rPr>
                <w:sz w:val="22"/>
              </w:rPr>
              <w:t>91,2</w:t>
            </w:r>
          </w:p>
        </w:tc>
        <w:tc>
          <w:tcPr>
            <w:tcW w:w="968" w:type="pct"/>
            <w:shd w:val="clear" w:color="auto" w:fill="auto"/>
            <w:noWrap/>
            <w:vAlign w:val="center"/>
          </w:tcPr>
          <w:p w:rsidR="001B41B0" w:rsidRPr="004E6412" w:rsidRDefault="001B41B0" w:rsidP="001B41B0">
            <w:pPr>
              <w:jc w:val="right"/>
            </w:pPr>
            <w:r w:rsidRPr="004E6412">
              <w:rPr>
                <w:sz w:val="22"/>
              </w:rPr>
              <w:t>106,5</w:t>
            </w:r>
          </w:p>
        </w:tc>
        <w:tc>
          <w:tcPr>
            <w:tcW w:w="1100" w:type="pct"/>
            <w:shd w:val="clear" w:color="auto" w:fill="auto"/>
            <w:noWrap/>
            <w:vAlign w:val="center"/>
          </w:tcPr>
          <w:p w:rsidR="001B41B0" w:rsidRPr="004E6412" w:rsidRDefault="007253BD" w:rsidP="001B41B0">
            <w:pPr>
              <w:jc w:val="right"/>
            </w:pPr>
            <w:r w:rsidRPr="004E6412">
              <w:rPr>
                <w:sz w:val="22"/>
              </w:rPr>
              <w:t>96</w:t>
            </w:r>
            <w:r w:rsidR="001B41B0" w:rsidRPr="004E6412">
              <w:rPr>
                <w:sz w:val="22"/>
              </w:rPr>
              <w:t>,</w:t>
            </w:r>
            <w:r w:rsidRPr="004E6412">
              <w:rPr>
                <w:sz w:val="22"/>
              </w:rPr>
              <w:t>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vAlign w:val="center"/>
          </w:tcPr>
          <w:p w:rsidR="001B41B0" w:rsidRPr="004E6412" w:rsidRDefault="001B41B0" w:rsidP="001B41B0">
            <w:pPr>
              <w:jc w:val="right"/>
            </w:pPr>
            <w:r w:rsidRPr="004E6412">
              <w:rPr>
                <w:sz w:val="22"/>
              </w:rPr>
              <w:t>6.505</w:t>
            </w:r>
          </w:p>
        </w:tc>
        <w:tc>
          <w:tcPr>
            <w:tcW w:w="968" w:type="pct"/>
            <w:shd w:val="clear" w:color="auto" w:fill="auto"/>
            <w:noWrap/>
            <w:vAlign w:val="center"/>
          </w:tcPr>
          <w:p w:rsidR="001B41B0" w:rsidRPr="004E6412" w:rsidRDefault="001B41B0" w:rsidP="001B41B0">
            <w:pPr>
              <w:jc w:val="right"/>
            </w:pPr>
            <w:r w:rsidRPr="004E6412">
              <w:rPr>
                <w:sz w:val="22"/>
              </w:rPr>
              <w:t>6.218</w:t>
            </w:r>
          </w:p>
        </w:tc>
        <w:tc>
          <w:tcPr>
            <w:tcW w:w="1100" w:type="pct"/>
            <w:shd w:val="clear" w:color="auto" w:fill="auto"/>
            <w:noWrap/>
            <w:vAlign w:val="center"/>
          </w:tcPr>
          <w:p w:rsidR="001B41B0" w:rsidRPr="004E6412" w:rsidRDefault="001B41B0" w:rsidP="001B41B0">
            <w:pPr>
              <w:jc w:val="right"/>
            </w:pPr>
            <w:r w:rsidRPr="004E6412">
              <w:rPr>
                <w:sz w:val="22"/>
              </w:rPr>
              <w:t>6.027</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vAlign w:val="center"/>
          </w:tcPr>
          <w:p w:rsidR="001B41B0" w:rsidRPr="004E6412" w:rsidRDefault="001B41B0" w:rsidP="001B41B0">
            <w:pPr>
              <w:jc w:val="right"/>
            </w:pPr>
            <w:r w:rsidRPr="004E6412">
              <w:rPr>
                <w:sz w:val="22"/>
              </w:rPr>
              <w:t>6.121.021.074</w:t>
            </w:r>
          </w:p>
        </w:tc>
        <w:tc>
          <w:tcPr>
            <w:tcW w:w="968" w:type="pct"/>
            <w:shd w:val="clear" w:color="auto" w:fill="auto"/>
            <w:noWrap/>
            <w:vAlign w:val="center"/>
          </w:tcPr>
          <w:p w:rsidR="001B41B0" w:rsidRPr="004E6412" w:rsidRDefault="001B41B0" w:rsidP="001B41B0">
            <w:pPr>
              <w:jc w:val="right"/>
            </w:pPr>
            <w:r w:rsidRPr="004E6412">
              <w:rPr>
                <w:sz w:val="22"/>
              </w:rPr>
              <w:t>6.302.371.756</w:t>
            </w:r>
          </w:p>
        </w:tc>
        <w:tc>
          <w:tcPr>
            <w:tcW w:w="1100" w:type="pct"/>
            <w:shd w:val="clear" w:color="auto" w:fill="auto"/>
            <w:noWrap/>
            <w:vAlign w:val="center"/>
          </w:tcPr>
          <w:p w:rsidR="001B41B0" w:rsidRPr="004E6412" w:rsidRDefault="001B41B0" w:rsidP="001B41B0">
            <w:pPr>
              <w:jc w:val="right"/>
            </w:pPr>
            <w:r w:rsidRPr="004E6412">
              <w:rPr>
                <w:sz w:val="22"/>
              </w:rPr>
              <w:t>6.307.280.480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vAlign w:val="center"/>
          </w:tcPr>
          <w:p w:rsidR="001B41B0" w:rsidRPr="004E6412" w:rsidRDefault="001B41B0" w:rsidP="001B41B0">
            <w:pPr>
              <w:jc w:val="right"/>
            </w:pPr>
            <w:r w:rsidRPr="004E6412">
              <w:rPr>
                <w:sz w:val="22"/>
              </w:rPr>
              <w:t>915.301.887</w:t>
            </w:r>
          </w:p>
        </w:tc>
        <w:tc>
          <w:tcPr>
            <w:tcW w:w="968" w:type="pct"/>
            <w:shd w:val="clear" w:color="auto" w:fill="auto"/>
            <w:noWrap/>
            <w:vAlign w:val="center"/>
          </w:tcPr>
          <w:p w:rsidR="001B41B0" w:rsidRPr="004E6412" w:rsidRDefault="001B41B0" w:rsidP="001B41B0">
            <w:pPr>
              <w:jc w:val="right"/>
            </w:pPr>
            <w:r w:rsidRPr="004E6412">
              <w:rPr>
                <w:sz w:val="22"/>
              </w:rPr>
              <w:t>908.590.614</w:t>
            </w:r>
          </w:p>
        </w:tc>
        <w:tc>
          <w:tcPr>
            <w:tcW w:w="1100" w:type="pct"/>
            <w:shd w:val="clear" w:color="auto" w:fill="auto"/>
            <w:noWrap/>
            <w:vAlign w:val="center"/>
          </w:tcPr>
          <w:p w:rsidR="001B41B0" w:rsidRPr="004E6412" w:rsidRDefault="001B41B0" w:rsidP="001B41B0">
            <w:pPr>
              <w:jc w:val="right"/>
            </w:pPr>
            <w:r w:rsidRPr="004E6412">
              <w:rPr>
                <w:sz w:val="22"/>
              </w:rPr>
              <w:t>870.921.083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vAlign w:val="center"/>
          </w:tcPr>
          <w:p w:rsidR="001B41B0" w:rsidRPr="004E6412" w:rsidRDefault="001B41B0" w:rsidP="001B41B0">
            <w:pPr>
              <w:jc w:val="right"/>
            </w:pPr>
            <w:r w:rsidRPr="004E6412">
              <w:rPr>
                <w:sz w:val="22"/>
              </w:rPr>
              <w:t>8,57</w:t>
            </w:r>
          </w:p>
        </w:tc>
        <w:tc>
          <w:tcPr>
            <w:tcW w:w="968" w:type="pct"/>
            <w:shd w:val="clear" w:color="auto" w:fill="auto"/>
            <w:noWrap/>
            <w:vAlign w:val="center"/>
          </w:tcPr>
          <w:p w:rsidR="001B41B0" w:rsidRPr="004E6412" w:rsidRDefault="001B41B0" w:rsidP="001B41B0">
            <w:pPr>
              <w:jc w:val="right"/>
            </w:pPr>
            <w:r w:rsidRPr="004E6412">
              <w:rPr>
                <w:sz w:val="22"/>
              </w:rPr>
              <w:t>8,30</w:t>
            </w:r>
          </w:p>
        </w:tc>
        <w:tc>
          <w:tcPr>
            <w:tcW w:w="1100" w:type="pct"/>
            <w:shd w:val="clear" w:color="auto" w:fill="auto"/>
            <w:noWrap/>
            <w:vAlign w:val="center"/>
          </w:tcPr>
          <w:p w:rsidR="001B41B0" w:rsidRPr="004E6412" w:rsidRDefault="001B41B0" w:rsidP="001B41B0">
            <w:pPr>
              <w:jc w:val="right"/>
            </w:pPr>
            <w:r w:rsidRPr="004E6412">
              <w:rPr>
                <w:sz w:val="22"/>
              </w:rPr>
              <w:t>7,98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940.972</w:t>
            </w:r>
          </w:p>
        </w:tc>
        <w:tc>
          <w:tcPr>
            <w:tcW w:w="968" w:type="pct"/>
            <w:shd w:val="clear" w:color="auto" w:fill="auto"/>
            <w:noWrap/>
            <w:vAlign w:val="center"/>
          </w:tcPr>
          <w:p w:rsidR="001B41B0" w:rsidRPr="004E6412" w:rsidRDefault="001B41B0" w:rsidP="001B41B0">
            <w:pPr>
              <w:jc w:val="right"/>
            </w:pPr>
            <w:r w:rsidRPr="004E6412">
              <w:rPr>
                <w:sz w:val="22"/>
              </w:rPr>
              <w:t>1.013.569</w:t>
            </w:r>
          </w:p>
        </w:tc>
        <w:tc>
          <w:tcPr>
            <w:tcW w:w="1100" w:type="pct"/>
            <w:shd w:val="clear" w:color="auto" w:fill="auto"/>
            <w:noWrap/>
            <w:vAlign w:val="center"/>
          </w:tcPr>
          <w:p w:rsidR="001B41B0" w:rsidRPr="004E6412" w:rsidRDefault="001B41B0" w:rsidP="001B41B0">
            <w:pPr>
              <w:jc w:val="right"/>
            </w:pPr>
            <w:r w:rsidRPr="004E6412">
              <w:rPr>
                <w:sz w:val="22"/>
              </w:rPr>
              <w:t>1.046.504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vAlign w:val="center"/>
          </w:tcPr>
          <w:p w:rsidR="001B41B0" w:rsidRPr="004E6412" w:rsidRDefault="001B41B0" w:rsidP="001B41B0">
            <w:pPr>
              <w:jc w:val="right"/>
            </w:pPr>
            <w:r w:rsidRPr="004E6412">
              <w:rPr>
                <w:sz w:val="22"/>
              </w:rPr>
              <w:t>2.117.217.935</w:t>
            </w:r>
          </w:p>
        </w:tc>
        <w:tc>
          <w:tcPr>
            <w:tcW w:w="968" w:type="pct"/>
            <w:shd w:val="clear" w:color="auto" w:fill="auto"/>
            <w:noWrap/>
            <w:vAlign w:val="center"/>
          </w:tcPr>
          <w:p w:rsidR="001B41B0" w:rsidRPr="004E6412" w:rsidRDefault="001B41B0" w:rsidP="001B41B0">
            <w:pPr>
              <w:jc w:val="right"/>
            </w:pPr>
            <w:r w:rsidRPr="004E6412">
              <w:rPr>
                <w:sz w:val="22"/>
              </w:rPr>
              <w:t>2.145.033.672</w:t>
            </w:r>
          </w:p>
        </w:tc>
        <w:tc>
          <w:tcPr>
            <w:tcW w:w="1100" w:type="pct"/>
            <w:shd w:val="clear" w:color="auto" w:fill="auto"/>
            <w:noWrap/>
            <w:vAlign w:val="center"/>
          </w:tcPr>
          <w:p w:rsidR="001B41B0" w:rsidRPr="004E6412" w:rsidRDefault="001B41B0" w:rsidP="001B41B0">
            <w:pPr>
              <w:jc w:val="right"/>
            </w:pPr>
            <w:r w:rsidRPr="004E6412">
              <w:rPr>
                <w:sz w:val="22"/>
              </w:rPr>
              <w:t>2.100.932.553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105.418</w:t>
            </w:r>
          </w:p>
        </w:tc>
        <w:tc>
          <w:tcPr>
            <w:tcW w:w="968" w:type="pct"/>
            <w:shd w:val="clear" w:color="auto" w:fill="auto"/>
            <w:noWrap/>
            <w:vAlign w:val="center"/>
          </w:tcPr>
          <w:p w:rsidR="001B41B0" w:rsidRPr="004E6412" w:rsidRDefault="001B41B0" w:rsidP="001B41B0">
            <w:pPr>
              <w:jc w:val="right"/>
            </w:pPr>
            <w:r w:rsidRPr="004E6412">
              <w:rPr>
                <w:sz w:val="22"/>
              </w:rPr>
              <w:t>116.231</w:t>
            </w:r>
          </w:p>
        </w:tc>
        <w:tc>
          <w:tcPr>
            <w:tcW w:w="1100" w:type="pct"/>
            <w:shd w:val="clear" w:color="auto" w:fill="auto"/>
            <w:noWrap/>
            <w:vAlign w:val="center"/>
          </w:tcPr>
          <w:p w:rsidR="001B41B0" w:rsidRPr="004E6412" w:rsidRDefault="001B41B0" w:rsidP="001B41B0">
            <w:pPr>
              <w:jc w:val="right"/>
            </w:pPr>
            <w:r w:rsidRPr="004E6412">
              <w:rPr>
                <w:sz w:val="22"/>
              </w:rPr>
              <w:t>115.190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82.140</w:t>
            </w:r>
          </w:p>
        </w:tc>
        <w:tc>
          <w:tcPr>
            <w:tcW w:w="968" w:type="pct"/>
            <w:shd w:val="clear" w:color="auto" w:fill="auto"/>
            <w:noWrap/>
            <w:vAlign w:val="center"/>
          </w:tcPr>
          <w:p w:rsidR="001B41B0" w:rsidRPr="004E6412" w:rsidRDefault="001B41B0" w:rsidP="001B41B0">
            <w:pPr>
              <w:jc w:val="right"/>
            </w:pPr>
            <w:r w:rsidRPr="004E6412">
              <w:rPr>
                <w:sz w:val="22"/>
              </w:rPr>
              <w:t>66.877</w:t>
            </w:r>
          </w:p>
        </w:tc>
        <w:tc>
          <w:tcPr>
            <w:tcW w:w="1100" w:type="pct"/>
            <w:shd w:val="clear" w:color="auto" w:fill="auto"/>
            <w:noWrap/>
            <w:vAlign w:val="center"/>
          </w:tcPr>
          <w:p w:rsidR="001B41B0" w:rsidRPr="004E6412" w:rsidRDefault="001B41B0" w:rsidP="001B41B0">
            <w:pPr>
              <w:jc w:val="right"/>
            </w:pPr>
            <w:r w:rsidRPr="004E6412">
              <w:rPr>
                <w:sz w:val="22"/>
              </w:rPr>
              <w:t>45.413</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vAlign w:val="center"/>
          </w:tcPr>
          <w:p w:rsidR="001B41B0" w:rsidRPr="004E6412" w:rsidRDefault="001B41B0" w:rsidP="001B41B0">
            <w:pPr>
              <w:jc w:val="right"/>
            </w:pPr>
            <w:r w:rsidRPr="004E6412">
              <w:rPr>
                <w:sz w:val="22"/>
              </w:rPr>
              <w:t>1,058</w:t>
            </w:r>
          </w:p>
        </w:tc>
        <w:tc>
          <w:tcPr>
            <w:tcW w:w="968" w:type="pct"/>
            <w:shd w:val="clear" w:color="auto" w:fill="FFFFFF"/>
            <w:noWrap/>
            <w:vAlign w:val="center"/>
          </w:tcPr>
          <w:p w:rsidR="001B41B0" w:rsidRPr="004E6412" w:rsidRDefault="001B41B0" w:rsidP="001B41B0">
            <w:pPr>
              <w:jc w:val="right"/>
            </w:pPr>
            <w:r w:rsidRPr="004E6412">
              <w:rPr>
                <w:sz w:val="22"/>
              </w:rPr>
              <w:t>0,975</w:t>
            </w:r>
          </w:p>
        </w:tc>
        <w:tc>
          <w:tcPr>
            <w:tcW w:w="1100" w:type="pct"/>
            <w:shd w:val="clear" w:color="auto" w:fill="FFFFFF"/>
            <w:noWrap/>
            <w:vAlign w:val="center"/>
          </w:tcPr>
          <w:p w:rsidR="001B41B0" w:rsidRPr="004E6412" w:rsidRDefault="001B41B0" w:rsidP="001B41B0">
            <w:pPr>
              <w:jc w:val="right"/>
              <w:rPr>
                <w:highlight w:val="yellow"/>
              </w:rPr>
            </w:pPr>
            <w:r w:rsidRPr="004E6412">
              <w:rPr>
                <w:sz w:val="22"/>
              </w:rPr>
              <w:t>1,002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vAlign w:val="center"/>
          </w:tcPr>
          <w:p w:rsidR="001B41B0" w:rsidRPr="004E6412" w:rsidRDefault="001B41B0" w:rsidP="001B41B0">
            <w:pPr>
              <w:jc w:val="right"/>
            </w:pPr>
            <w:r w:rsidRPr="004E6412">
              <w:rPr>
                <w:sz w:val="22"/>
              </w:rPr>
              <w:t>35.775.610</w:t>
            </w:r>
          </w:p>
        </w:tc>
        <w:tc>
          <w:tcPr>
            <w:tcW w:w="968" w:type="pct"/>
            <w:shd w:val="clear" w:color="auto" w:fill="auto"/>
            <w:noWrap/>
            <w:vAlign w:val="center"/>
          </w:tcPr>
          <w:p w:rsidR="001B41B0" w:rsidRPr="004E6412" w:rsidRDefault="001B41B0" w:rsidP="001B41B0">
            <w:pPr>
              <w:jc w:val="right"/>
            </w:pPr>
            <w:r w:rsidRPr="004E6412">
              <w:rPr>
                <w:sz w:val="22"/>
              </w:rPr>
              <w:t>-18.865.101</w:t>
            </w:r>
          </w:p>
        </w:tc>
        <w:tc>
          <w:tcPr>
            <w:tcW w:w="1100" w:type="pct"/>
            <w:shd w:val="clear" w:color="auto" w:fill="auto"/>
            <w:noWrap/>
            <w:vAlign w:val="center"/>
          </w:tcPr>
          <w:p w:rsidR="001B41B0" w:rsidRPr="004E6412" w:rsidRDefault="001B41B0" w:rsidP="001B41B0">
            <w:pPr>
              <w:jc w:val="right"/>
            </w:pPr>
            <w:r w:rsidRPr="004E6412">
              <w:rPr>
                <w:sz w:val="22"/>
              </w:rPr>
              <w:t>1.739.593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vAlign w:val="center"/>
          </w:tcPr>
          <w:p w:rsidR="001B41B0" w:rsidRPr="004E6412" w:rsidRDefault="001B41B0" w:rsidP="001B41B0">
            <w:pPr>
              <w:jc w:val="right"/>
            </w:pPr>
            <w:r w:rsidRPr="004E6412">
              <w:rPr>
                <w:sz w:val="22"/>
              </w:rPr>
              <w:t>10,70</w:t>
            </w:r>
          </w:p>
        </w:tc>
        <w:tc>
          <w:tcPr>
            <w:tcW w:w="968" w:type="pct"/>
            <w:shd w:val="clear" w:color="auto" w:fill="auto"/>
            <w:noWrap/>
            <w:vAlign w:val="center"/>
          </w:tcPr>
          <w:p w:rsidR="001B41B0" w:rsidRPr="004E6412" w:rsidRDefault="001B41B0" w:rsidP="001B41B0">
            <w:pPr>
              <w:jc w:val="right"/>
            </w:pPr>
            <w:r w:rsidRPr="004E6412">
              <w:rPr>
                <w:sz w:val="22"/>
              </w:rPr>
              <w:t>11,83%</w:t>
            </w:r>
          </w:p>
        </w:tc>
        <w:tc>
          <w:tcPr>
            <w:tcW w:w="1100" w:type="pct"/>
            <w:shd w:val="clear" w:color="auto" w:fill="auto"/>
            <w:noWrap/>
            <w:vAlign w:val="center"/>
          </w:tcPr>
          <w:p w:rsidR="001B41B0" w:rsidRPr="004E6412" w:rsidRDefault="001B41B0" w:rsidP="001B41B0">
            <w:pPr>
              <w:jc w:val="right"/>
            </w:pPr>
            <w:r w:rsidRPr="004E6412">
              <w:rPr>
                <w:sz w:val="22"/>
              </w:rPr>
              <w:t>12,46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vAlign w:val="center"/>
          </w:tcPr>
          <w:p w:rsidR="001B41B0" w:rsidRPr="004E6412" w:rsidRDefault="001B41B0" w:rsidP="001B41B0">
            <w:pPr>
              <w:jc w:val="right"/>
            </w:pPr>
            <w:r w:rsidRPr="004E6412">
              <w:rPr>
                <w:sz w:val="22"/>
              </w:rPr>
              <w:t>0,094</w:t>
            </w:r>
          </w:p>
        </w:tc>
        <w:tc>
          <w:tcPr>
            <w:tcW w:w="968" w:type="pct"/>
            <w:shd w:val="clear" w:color="auto" w:fill="auto"/>
            <w:noWrap/>
            <w:vAlign w:val="center"/>
          </w:tcPr>
          <w:p w:rsidR="001B41B0" w:rsidRPr="004E6412" w:rsidRDefault="001B41B0" w:rsidP="001B41B0">
            <w:pPr>
              <w:jc w:val="right"/>
            </w:pPr>
            <w:r w:rsidRPr="004E6412">
              <w:rPr>
                <w:sz w:val="22"/>
              </w:rPr>
              <w:t>-0,044</w:t>
            </w:r>
          </w:p>
        </w:tc>
        <w:tc>
          <w:tcPr>
            <w:tcW w:w="1100" w:type="pct"/>
            <w:shd w:val="clear" w:color="auto" w:fill="auto"/>
            <w:noWrap/>
            <w:vAlign w:val="center"/>
          </w:tcPr>
          <w:p w:rsidR="001B41B0" w:rsidRPr="004E6412" w:rsidRDefault="001B41B0" w:rsidP="001B41B0">
            <w:pPr>
              <w:jc w:val="right"/>
            </w:pPr>
            <w:r w:rsidRPr="004E6412">
              <w:rPr>
                <w:sz w:val="22"/>
              </w:rPr>
              <w:t>0,004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051A81" w:rsidRPr="004E6412">
              <w:rPr>
                <w:b/>
                <w:sz w:val="22"/>
              </w:rPr>
              <w:t>-a</w:t>
            </w:r>
            <w:r w:rsidRPr="004E6412">
              <w:rPr>
                <w:b/>
                <w:sz w:val="22"/>
              </w:rPr>
              <w:t xml:space="preserve"> djelatnosti u BDV-u prerađivačke industrije (%)</w:t>
            </w:r>
          </w:p>
        </w:tc>
        <w:tc>
          <w:tcPr>
            <w:tcW w:w="885" w:type="pct"/>
            <w:shd w:val="clear" w:color="auto" w:fill="auto"/>
            <w:noWrap/>
            <w:vAlign w:val="center"/>
          </w:tcPr>
          <w:p w:rsidR="001B41B0" w:rsidRPr="004E6412" w:rsidRDefault="001B41B0" w:rsidP="001B41B0">
            <w:pPr>
              <w:jc w:val="right"/>
            </w:pPr>
            <w:r w:rsidRPr="004E6412">
              <w:rPr>
                <w:sz w:val="22"/>
              </w:rPr>
              <w:t>5,33</w:t>
            </w:r>
          </w:p>
        </w:tc>
        <w:tc>
          <w:tcPr>
            <w:tcW w:w="968" w:type="pct"/>
            <w:shd w:val="clear" w:color="auto" w:fill="auto"/>
            <w:noWrap/>
            <w:vAlign w:val="center"/>
          </w:tcPr>
          <w:p w:rsidR="001B41B0" w:rsidRPr="004E6412" w:rsidRDefault="001B41B0" w:rsidP="001B41B0">
            <w:pPr>
              <w:jc w:val="right"/>
            </w:pPr>
            <w:r w:rsidRPr="004E6412">
              <w:rPr>
                <w:sz w:val="22"/>
              </w:rPr>
              <w:t>4,62</w:t>
            </w:r>
          </w:p>
        </w:tc>
        <w:tc>
          <w:tcPr>
            <w:tcW w:w="1100" w:type="pct"/>
            <w:shd w:val="clear" w:color="auto" w:fill="auto"/>
            <w:noWrap/>
            <w:vAlign w:val="center"/>
          </w:tcPr>
          <w:p w:rsidR="001B41B0" w:rsidRPr="004E6412" w:rsidRDefault="001B41B0" w:rsidP="001B41B0">
            <w:pPr>
              <w:jc w:val="right"/>
            </w:pPr>
            <w:r w:rsidRPr="004E6412">
              <w:rPr>
                <w:sz w:val="22"/>
              </w:rPr>
              <w:t>4,59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vAlign w:val="center"/>
          </w:tcPr>
          <w:p w:rsidR="001B41B0" w:rsidRPr="004E6412" w:rsidRDefault="001B41B0" w:rsidP="001B41B0">
            <w:pPr>
              <w:jc w:val="right"/>
            </w:pPr>
            <w:r w:rsidRPr="004E6412">
              <w:rPr>
                <w:sz w:val="22"/>
              </w:rPr>
              <w:t>0,972</w:t>
            </w:r>
          </w:p>
        </w:tc>
        <w:tc>
          <w:tcPr>
            <w:tcW w:w="968" w:type="pct"/>
            <w:shd w:val="clear" w:color="auto" w:fill="auto"/>
            <w:noWrap/>
            <w:vAlign w:val="center"/>
          </w:tcPr>
          <w:p w:rsidR="001B41B0" w:rsidRPr="004E6412" w:rsidRDefault="001B41B0" w:rsidP="001B41B0">
            <w:pPr>
              <w:jc w:val="right"/>
            </w:pPr>
            <w:r w:rsidRPr="004E6412">
              <w:rPr>
                <w:sz w:val="22"/>
              </w:rPr>
              <w:t>0,988</w:t>
            </w:r>
          </w:p>
        </w:tc>
        <w:tc>
          <w:tcPr>
            <w:tcW w:w="1100" w:type="pct"/>
            <w:shd w:val="clear" w:color="auto" w:fill="auto"/>
            <w:noWrap/>
            <w:vAlign w:val="center"/>
          </w:tcPr>
          <w:p w:rsidR="001B41B0" w:rsidRPr="004E6412" w:rsidRDefault="001B41B0" w:rsidP="001B41B0">
            <w:pPr>
              <w:jc w:val="right"/>
            </w:pPr>
            <w:r w:rsidRPr="004E6412">
              <w:rPr>
                <w:sz w:val="22"/>
              </w:rPr>
              <w:t>0,999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325.475</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344.972</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348.587</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0,53</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0,55</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0,54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vAlign w:val="center"/>
          </w:tcPr>
          <w:p w:rsidR="001B41B0" w:rsidRPr="004E6412" w:rsidRDefault="001B41B0" w:rsidP="001B41B0">
            <w:pPr>
              <w:jc w:val="right"/>
            </w:pPr>
            <w:r w:rsidRPr="004E6412">
              <w:rPr>
                <w:sz w:val="22"/>
              </w:rPr>
              <w:t>0,40</w:t>
            </w:r>
          </w:p>
        </w:tc>
        <w:tc>
          <w:tcPr>
            <w:tcW w:w="968" w:type="pct"/>
            <w:shd w:val="clear" w:color="auto" w:fill="auto"/>
            <w:noWrap/>
            <w:vAlign w:val="center"/>
          </w:tcPr>
          <w:p w:rsidR="001B41B0" w:rsidRPr="004E6412" w:rsidRDefault="001B41B0" w:rsidP="001B41B0">
            <w:pPr>
              <w:jc w:val="right"/>
            </w:pPr>
            <w:r w:rsidRPr="004E6412">
              <w:rPr>
                <w:sz w:val="22"/>
              </w:rPr>
              <w:t>0,38</w:t>
            </w:r>
          </w:p>
        </w:tc>
        <w:tc>
          <w:tcPr>
            <w:tcW w:w="1100" w:type="pct"/>
            <w:shd w:val="clear" w:color="auto" w:fill="auto"/>
            <w:noWrap/>
            <w:vAlign w:val="center"/>
          </w:tcPr>
          <w:p w:rsidR="001B41B0" w:rsidRPr="004E6412" w:rsidRDefault="001B41B0" w:rsidP="001B41B0">
            <w:pPr>
              <w:jc w:val="right"/>
            </w:pPr>
            <w:r w:rsidRPr="004E6412">
              <w:rPr>
                <w:sz w:val="22"/>
              </w:rPr>
              <w:t>0,38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vAlign w:val="center"/>
          </w:tcPr>
          <w:p w:rsidR="001B41B0" w:rsidRPr="004E6412" w:rsidRDefault="001B41B0" w:rsidP="001B41B0">
            <w:pPr>
              <w:jc w:val="right"/>
            </w:pPr>
            <w:r w:rsidRPr="004E6412">
              <w:rPr>
                <w:sz w:val="22"/>
              </w:rPr>
              <w:t>0,57</w:t>
            </w:r>
          </w:p>
        </w:tc>
        <w:tc>
          <w:tcPr>
            <w:tcW w:w="968" w:type="pct"/>
            <w:shd w:val="clear" w:color="auto" w:fill="auto"/>
            <w:noWrap/>
            <w:vAlign w:val="center"/>
          </w:tcPr>
          <w:p w:rsidR="001B41B0" w:rsidRPr="004E6412" w:rsidRDefault="001B41B0" w:rsidP="001B41B0">
            <w:pPr>
              <w:jc w:val="right"/>
            </w:pPr>
            <w:r w:rsidRPr="004E6412">
              <w:rPr>
                <w:sz w:val="22"/>
              </w:rPr>
              <w:t>0,60</w:t>
            </w:r>
          </w:p>
        </w:tc>
        <w:tc>
          <w:tcPr>
            <w:tcW w:w="1100" w:type="pct"/>
            <w:shd w:val="clear" w:color="auto" w:fill="auto"/>
            <w:noWrap/>
            <w:vAlign w:val="center"/>
          </w:tcPr>
          <w:p w:rsidR="001B41B0" w:rsidRPr="004E6412" w:rsidRDefault="001B41B0" w:rsidP="001B41B0">
            <w:pPr>
              <w:jc w:val="right"/>
            </w:pPr>
            <w:r w:rsidRPr="004E6412">
              <w:rPr>
                <w:sz w:val="22"/>
              </w:rPr>
              <w:t>0,62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386" w:name="_Toc372088138"/>
      <w:bookmarkStart w:id="387" w:name="_Toc377551073"/>
      <w:bookmarkStart w:id="388" w:name="_Toc377635262"/>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61</w:t>
      </w:r>
      <w:r w:rsidRPr="007D0CFD">
        <w:rPr>
          <w:rStyle w:val="IntenseEmphasis"/>
          <w:b/>
          <w:bCs w:val="0"/>
          <w:iCs w:val="0"/>
          <w:color w:val="548DD4" w:themeColor="text2" w:themeTint="99"/>
          <w:sz w:val="20"/>
        </w:rPr>
        <w:t>. Kvalitativni pokazatelji (C11)</w:t>
      </w:r>
      <w:bookmarkEnd w:id="386"/>
      <w:bookmarkEnd w:id="387"/>
      <w:bookmarkEnd w:id="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051A81" w:rsidRPr="004E6412">
              <w:rPr>
                <w:b/>
                <w:sz w:val="22"/>
              </w:rPr>
              <w:t>i kvaliteta proizvodnih čimbenika</w:t>
            </w:r>
          </w:p>
        </w:tc>
        <w:tc>
          <w:tcPr>
            <w:tcW w:w="3110" w:type="pct"/>
            <w:shd w:val="clear" w:color="auto" w:fill="auto"/>
          </w:tcPr>
          <w:p w:rsidR="001B41B0" w:rsidRPr="004E6412" w:rsidRDefault="001B41B0" w:rsidP="0097195F">
            <w:pPr>
              <w:spacing w:line="240" w:lineRule="auto"/>
              <w:rPr>
                <w:sz w:val="22"/>
              </w:rPr>
            </w:pPr>
            <w:r w:rsidRPr="004E6412">
              <w:rPr>
                <w:sz w:val="22"/>
              </w:rPr>
              <w:t>Ograničen pris</w:t>
            </w:r>
            <w:r w:rsidR="00051A81" w:rsidRPr="004E6412">
              <w:rPr>
                <w:sz w:val="22"/>
              </w:rPr>
              <w:t>tup kapitalu. Dostupna prikladna</w:t>
            </w:r>
            <w:r w:rsidRPr="004E6412">
              <w:rPr>
                <w:sz w:val="22"/>
              </w:rPr>
              <w:t xml:space="preserve"> radna snaga. Djelatnost zapošljava uglavnom radnike SSS obrazovne strukture.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051A81" w:rsidP="0097195F">
            <w:pPr>
              <w:spacing w:line="240" w:lineRule="auto"/>
              <w:rPr>
                <w:sz w:val="22"/>
              </w:rPr>
            </w:pPr>
            <w:r w:rsidRPr="004E6412">
              <w:rPr>
                <w:sz w:val="22"/>
              </w:rPr>
              <w:t>Proizvodi namijenjeni krajnjoj</w:t>
            </w:r>
            <w:r w:rsidR="001B41B0" w:rsidRPr="004E6412">
              <w:rPr>
                <w:sz w:val="22"/>
              </w:rPr>
              <w:t xml:space="preserve"> potrošnji. Potrošači sve više traže proizvode </w:t>
            </w:r>
            <w:r w:rsidRPr="004E6412">
              <w:rPr>
                <w:sz w:val="22"/>
              </w:rPr>
              <w:t xml:space="preserve">od </w:t>
            </w:r>
            <w:r w:rsidR="001B41B0" w:rsidRPr="004E6412">
              <w:rPr>
                <w:sz w:val="22"/>
              </w:rPr>
              <w:t>prirodnih sastojaka u segmentu bezalkoholnih pića.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Relativno slaba tehnološka opremljenost i zastarjela tehnologija.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Ulaganja u istraživanje i razvoj, ali na nedovoljnoj razini.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051A81" w:rsidP="0097195F">
            <w:pPr>
              <w:spacing w:line="240" w:lineRule="auto"/>
              <w:rPr>
                <w:sz w:val="22"/>
              </w:rPr>
            </w:pPr>
            <w:r w:rsidRPr="004E6412">
              <w:rPr>
                <w:sz w:val="22"/>
              </w:rPr>
              <w:t xml:space="preserve">Posebni propisi vezani uz djelatnost (osobito </w:t>
            </w:r>
            <w:r w:rsidR="001B41B0" w:rsidRPr="004E6412">
              <w:rPr>
                <w:sz w:val="22"/>
              </w:rPr>
              <w:t xml:space="preserve">uz alkoholna pića).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Visoka koncentracija uvoza, izvoza, ukupnih prihoda, aktive i zaposlenosti </w:t>
            </w:r>
            <w:r w:rsidR="00051A81" w:rsidRPr="004E6412">
              <w:rPr>
                <w:sz w:val="22"/>
              </w:rPr>
              <w:t xml:space="preserve">u okviru </w:t>
            </w:r>
            <w:r w:rsidRPr="004E6412">
              <w:rPr>
                <w:sz w:val="22"/>
              </w:rPr>
              <w:t>djelatnosti. 6 poduzeća ostvaruje 75% ukupnog uvoza, 6 poduzeća ostvaruje oko 81% ukupnog izvoza, te 8 od 300 poduzeća ostvaruje oko 78% ukupnih prihoda djelatnosti. 22 poduzeća čine 79% ukupne aktive. 27 poduzeć</w:t>
            </w:r>
            <w:r w:rsidR="00051A81" w:rsidRPr="004E6412">
              <w:rPr>
                <w:sz w:val="22"/>
              </w:rPr>
              <w:t>a zapošljava</w:t>
            </w:r>
            <w:r w:rsidRPr="004E6412">
              <w:rPr>
                <w:sz w:val="22"/>
              </w:rPr>
              <w:t xml:space="preserve"> gotovo 80% zaposlenih.</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Udio izvoza u ukupnom prihodu je oko 12%. Pok</w:t>
            </w:r>
            <w:r w:rsidR="00051A81" w:rsidRPr="004E6412">
              <w:rPr>
                <w:sz w:val="22"/>
              </w:rPr>
              <w:t>azatelj relativnih usporednih</w:t>
            </w:r>
            <w:r w:rsidRPr="004E6412">
              <w:rPr>
                <w:sz w:val="22"/>
              </w:rPr>
              <w:t xml:space="preserve"> prednosti je vrlo nizak. Visoka koncentracija izvoza.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Postoji potencijal rasta i razvoja te zapošljavanja.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89" w:name="_Toc366152979"/>
      <w:bookmarkStart w:id="390" w:name="_Toc366154264"/>
      <w:bookmarkStart w:id="391" w:name="_Toc366154384"/>
      <w:bookmarkStart w:id="392" w:name="_Toc366409927"/>
      <w:bookmarkStart w:id="393" w:name="_Toc372087982"/>
      <w:bookmarkStart w:id="394" w:name="_Toc378069043"/>
      <w:r w:rsidRPr="004E6412">
        <w:lastRenderedPageBreak/>
        <w:t>C13 Proizvodnja tekstila</w:t>
      </w:r>
      <w:bookmarkEnd w:id="380"/>
      <w:bookmarkEnd w:id="389"/>
      <w:bookmarkEnd w:id="390"/>
      <w:bookmarkEnd w:id="391"/>
      <w:bookmarkEnd w:id="392"/>
      <w:bookmarkEnd w:id="393"/>
      <w:bookmarkEnd w:id="394"/>
    </w:p>
    <w:p w:rsidR="001B41B0" w:rsidRPr="004E6412" w:rsidRDefault="001B41B0" w:rsidP="001B41B0"/>
    <w:p w:rsidR="001B41B0" w:rsidRPr="004E6412" w:rsidRDefault="001B41B0" w:rsidP="001B41B0">
      <w:pPr>
        <w:rPr>
          <w:sz w:val="22"/>
        </w:rPr>
      </w:pPr>
      <w:r w:rsidRPr="004E6412">
        <w:rPr>
          <w:sz w:val="22"/>
        </w:rPr>
        <w:t>Proizvodnja tekstila (C13) obuhvaća poddjelatnosti pripreme i predenja tekstilnih vlakana (C13.1), tkanje tekstila (C13.2), dovršavanje tekstila (C13.3) i  proizvodnju ostalog tekstila (C13.9).</w:t>
      </w:r>
    </w:p>
    <w:p w:rsidR="001B41B0" w:rsidRPr="004E6412" w:rsidRDefault="001B41B0" w:rsidP="001B41B0"/>
    <w:p w:rsidR="001B41B0" w:rsidRPr="004E6412" w:rsidRDefault="001B41B0" w:rsidP="00D001B9">
      <w:pPr>
        <w:pStyle w:val="Heading3"/>
      </w:pPr>
      <w:bookmarkStart w:id="395" w:name="_Toc365992527"/>
      <w:bookmarkStart w:id="396" w:name="_Toc366154265"/>
      <w:bookmarkStart w:id="397" w:name="_Toc366154385"/>
      <w:bookmarkStart w:id="398" w:name="_Toc366409928"/>
      <w:bookmarkStart w:id="399" w:name="_Toc372087983"/>
      <w:bookmarkStart w:id="400" w:name="_Toc378069044"/>
      <w:r w:rsidRPr="004E6412">
        <w:t>Globalni trendovi razvoja</w:t>
      </w:r>
      <w:bookmarkEnd w:id="395"/>
      <w:bookmarkEnd w:id="396"/>
      <w:bookmarkEnd w:id="397"/>
      <w:bookmarkEnd w:id="398"/>
      <w:bookmarkEnd w:id="399"/>
      <w:bookmarkEnd w:id="400"/>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jedna je od najstarijih i najvećih svjetsk</w:t>
      </w:r>
      <w:r w:rsidR="00051A81" w:rsidRPr="004E6412">
        <w:rPr>
          <w:rFonts w:ascii="Times New Roman" w:hAnsi="Times New Roman"/>
        </w:rPr>
        <w:t>ih industrijskih djelatnosti te</w:t>
      </w:r>
      <w:r w:rsidRPr="004E6412">
        <w:rPr>
          <w:rFonts w:ascii="Times New Roman" w:hAnsi="Times New Roman"/>
        </w:rPr>
        <w:t xml:space="preserve"> ima važnu ulogu u ukupnoj svjetskoj proizvodnji, potencijalu zapošljavanja i trgovini u mnogim zemljama u razvoju. Niska kapita</w:t>
      </w:r>
      <w:r w:rsidR="00051A81" w:rsidRPr="004E6412">
        <w:rPr>
          <w:rFonts w:ascii="Times New Roman" w:hAnsi="Times New Roman"/>
        </w:rPr>
        <w:t>lna intenzivnost</w:t>
      </w:r>
      <w:r w:rsidR="008B3D19" w:rsidRPr="004E6412">
        <w:rPr>
          <w:rFonts w:ascii="Times New Roman" w:hAnsi="Times New Roman"/>
        </w:rPr>
        <w:t xml:space="preserve"> temeljno je</w:t>
      </w:r>
      <w:r w:rsidRPr="004E6412">
        <w:rPr>
          <w:rFonts w:ascii="Times New Roman" w:hAnsi="Times New Roman"/>
        </w:rPr>
        <w:t xml:space="preserve"> obilježj</w:t>
      </w:r>
      <w:r w:rsidR="008B3D19" w:rsidRPr="004E6412">
        <w:rPr>
          <w:rFonts w:ascii="Times New Roman" w:hAnsi="Times New Roman"/>
        </w:rPr>
        <w:t>e</w:t>
      </w:r>
      <w:r w:rsidRPr="004E6412">
        <w:rPr>
          <w:rFonts w:ascii="Times New Roman" w:hAnsi="Times New Roman"/>
        </w:rPr>
        <w:t xml:space="preserve"> djelatnosti proizvodnje tekstila i odjeće koja upućuju na činjenicu da se ova industrija teže prilagođava novim globalnim trendovima.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 xml:space="preserve">Na globalnoj razini proizvodnja tekstila doživjela je velike promjene u smjeru i obujmu tijekom 1990-ih </w:t>
      </w:r>
      <w:r w:rsidR="00051A81" w:rsidRPr="004E6412">
        <w:rPr>
          <w:rFonts w:ascii="Times New Roman" w:hAnsi="Times New Roman"/>
        </w:rPr>
        <w:t>godina kada su mnoge tvrtke</w:t>
      </w:r>
      <w:r w:rsidRPr="004E6412">
        <w:rPr>
          <w:rFonts w:ascii="Times New Roman" w:hAnsi="Times New Roman"/>
        </w:rPr>
        <w:t xml:space="preserve"> premjestile dijelove proizvodnje u podr</w:t>
      </w:r>
      <w:r w:rsidR="00051A81" w:rsidRPr="004E6412">
        <w:rPr>
          <w:rFonts w:ascii="Times New Roman" w:hAnsi="Times New Roman"/>
        </w:rPr>
        <w:t>učja s nižim troškovima u cilju</w:t>
      </w:r>
      <w:r w:rsidRPr="004E6412">
        <w:rPr>
          <w:rFonts w:ascii="Times New Roman" w:hAnsi="Times New Roman"/>
        </w:rPr>
        <w:t xml:space="preserve"> održavanja konkurentnosti. Proizvođači tekstila su uz premještanje proizvodnje u zemlje u razvoju (najčešće azijske zemlje) počeli i s </w:t>
      </w:r>
      <w:r w:rsidRPr="004E6412">
        <w:rPr>
          <w:rFonts w:ascii="Times New Roman" w:hAnsi="Times New Roman"/>
          <w:i/>
        </w:rPr>
        <w:t>outsourcingom</w:t>
      </w:r>
      <w:r w:rsidRPr="004E6412">
        <w:rPr>
          <w:rFonts w:ascii="Times New Roman" w:hAnsi="Times New Roman"/>
        </w:rPr>
        <w:t xml:space="preserve"> određenih dijelova proizvodnje. Međutim, </w:t>
      </w:r>
      <w:r w:rsidRPr="004E6412">
        <w:rPr>
          <w:rFonts w:ascii="Times New Roman" w:hAnsi="Times New Roman"/>
          <w:i/>
        </w:rPr>
        <w:t>outsourcing</w:t>
      </w:r>
      <w:r w:rsidRPr="004E6412">
        <w:rPr>
          <w:rFonts w:ascii="Times New Roman" w:hAnsi="Times New Roman"/>
        </w:rPr>
        <w:t xml:space="preserve"> se nije vršio u zemlje Azije</w:t>
      </w:r>
      <w:r w:rsidR="00051A81" w:rsidRPr="004E6412">
        <w:rPr>
          <w:rFonts w:ascii="Times New Roman" w:hAnsi="Times New Roman"/>
        </w:rPr>
        <w:t>,</w:t>
      </w:r>
      <w:r w:rsidRPr="004E6412">
        <w:rPr>
          <w:rFonts w:ascii="Times New Roman" w:hAnsi="Times New Roman"/>
        </w:rPr>
        <w:t xml:space="preserve"> već najčešće u susjedne zemlje s kojima je sklopljen određen</w:t>
      </w:r>
      <w:r w:rsidR="00051A81" w:rsidRPr="004E6412">
        <w:rPr>
          <w:rFonts w:ascii="Times New Roman" w:hAnsi="Times New Roman"/>
        </w:rPr>
        <w:t>i</w:t>
      </w:r>
      <w:r w:rsidRPr="004E6412">
        <w:rPr>
          <w:rFonts w:ascii="Times New Roman" w:hAnsi="Times New Roman"/>
        </w:rPr>
        <w:t xml:space="preserve"> trgovinski sporazum kojim je omogućen povoljan uvoz i izvoz. Azija, SAD i europske zemlje najveći su svjetski potroša</w:t>
      </w:r>
      <w:r w:rsidR="00051A81" w:rsidRPr="004E6412">
        <w:rPr>
          <w:rFonts w:ascii="Times New Roman" w:hAnsi="Times New Roman"/>
        </w:rPr>
        <w:t>či tekstila. No</w:t>
      </w:r>
      <w:r w:rsidRPr="004E6412">
        <w:rPr>
          <w:rFonts w:ascii="Times New Roman" w:hAnsi="Times New Roman"/>
        </w:rPr>
        <w:t xml:space="preserve">, veći se dio ovih proizvoda u navedenim zemljama uvozi.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pogodna je za uključivanje u globalne lance vrijednosti jer se većina proizvoda može izvoziti</w:t>
      </w:r>
      <w:r w:rsidR="00051A81" w:rsidRPr="004E6412">
        <w:rPr>
          <w:rFonts w:ascii="Times New Roman" w:hAnsi="Times New Roman"/>
        </w:rPr>
        <w:t xml:space="preserve"> u bilo kojoj fazi lanca, što je</w:t>
      </w:r>
      <w:r w:rsidRPr="004E6412">
        <w:rPr>
          <w:rFonts w:ascii="Times New Roman" w:hAnsi="Times New Roman"/>
        </w:rPr>
        <w:t xml:space="preserve"> čini trgovinski intenzivnom i osjetljivom na promjene u trgovinskim režimima. Tekstilna poduzeća u razvijenim zemljama, za razliku od zemalja u razvoju, uglavnom proizvode kućne i industrijske tekstilne proizvode, koji su tehnološki napredniji i manje podložni dizajnerskim promjenama te imaju veću dodanu vrijednost proizvodnje.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Na makro razini više je načina na koje proizvodnja tekstila može utjecati na gospodarstvo mnogih zemalja u razvoju: proizvodnja tekstila glavni je izvor dohotka u mnogim ze</w:t>
      </w:r>
      <w:r w:rsidR="005D1C3B" w:rsidRPr="004E6412">
        <w:rPr>
          <w:rFonts w:ascii="Times New Roman" w:hAnsi="Times New Roman"/>
        </w:rPr>
        <w:t xml:space="preserve">mljama; proizvodnja tekstila </w:t>
      </w:r>
      <w:r w:rsidRPr="004E6412">
        <w:rPr>
          <w:rFonts w:ascii="Times New Roman" w:hAnsi="Times New Roman"/>
        </w:rPr>
        <w:t xml:space="preserve">najveća </w:t>
      </w:r>
      <w:r w:rsidR="005D1C3B" w:rsidRPr="004E6412">
        <w:rPr>
          <w:rFonts w:ascii="Times New Roman" w:hAnsi="Times New Roman"/>
        </w:rPr>
        <w:t xml:space="preserve">je </w:t>
      </w:r>
      <w:r w:rsidRPr="004E6412">
        <w:rPr>
          <w:rFonts w:ascii="Times New Roman" w:hAnsi="Times New Roman"/>
        </w:rPr>
        <w:t>izvozna industrija u mnogim zemljama; proizvodnja tekstila izvor je radnih mjesta; proizvodnja tekstila omogućuje uključivanje u globalne proizvodne la</w:t>
      </w:r>
      <w:r w:rsidR="005D1C3B" w:rsidRPr="004E6412">
        <w:rPr>
          <w:rFonts w:ascii="Times New Roman" w:hAnsi="Times New Roman"/>
        </w:rPr>
        <w:t>nce; aglomeracijski učinc</w:t>
      </w:r>
      <w:r w:rsidRPr="004E6412">
        <w:rPr>
          <w:rFonts w:ascii="Times New Roman" w:hAnsi="Times New Roman"/>
        </w:rPr>
        <w:t>i; razvoj industrijske djelatnosti tekstila može voditi smanjivanju siromaštva u zemljama u razvoju i siromašnim zemljama svijeta.</w:t>
      </w:r>
    </w:p>
    <w:p w:rsidR="001B41B0" w:rsidRPr="004E6412" w:rsidRDefault="001B41B0" w:rsidP="001B41B0">
      <w:pPr>
        <w:rPr>
          <w:sz w:val="22"/>
        </w:rPr>
      </w:pPr>
    </w:p>
    <w:p w:rsidR="001B41B0" w:rsidRPr="004E6412" w:rsidRDefault="005D1C3B" w:rsidP="001B41B0">
      <w:pPr>
        <w:pStyle w:val="ListParagraph"/>
        <w:numPr>
          <w:ilvl w:val="0"/>
          <w:numId w:val="9"/>
        </w:numPr>
        <w:spacing w:after="0"/>
        <w:jc w:val="both"/>
        <w:rPr>
          <w:rFonts w:ascii="Times New Roman" w:hAnsi="Times New Roman"/>
        </w:rPr>
      </w:pPr>
      <w:r w:rsidRPr="004E6412">
        <w:rPr>
          <w:rFonts w:ascii="Times New Roman" w:hAnsi="Times New Roman"/>
        </w:rPr>
        <w:t>Integracija različitih faz</w:t>
      </w:r>
      <w:r w:rsidR="001B41B0" w:rsidRPr="004E6412">
        <w:rPr>
          <w:rFonts w:ascii="Times New Roman" w:hAnsi="Times New Roman"/>
        </w:rPr>
        <w:t>a proizvodnje može omogućiti brže prilagođavanje potrebama tržišta i smanjivanje onih aktivnosti koje ne pridonose stvaranju dodane vrijednosti. Primjena informacijske i komunikacijske tehnologije omogućuje poboljšanje mogućnosti nabave i stvaranje vi</w:t>
      </w:r>
      <w:r w:rsidR="007757D7" w:rsidRPr="004E6412">
        <w:rPr>
          <w:rFonts w:ascii="Times New Roman" w:hAnsi="Times New Roman"/>
        </w:rPr>
        <w:t>rtualne baze za razmjenu putem I</w:t>
      </w:r>
      <w:r w:rsidR="001B41B0" w:rsidRPr="004E6412">
        <w:rPr>
          <w:rFonts w:ascii="Times New Roman" w:hAnsi="Times New Roman"/>
        </w:rPr>
        <w:t>nterneta. Očekuje se i odmak od tradicionalnog načina kupovanja odjeće u trgovinama te razvijanje novih</w:t>
      </w:r>
      <w:r w:rsidRPr="004E6412">
        <w:rPr>
          <w:rFonts w:ascii="Times New Roman" w:hAnsi="Times New Roman"/>
        </w:rPr>
        <w:t xml:space="preserve"> načina kupovanja koji omogućuju</w:t>
      </w:r>
      <w:r w:rsidR="001B41B0" w:rsidRPr="004E6412">
        <w:rPr>
          <w:rFonts w:ascii="Times New Roman" w:hAnsi="Times New Roman"/>
        </w:rPr>
        <w:t xml:space="preserve"> interaktivnu kupovinu od kuće.</w:t>
      </w:r>
    </w:p>
    <w:p w:rsidR="001B41B0" w:rsidRPr="004E6412" w:rsidRDefault="001B41B0" w:rsidP="001B41B0"/>
    <w:p w:rsidR="001B41B0" w:rsidRPr="004E6412" w:rsidRDefault="001B41B0" w:rsidP="00D001B9">
      <w:pPr>
        <w:pStyle w:val="Heading3"/>
      </w:pPr>
      <w:bookmarkStart w:id="401" w:name="_Toc365992528"/>
      <w:bookmarkStart w:id="402" w:name="_Toc366154266"/>
      <w:bookmarkStart w:id="403" w:name="_Toc366154386"/>
      <w:bookmarkStart w:id="404" w:name="_Toc366409929"/>
      <w:bookmarkStart w:id="405" w:name="_Toc372087984"/>
      <w:bookmarkStart w:id="406" w:name="_Toc378069045"/>
      <w:r w:rsidRPr="004E6412">
        <w:t>Trendovi razvoja u Europskoj uniji</w:t>
      </w:r>
      <w:bookmarkEnd w:id="401"/>
      <w:bookmarkEnd w:id="402"/>
      <w:bookmarkEnd w:id="403"/>
      <w:bookmarkEnd w:id="404"/>
      <w:bookmarkEnd w:id="405"/>
      <w:bookmarkEnd w:id="406"/>
    </w:p>
    <w:p w:rsidR="001B41B0" w:rsidRPr="004E6412" w:rsidRDefault="001B41B0" w:rsidP="001B41B0">
      <w:pPr>
        <w:pStyle w:val="ListParagraph"/>
        <w:numPr>
          <w:ilvl w:val="0"/>
          <w:numId w:val="11"/>
        </w:numPr>
        <w:spacing w:after="0"/>
        <w:ind w:left="714" w:hanging="357"/>
        <w:jc w:val="both"/>
        <w:rPr>
          <w:rFonts w:ascii="Times New Roman" w:hAnsi="Times New Roman"/>
          <w:vertAlign w:val="superscript"/>
        </w:rPr>
      </w:pPr>
      <w:r w:rsidRPr="004E6412">
        <w:rPr>
          <w:rFonts w:ascii="Times New Roman" w:hAnsi="Times New Roman"/>
        </w:rPr>
        <w:t xml:space="preserve">Promjene u globalnom okruženju pružaju europskim poduzećima prilike </w:t>
      </w:r>
      <w:r w:rsidR="005D1C3B" w:rsidRPr="004E6412">
        <w:rPr>
          <w:rFonts w:ascii="Times New Roman" w:hAnsi="Times New Roman"/>
        </w:rPr>
        <w:t>za osvajanje</w:t>
      </w:r>
      <w:r w:rsidRPr="004E6412">
        <w:rPr>
          <w:rFonts w:ascii="Times New Roman" w:hAnsi="Times New Roman"/>
        </w:rPr>
        <w:t xml:space="preserve"> novih tržišta, smanjivanje troško</w:t>
      </w:r>
      <w:r w:rsidR="005D1C3B" w:rsidRPr="004E6412">
        <w:rPr>
          <w:rFonts w:ascii="Times New Roman" w:hAnsi="Times New Roman"/>
        </w:rPr>
        <w:t>va i usvajanje novih znanja. S</w:t>
      </w:r>
      <w:r w:rsidRPr="004E6412">
        <w:rPr>
          <w:rFonts w:ascii="Times New Roman" w:hAnsi="Times New Roman"/>
        </w:rPr>
        <w:t xml:space="preserve"> druge strane</w:t>
      </w:r>
      <w:r w:rsidR="005D1C3B" w:rsidRPr="004E6412">
        <w:rPr>
          <w:rFonts w:ascii="Times New Roman" w:hAnsi="Times New Roman"/>
        </w:rPr>
        <w:t>,</w:t>
      </w:r>
      <w:r w:rsidRPr="004E6412">
        <w:rPr>
          <w:rFonts w:ascii="Times New Roman" w:hAnsi="Times New Roman"/>
        </w:rPr>
        <w:t xml:space="preserve"> izvor su povećane konkurencije. Europska proizvodnja tekstila obilježena je visokim stupnjem </w:t>
      </w:r>
      <w:r w:rsidRPr="004E6412">
        <w:rPr>
          <w:rFonts w:ascii="Times New Roman" w:hAnsi="Times New Roman"/>
          <w:i/>
        </w:rPr>
        <w:t>outsourcinga</w:t>
      </w:r>
      <w:r w:rsidRPr="004E6412">
        <w:rPr>
          <w:rFonts w:ascii="Times New Roman" w:hAnsi="Times New Roman"/>
        </w:rPr>
        <w:t xml:space="preserve"> i </w:t>
      </w:r>
      <w:r w:rsidRPr="004E6412">
        <w:rPr>
          <w:rFonts w:ascii="Times New Roman" w:hAnsi="Times New Roman"/>
        </w:rPr>
        <w:lastRenderedPageBreak/>
        <w:t>jačanjem konkurencije iz zemalja s nižim troškovima rada, zbog nje</w:t>
      </w:r>
      <w:r w:rsidR="005D1C3B" w:rsidRPr="004E6412">
        <w:rPr>
          <w:rFonts w:ascii="Times New Roman" w:hAnsi="Times New Roman"/>
        </w:rPr>
        <w:t>zi</w:t>
      </w:r>
      <w:r w:rsidRPr="004E6412">
        <w:rPr>
          <w:rFonts w:ascii="Times New Roman" w:hAnsi="Times New Roman"/>
        </w:rPr>
        <w:t>ne radne intenzivnosti, visokog udjela zapošljavanja slabo obrazovane radne snage i relativno niskih troškova ulaganja. Jednako kao i na globalnoj razini, tako je i na razini EU</w:t>
      </w:r>
      <w:r w:rsidR="005D1C3B" w:rsidRPr="004E6412">
        <w:rPr>
          <w:rFonts w:ascii="Times New Roman" w:hAnsi="Times New Roman"/>
        </w:rPr>
        <w:t>-a</w:t>
      </w:r>
      <w:r w:rsidRPr="004E6412">
        <w:rPr>
          <w:rFonts w:ascii="Times New Roman" w:hAnsi="Times New Roman"/>
        </w:rPr>
        <w:t xml:space="preserve"> donošenje Sporazuma o tekstilu i odjeći imalo utjecaja na razmjenu. Otvaranje europskih tržišta za uvoz te ukidanje prepreka trgovini, zajedno s trendovima globalizacije i liberalizacije</w:t>
      </w:r>
      <w:r w:rsidR="005D1C3B" w:rsidRPr="004E6412">
        <w:rPr>
          <w:rFonts w:ascii="Times New Roman" w:hAnsi="Times New Roman"/>
        </w:rPr>
        <w:t>,</w:t>
      </w:r>
      <w:r w:rsidRPr="004E6412">
        <w:rPr>
          <w:rFonts w:ascii="Times New Roman" w:hAnsi="Times New Roman"/>
        </w:rPr>
        <w:t xml:space="preserve"> još je više izložilo europske proizvođače konkurenciji zemalja s nižim troškovima.</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Potražnja za t</w:t>
      </w:r>
      <w:r w:rsidR="005D1C3B" w:rsidRPr="004E6412">
        <w:rPr>
          <w:rFonts w:ascii="Times New Roman" w:hAnsi="Times New Roman"/>
        </w:rPr>
        <w:t>ekstilom stabilna je i raste</w:t>
      </w:r>
      <w:r w:rsidRPr="004E6412">
        <w:rPr>
          <w:rFonts w:ascii="Times New Roman" w:hAnsi="Times New Roman"/>
        </w:rPr>
        <w:t xml:space="preserve"> u posljednjem desetljeću. Proizvodnju tekstila u E</w:t>
      </w:r>
      <w:r w:rsidR="005D1C3B" w:rsidRPr="004E6412">
        <w:rPr>
          <w:rFonts w:ascii="Times New Roman" w:hAnsi="Times New Roman"/>
        </w:rPr>
        <w:t>uropi obilježava rascjepkanost</w:t>
      </w:r>
      <w:r w:rsidRPr="004E6412">
        <w:rPr>
          <w:rFonts w:ascii="Times New Roman" w:hAnsi="Times New Roman"/>
        </w:rPr>
        <w:t xml:space="preserve"> te kao takva nije konkurentna na velikim tržištima, odnosno tržištima na kojima se potražuju velike količine proizvoda. U posljednjim je godinama osobito ojačao trend koncentracije poduzeća u europskoj proizvodnji tekstila kao posljedica racionalizacije poslovanja i velikog </w:t>
      </w:r>
      <w:r w:rsidR="005D1C3B" w:rsidRPr="004E6412">
        <w:rPr>
          <w:rFonts w:ascii="Times New Roman" w:hAnsi="Times New Roman"/>
        </w:rPr>
        <w:t>po</w:t>
      </w:r>
      <w:r w:rsidRPr="004E6412">
        <w:rPr>
          <w:rFonts w:ascii="Times New Roman" w:hAnsi="Times New Roman"/>
        </w:rPr>
        <w:t>rasta broja pripajanja i preuzimanja.</w:t>
      </w:r>
    </w:p>
    <w:p w:rsidR="001B41B0" w:rsidRPr="004E6412" w:rsidRDefault="001B41B0" w:rsidP="001B41B0">
      <w:pPr>
        <w:pStyle w:val="ListParagraph"/>
        <w:rPr>
          <w:rFonts w:ascii="Times New Roman" w:hAnsi="Times New Roman"/>
        </w:rPr>
      </w:pPr>
    </w:p>
    <w:p w:rsidR="001B41B0" w:rsidRPr="004E6412" w:rsidRDefault="005D1C3B" w:rsidP="001B41B0">
      <w:pPr>
        <w:pStyle w:val="ListParagraph"/>
        <w:numPr>
          <w:ilvl w:val="0"/>
          <w:numId w:val="10"/>
        </w:numPr>
        <w:spacing w:after="0"/>
        <w:jc w:val="both"/>
        <w:rPr>
          <w:rFonts w:ascii="Times New Roman" w:hAnsi="Times New Roman"/>
        </w:rPr>
      </w:pPr>
      <w:r w:rsidRPr="004E6412">
        <w:rPr>
          <w:rFonts w:ascii="Times New Roman" w:hAnsi="Times New Roman"/>
        </w:rPr>
        <w:t>S</w:t>
      </w:r>
      <w:r w:rsidR="001B41B0" w:rsidRPr="004E6412">
        <w:rPr>
          <w:rFonts w:ascii="Times New Roman" w:hAnsi="Times New Roman"/>
        </w:rPr>
        <w:t>vim zemljama EU</w:t>
      </w:r>
      <w:r w:rsidRPr="004E6412">
        <w:rPr>
          <w:rFonts w:ascii="Times New Roman" w:hAnsi="Times New Roman"/>
        </w:rPr>
        <w:t>-a koje proizvode tekstil zajedničko je</w:t>
      </w:r>
      <w:r w:rsidR="001B41B0" w:rsidRPr="004E6412">
        <w:rPr>
          <w:rFonts w:ascii="Times New Roman" w:hAnsi="Times New Roman"/>
        </w:rPr>
        <w:t xml:space="preserve"> smanjenje broja zaposlenih uz povećanje produktivnosti rada, a poduzeća koja su opstala iskorištavaju svoje tržišne niše u kojima brzo obrtanje, kvaliteta i mala serijska proizvodnja osiguravaju konkurentsku prednost.</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Predviđaju se tri moguća scenarija razvoja europske industrijske djelatnosti proizvodnje tekstila do 2020.: (1) „Ograničenje globali</w:t>
      </w:r>
      <w:r w:rsidR="005D1C3B" w:rsidRPr="004E6412">
        <w:rPr>
          <w:rFonts w:ascii="Times New Roman" w:hAnsi="Times New Roman"/>
        </w:rPr>
        <w:t>zacije“ koje</w:t>
      </w:r>
      <w:r w:rsidRPr="004E6412">
        <w:rPr>
          <w:rFonts w:ascii="Times New Roman" w:hAnsi="Times New Roman"/>
        </w:rPr>
        <w:t xml:space="preserve"> uključuje razmatranje različitih posljedica klimatskih promjena, (2) „Azijska domin</w:t>
      </w:r>
      <w:r w:rsidR="005D1C3B" w:rsidRPr="004E6412">
        <w:rPr>
          <w:rFonts w:ascii="Times New Roman" w:hAnsi="Times New Roman"/>
        </w:rPr>
        <w:t>acija - europska izvrsnost“ koja</w:t>
      </w:r>
      <w:r w:rsidRPr="004E6412">
        <w:rPr>
          <w:rFonts w:ascii="Times New Roman" w:hAnsi="Times New Roman"/>
        </w:rPr>
        <w:t xml:space="preserve"> pretpostavlja jačanje sadašnjih trendova u budućnosti i (3) „Nap</w:t>
      </w:r>
      <w:r w:rsidR="005D1C3B" w:rsidRPr="004E6412">
        <w:rPr>
          <w:rFonts w:ascii="Times New Roman" w:hAnsi="Times New Roman"/>
        </w:rPr>
        <w:t xml:space="preserve">redne nove zemlje članice“, </w:t>
      </w:r>
      <w:r w:rsidRPr="004E6412">
        <w:rPr>
          <w:rFonts w:ascii="Times New Roman" w:hAnsi="Times New Roman"/>
        </w:rPr>
        <w:t xml:space="preserve">opisuje situaciju u kojoj će EU i zemlje članice s niskim troškovima obraniti industrijsku bazu u Europi. </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 xml:space="preserve">Budući razvoj proizvodnje tekstila određen je potrebama premještanja proizvodnje i </w:t>
      </w:r>
      <w:r w:rsidRPr="004E6412">
        <w:rPr>
          <w:rFonts w:ascii="Times New Roman" w:hAnsi="Times New Roman"/>
          <w:i/>
        </w:rPr>
        <w:t>outsourcinga</w:t>
      </w:r>
      <w:r w:rsidRPr="004E6412">
        <w:rPr>
          <w:rFonts w:ascii="Times New Roman" w:hAnsi="Times New Roman"/>
        </w:rPr>
        <w:t>, mogućnostima brzog odgovora na potrebe tržišta, osobito kada je riječ o modnim proizvodima, usmjerenost na aktivnosti s dodanom vrijednosti u kojima istraživanje i razvoj i dizajn predstavljaju ključne či</w:t>
      </w:r>
      <w:r w:rsidR="005D1C3B" w:rsidRPr="004E6412">
        <w:rPr>
          <w:rFonts w:ascii="Times New Roman" w:hAnsi="Times New Roman"/>
        </w:rPr>
        <w:t>mbenike. Razvoj ljudskih potencijala</w:t>
      </w:r>
      <w:r w:rsidRPr="004E6412">
        <w:rPr>
          <w:rFonts w:ascii="Times New Roman" w:hAnsi="Times New Roman"/>
        </w:rPr>
        <w:t xml:space="preserve"> također je važan. Budući razvoj proizvodnje tekstila uvjetovan je globalnom konkurencijom osobito od strane azijskih zemalja, stvaranjem baze znanja, osiguravanjem brzog opsluživanja tržišta (kratko vrijeme od proizvodnje do plasiranja proizvoda na tržište),</w:t>
      </w:r>
      <w:r w:rsidR="005D1C3B" w:rsidRPr="004E6412">
        <w:rPr>
          <w:rFonts w:ascii="Times New Roman" w:hAnsi="Times New Roman"/>
        </w:rPr>
        <w:t xml:space="preserve"> te</w:t>
      </w:r>
      <w:r w:rsidRPr="004E6412">
        <w:rPr>
          <w:rFonts w:ascii="Times New Roman" w:hAnsi="Times New Roman"/>
        </w:rPr>
        <w:t xml:space="preserve"> troškovima očuvanja okoliša.</w:t>
      </w:r>
    </w:p>
    <w:p w:rsidR="001B41B0" w:rsidRPr="004E6412" w:rsidRDefault="001B41B0" w:rsidP="001B41B0">
      <w:pPr>
        <w:rPr>
          <w:sz w:val="22"/>
        </w:rPr>
      </w:pPr>
    </w:p>
    <w:p w:rsidR="001B41B0" w:rsidRPr="004E6412" w:rsidRDefault="001B41B0" w:rsidP="00D001B9">
      <w:pPr>
        <w:pStyle w:val="Heading3"/>
      </w:pPr>
      <w:bookmarkStart w:id="407" w:name="_Toc365992529"/>
      <w:bookmarkStart w:id="408" w:name="_Toc366154267"/>
      <w:bookmarkStart w:id="409" w:name="_Toc366154387"/>
      <w:bookmarkStart w:id="410" w:name="_Toc366409930"/>
      <w:bookmarkStart w:id="411" w:name="_Toc372087985"/>
      <w:bookmarkStart w:id="412" w:name="_Toc378069046"/>
      <w:r w:rsidRPr="004E6412">
        <w:t>Stanje i perspektive razvoja u Republici Hrvatskoj</w:t>
      </w:r>
      <w:bookmarkEnd w:id="407"/>
      <w:bookmarkEnd w:id="408"/>
      <w:bookmarkEnd w:id="409"/>
      <w:bookmarkEnd w:id="410"/>
      <w:bookmarkEnd w:id="411"/>
      <w:bookmarkEnd w:id="412"/>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Proizvodnja tekst</w:t>
      </w:r>
      <w:r w:rsidR="005D1C3B" w:rsidRPr="004E6412">
        <w:rPr>
          <w:rFonts w:ascii="Times New Roman" w:hAnsi="Times New Roman"/>
        </w:rPr>
        <w:t xml:space="preserve">ila u Hrvatskoj </w:t>
      </w:r>
      <w:r w:rsidRPr="004E6412">
        <w:rPr>
          <w:rFonts w:ascii="Times New Roman" w:hAnsi="Times New Roman"/>
        </w:rPr>
        <w:t xml:space="preserve">pala </w:t>
      </w:r>
      <w:r w:rsidR="005D1C3B" w:rsidRPr="004E6412">
        <w:rPr>
          <w:rFonts w:ascii="Times New Roman" w:hAnsi="Times New Roman"/>
        </w:rPr>
        <w:t xml:space="preserve">je </w:t>
      </w:r>
      <w:r w:rsidRPr="004E6412">
        <w:rPr>
          <w:rFonts w:ascii="Times New Roman" w:hAnsi="Times New Roman"/>
        </w:rPr>
        <w:t>2011. u odnosu na 2010. za 11%, a 2012. za 18,7% u odnosu na 2010. Uspoređujući 2012. s 2011.</w:t>
      </w:r>
      <w:r w:rsidR="005D1C3B" w:rsidRPr="004E6412">
        <w:rPr>
          <w:rFonts w:ascii="Times New Roman" w:hAnsi="Times New Roman"/>
        </w:rPr>
        <w:t xml:space="preserve"> godinom</w:t>
      </w:r>
      <w:r w:rsidRPr="004E6412">
        <w:rPr>
          <w:rFonts w:ascii="Times New Roman" w:hAnsi="Times New Roman"/>
        </w:rPr>
        <w:t xml:space="preserve">, ostvaren je pad proizvodnje od 8,6% u 2012. </w:t>
      </w:r>
      <w:r w:rsidR="005D1C3B" w:rsidRPr="004E6412">
        <w:rPr>
          <w:rFonts w:ascii="Times New Roman" w:hAnsi="Times New Roman"/>
        </w:rPr>
        <w:t>U p</w:t>
      </w:r>
      <w:r w:rsidRPr="004E6412">
        <w:rPr>
          <w:rFonts w:ascii="Times New Roman" w:hAnsi="Times New Roman"/>
        </w:rPr>
        <w:t>rva četiri mjeseca 2013. ostvaren je rast od 4,4% u odno</w:t>
      </w:r>
      <w:r w:rsidR="005D1C3B" w:rsidRPr="004E6412">
        <w:rPr>
          <w:rFonts w:ascii="Times New Roman" w:hAnsi="Times New Roman"/>
        </w:rPr>
        <w:t>su na prva četiri mjeseca 2012.</w:t>
      </w:r>
      <w:r w:rsidRPr="004E6412">
        <w:rPr>
          <w:rFonts w:ascii="Times New Roman" w:hAnsi="Times New Roman"/>
        </w:rPr>
        <w:t xml:space="preserve"> Pro</w:t>
      </w:r>
      <w:r w:rsidR="005D1C3B" w:rsidRPr="004E6412">
        <w:rPr>
          <w:rFonts w:ascii="Times New Roman" w:hAnsi="Times New Roman"/>
        </w:rPr>
        <w:t xml:space="preserve">izvođačke cijene </w:t>
      </w:r>
      <w:r w:rsidRPr="004E6412">
        <w:rPr>
          <w:rFonts w:ascii="Times New Roman" w:hAnsi="Times New Roman"/>
        </w:rPr>
        <w:t xml:space="preserve">porasle </w:t>
      </w:r>
      <w:r w:rsidR="005D1C3B" w:rsidRPr="004E6412">
        <w:rPr>
          <w:rFonts w:ascii="Times New Roman" w:hAnsi="Times New Roman"/>
        </w:rPr>
        <w:t xml:space="preserve">su </w:t>
      </w:r>
      <w:r w:rsidRPr="004E6412">
        <w:rPr>
          <w:rFonts w:ascii="Times New Roman" w:hAnsi="Times New Roman"/>
        </w:rPr>
        <w:t xml:space="preserve">za 5,3% 2012. u odnosu na 2010., a u travnju 2013. za 7,2 % u odnosu na 2010.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Proizvodnja tekstila prema obračunu sati rada zapošljava ukupno 4.179, 3.643, odnosno 3.475 osoba u 2010., 2011. i  2012. Broj poduzeća u djelatnosti iznosio je 252 u 2011. te 241 u 2012.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Više od 76% kapital</w:t>
      </w:r>
      <w:r w:rsidR="005D1C3B" w:rsidRPr="004E6412">
        <w:rPr>
          <w:rFonts w:ascii="Times New Roman" w:hAnsi="Times New Roman"/>
        </w:rPr>
        <w:t>a ove djelatnosti domaćeg je porijekla, a</w:t>
      </w:r>
      <w:r w:rsidRPr="004E6412">
        <w:rPr>
          <w:rFonts w:ascii="Times New Roman" w:hAnsi="Times New Roman"/>
        </w:rPr>
        <w:t xml:space="preserve"> tek 20% inoze</w:t>
      </w:r>
      <w:r w:rsidR="005D1C3B" w:rsidRPr="004E6412">
        <w:rPr>
          <w:rFonts w:ascii="Times New Roman" w:hAnsi="Times New Roman"/>
        </w:rPr>
        <w:t xml:space="preserve">mnog. Ukupna aktiva (pasiva) </w:t>
      </w:r>
      <w:r w:rsidRPr="004E6412">
        <w:rPr>
          <w:rFonts w:ascii="Times New Roman" w:hAnsi="Times New Roman"/>
        </w:rPr>
        <w:t xml:space="preserve">znatno </w:t>
      </w:r>
      <w:r w:rsidR="005D1C3B" w:rsidRPr="004E6412">
        <w:rPr>
          <w:rFonts w:ascii="Times New Roman" w:hAnsi="Times New Roman"/>
        </w:rPr>
        <w:t xml:space="preserve">je </w:t>
      </w:r>
      <w:r w:rsidRPr="004E6412">
        <w:rPr>
          <w:rFonts w:ascii="Times New Roman" w:hAnsi="Times New Roman"/>
        </w:rPr>
        <w:t xml:space="preserve">smanjena </w:t>
      </w:r>
      <w:r w:rsidR="005D1C3B" w:rsidRPr="004E6412">
        <w:rPr>
          <w:rFonts w:ascii="Times New Roman" w:hAnsi="Times New Roman"/>
        </w:rPr>
        <w:t xml:space="preserve">u razdoblju </w:t>
      </w:r>
      <w:r w:rsidRPr="004E6412">
        <w:rPr>
          <w:rFonts w:ascii="Times New Roman" w:hAnsi="Times New Roman"/>
        </w:rPr>
        <w:t>2010.</w:t>
      </w:r>
      <w:r w:rsidR="005D1C3B" w:rsidRPr="004E6412">
        <w:rPr>
          <w:rFonts w:ascii="Times New Roman" w:hAnsi="Times New Roman"/>
        </w:rPr>
        <w:t xml:space="preserve"> – </w:t>
      </w:r>
      <w:r w:rsidRPr="004E6412">
        <w:rPr>
          <w:rFonts w:ascii="Times New Roman" w:hAnsi="Times New Roman"/>
        </w:rPr>
        <w:t>2011. i to za 26,5% te se trend smanjenja na</w:t>
      </w:r>
      <w:r w:rsidR="005D1C3B" w:rsidRPr="004E6412">
        <w:rPr>
          <w:rFonts w:ascii="Times New Roman" w:hAnsi="Times New Roman"/>
        </w:rPr>
        <w:t>stavio, iako u manjem iznosu, i u</w:t>
      </w:r>
      <w:r w:rsidRPr="004E6412">
        <w:rPr>
          <w:rFonts w:ascii="Times New Roman" w:hAnsi="Times New Roman"/>
        </w:rPr>
        <w:t xml:space="preserve"> 2012. </w:t>
      </w:r>
      <w:r w:rsidR="005D1C3B" w:rsidRPr="004E6412">
        <w:rPr>
          <w:rFonts w:ascii="Times New Roman" w:hAnsi="Times New Roman"/>
        </w:rPr>
        <w:t>U toj se godini t</w:t>
      </w:r>
      <w:r w:rsidRPr="004E6412">
        <w:rPr>
          <w:rFonts w:ascii="Times New Roman" w:hAnsi="Times New Roman"/>
        </w:rPr>
        <w:t>re</w:t>
      </w:r>
      <w:r w:rsidR="005D1C3B" w:rsidRPr="004E6412">
        <w:rPr>
          <w:rFonts w:ascii="Times New Roman" w:hAnsi="Times New Roman"/>
        </w:rPr>
        <w:t>nd usporio</w:t>
      </w:r>
      <w:r w:rsidRPr="004E6412">
        <w:rPr>
          <w:rFonts w:ascii="Times New Roman" w:hAnsi="Times New Roman"/>
        </w:rPr>
        <w:t xml:space="preserve">, ali je i dalje ostao </w:t>
      </w:r>
      <w:r w:rsidR="005D1C3B" w:rsidRPr="004E6412">
        <w:rPr>
          <w:rFonts w:ascii="Times New Roman" w:hAnsi="Times New Roman"/>
        </w:rPr>
        <w:t xml:space="preserve">negativan. Preneseni gubitak </w:t>
      </w:r>
      <w:r w:rsidRPr="004E6412">
        <w:rPr>
          <w:rFonts w:ascii="Times New Roman" w:hAnsi="Times New Roman"/>
        </w:rPr>
        <w:t xml:space="preserve">povećan </w:t>
      </w:r>
      <w:r w:rsidR="005D1C3B" w:rsidRPr="004E6412">
        <w:rPr>
          <w:rFonts w:ascii="Times New Roman" w:hAnsi="Times New Roman"/>
        </w:rPr>
        <w:t xml:space="preserve">je </w:t>
      </w:r>
      <w:r w:rsidRPr="004E6412">
        <w:rPr>
          <w:rFonts w:ascii="Times New Roman" w:hAnsi="Times New Roman"/>
        </w:rPr>
        <w:t>u trogodišnjem razdoblju 2010.</w:t>
      </w:r>
      <w:r w:rsidR="005D1C3B" w:rsidRPr="004E6412">
        <w:rPr>
          <w:rFonts w:ascii="Times New Roman" w:hAnsi="Times New Roman"/>
        </w:rPr>
        <w:t xml:space="preserve"> – </w:t>
      </w:r>
      <w:r w:rsidRPr="004E6412">
        <w:rPr>
          <w:rFonts w:ascii="Times New Roman" w:hAnsi="Times New Roman"/>
        </w:rPr>
        <w:t xml:space="preserve">2012., a </w:t>
      </w:r>
      <w:r w:rsidRPr="004E6412">
        <w:rPr>
          <w:rFonts w:ascii="Times New Roman" w:hAnsi="Times New Roman"/>
        </w:rPr>
        <w:lastRenderedPageBreak/>
        <w:t xml:space="preserve">zadržana dobit </w:t>
      </w:r>
      <w:r w:rsidR="005D1C3B" w:rsidRPr="004E6412">
        <w:rPr>
          <w:rFonts w:ascii="Times New Roman" w:hAnsi="Times New Roman"/>
        </w:rPr>
        <w:t xml:space="preserve">je </w:t>
      </w:r>
      <w:r w:rsidRPr="004E6412">
        <w:rPr>
          <w:rFonts w:ascii="Times New Roman" w:hAnsi="Times New Roman"/>
        </w:rPr>
        <w:t>smanjena. Financij</w:t>
      </w:r>
      <w:r w:rsidR="005D1C3B" w:rsidRPr="004E6412">
        <w:rPr>
          <w:rFonts w:ascii="Times New Roman" w:hAnsi="Times New Roman"/>
        </w:rPr>
        <w:t xml:space="preserve">ska pozicija ove djelatnosti </w:t>
      </w:r>
      <w:r w:rsidRPr="004E6412">
        <w:rPr>
          <w:rFonts w:ascii="Times New Roman" w:hAnsi="Times New Roman"/>
        </w:rPr>
        <w:t xml:space="preserve">pogoršana </w:t>
      </w:r>
      <w:r w:rsidR="005D1C3B" w:rsidRPr="004E6412">
        <w:rPr>
          <w:rFonts w:ascii="Times New Roman" w:hAnsi="Times New Roman"/>
        </w:rPr>
        <w:t xml:space="preserve">je </w:t>
      </w:r>
      <w:r w:rsidRPr="004E6412">
        <w:rPr>
          <w:rFonts w:ascii="Times New Roman" w:hAnsi="Times New Roman"/>
        </w:rPr>
        <w:t>u promatranom razdoblju.</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Pad gospodarske aktivnosti djelatnosti može se vidjeti i u gotovo proporcionalnom smanjenju ukupnih prihoda i rashoda. Naim</w:t>
      </w:r>
      <w:r w:rsidR="000A6E8F" w:rsidRPr="004E6412">
        <w:rPr>
          <w:rFonts w:ascii="Times New Roman" w:hAnsi="Times New Roman"/>
        </w:rPr>
        <w:t xml:space="preserve">e, u 2011. prihodi i rashodi </w:t>
      </w:r>
      <w:r w:rsidRPr="004E6412">
        <w:rPr>
          <w:rFonts w:ascii="Times New Roman" w:hAnsi="Times New Roman"/>
        </w:rPr>
        <w:t xml:space="preserve">činili </w:t>
      </w:r>
      <w:r w:rsidR="000A6E8F" w:rsidRPr="004E6412">
        <w:rPr>
          <w:rFonts w:ascii="Times New Roman" w:hAnsi="Times New Roman"/>
        </w:rPr>
        <w:t xml:space="preserve">su </w:t>
      </w:r>
      <w:r w:rsidRPr="004E6412">
        <w:rPr>
          <w:rFonts w:ascii="Times New Roman" w:hAnsi="Times New Roman"/>
        </w:rPr>
        <w:t>svega 86,7% odnosno 85,5% vri</w:t>
      </w:r>
      <w:r w:rsidR="0043385D" w:rsidRPr="004E6412">
        <w:rPr>
          <w:rFonts w:ascii="Times New Roman" w:hAnsi="Times New Roman"/>
        </w:rPr>
        <w:t xml:space="preserve">jednosti iz 2010., a u 2012. </w:t>
      </w:r>
      <w:r w:rsidRPr="004E6412">
        <w:rPr>
          <w:rFonts w:ascii="Times New Roman" w:hAnsi="Times New Roman"/>
        </w:rPr>
        <w:t>činili</w:t>
      </w:r>
      <w:r w:rsidR="0043385D" w:rsidRPr="004E6412">
        <w:rPr>
          <w:rFonts w:ascii="Times New Roman" w:hAnsi="Times New Roman"/>
        </w:rPr>
        <w:t xml:space="preserve"> su</w:t>
      </w:r>
      <w:r w:rsidRPr="004E6412">
        <w:rPr>
          <w:rFonts w:ascii="Times New Roman" w:hAnsi="Times New Roman"/>
        </w:rPr>
        <w:t xml:space="preserve"> 91,7% odnosno 91,3% vrijednosti iz 2011</w:t>
      </w:r>
      <w:r w:rsidR="0043385D" w:rsidRPr="004E6412">
        <w:rPr>
          <w:rFonts w:ascii="Times New Roman" w:hAnsi="Times New Roman"/>
        </w:rPr>
        <w:t xml:space="preserve">. Poslovni prihodi i rashodi </w:t>
      </w:r>
      <w:r w:rsidRPr="004E6412">
        <w:rPr>
          <w:rFonts w:ascii="Times New Roman" w:hAnsi="Times New Roman"/>
        </w:rPr>
        <w:t xml:space="preserve">u sve tri godine činili </w:t>
      </w:r>
      <w:r w:rsidR="0043385D" w:rsidRPr="004E6412">
        <w:rPr>
          <w:rFonts w:ascii="Times New Roman" w:hAnsi="Times New Roman"/>
        </w:rPr>
        <w:t xml:space="preserve">su </w:t>
      </w:r>
      <w:r w:rsidRPr="004E6412">
        <w:rPr>
          <w:rFonts w:ascii="Times New Roman" w:hAnsi="Times New Roman"/>
        </w:rPr>
        <w:t>više od 92% ukupnih prihoda i rashoda.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Pokazatelji profitabilnosti proizvodnje tekstila nisu bili pozitivni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EBITDA se neprestano smanjivao tijeko</w:t>
      </w:r>
      <w:r w:rsidRPr="004E6412">
        <w:rPr>
          <w:rFonts w:ascii="Times New Roman" w:hAnsi="Times New Roman"/>
        </w:rPr>
        <w:t xml:space="preserve">m sve tri godine, a pokazatelji povrata (prinosa) </w:t>
      </w:r>
      <w:r w:rsidR="0043385D" w:rsidRPr="004E6412">
        <w:rPr>
          <w:rFonts w:ascii="Times New Roman" w:hAnsi="Times New Roman"/>
        </w:rPr>
        <w:t xml:space="preserve">bili su negativni </w:t>
      </w:r>
      <w:r w:rsidRPr="004E6412">
        <w:rPr>
          <w:rFonts w:ascii="Times New Roman" w:hAnsi="Times New Roman"/>
        </w:rPr>
        <w:t>sve tri godine. Ipak, treba naglasiti da su negativne stope smanjivane iz godine u godinu. Povećana je</w:t>
      </w:r>
      <w:r w:rsidR="0043385D" w:rsidRPr="004E6412">
        <w:rPr>
          <w:rFonts w:ascii="Times New Roman" w:hAnsi="Times New Roman"/>
        </w:rPr>
        <w:t>,</w:t>
      </w:r>
      <w:r w:rsidRPr="004E6412">
        <w:rPr>
          <w:rFonts w:ascii="Times New Roman" w:hAnsi="Times New Roman"/>
        </w:rPr>
        <w:t xml:space="preserve"> stoga</w:t>
      </w:r>
      <w:r w:rsidR="0043385D" w:rsidRPr="004E6412">
        <w:rPr>
          <w:rFonts w:ascii="Times New Roman" w:hAnsi="Times New Roman"/>
        </w:rPr>
        <w:t>,</w:t>
      </w:r>
      <w:r w:rsidRPr="004E6412">
        <w:rPr>
          <w:rFonts w:ascii="Times New Roman" w:hAnsi="Times New Roman"/>
        </w:rPr>
        <w:t xml:space="preserve"> stvorena dodana vrijednost, kao što je povećana i stopa bruto operativnog viška (odnos pr</w:t>
      </w:r>
      <w:r w:rsidR="0043385D" w:rsidRPr="004E6412">
        <w:rPr>
          <w:rFonts w:ascii="Times New Roman" w:hAnsi="Times New Roman"/>
        </w:rPr>
        <w:t xml:space="preserve">ihoda i rashoda </w:t>
      </w:r>
      <w:r w:rsidRPr="004E6412">
        <w:rPr>
          <w:rFonts w:ascii="Times New Roman" w:hAnsi="Times New Roman"/>
        </w:rPr>
        <w:t xml:space="preserve">povećan </w:t>
      </w:r>
      <w:r w:rsidR="0043385D" w:rsidRPr="004E6412">
        <w:rPr>
          <w:rFonts w:ascii="Times New Roman" w:hAnsi="Times New Roman"/>
        </w:rPr>
        <w:t>je u korist prihoda). Zabilježen</w:t>
      </w:r>
      <w:r w:rsidRPr="004E6412">
        <w:rPr>
          <w:rFonts w:ascii="Times New Roman" w:hAnsi="Times New Roman"/>
        </w:rPr>
        <w:t xml:space="preserve"> je pad prihoda po zaposlenom</w:t>
      </w:r>
      <w:r w:rsidR="0043385D" w:rsidRPr="004E6412">
        <w:rPr>
          <w:rFonts w:ascii="Times New Roman" w:hAnsi="Times New Roman"/>
        </w:rPr>
        <w:t>e (pad učinkovitosti</w:t>
      </w:r>
      <w:r w:rsidRPr="004E6412">
        <w:rPr>
          <w:rFonts w:ascii="Times New Roman" w:hAnsi="Times New Roman"/>
        </w:rPr>
        <w:t xml:space="preserve"> radne snage). </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Izvoz i uvoz smanjivali su se</w:t>
      </w:r>
      <w:r w:rsidR="001B41B0" w:rsidRPr="004E6412">
        <w:rPr>
          <w:rFonts w:ascii="Times New Roman" w:hAnsi="Times New Roman"/>
        </w:rPr>
        <w:t xml:space="preserve"> iz godine u godinu, s time da je odnos izvoza i uvoza također smanjen (izvoz pada brže od uvoza). Iako s</w:t>
      </w:r>
      <w:r w:rsidRPr="004E6412">
        <w:rPr>
          <w:rFonts w:ascii="Times New Roman" w:hAnsi="Times New Roman"/>
        </w:rPr>
        <w:t>u uvozna zavisnost i prodor uvoza smanjeni, usporedne</w:t>
      </w:r>
      <w:r w:rsidR="001B41B0" w:rsidRPr="004E6412">
        <w:rPr>
          <w:rFonts w:ascii="Times New Roman" w:hAnsi="Times New Roman"/>
        </w:rPr>
        <w:t xml:space="preserve"> predno</w:t>
      </w:r>
      <w:r w:rsidRPr="004E6412">
        <w:rPr>
          <w:rFonts w:ascii="Times New Roman" w:hAnsi="Times New Roman"/>
        </w:rPr>
        <w:t>sti ove djelatnosti stalno</w:t>
      </w:r>
      <w:r w:rsidR="001B41B0" w:rsidRPr="004E6412">
        <w:rPr>
          <w:rFonts w:ascii="Times New Roman" w:hAnsi="Times New Roman"/>
        </w:rPr>
        <w:t xml:space="preserve"> su </w:t>
      </w:r>
      <w:r w:rsidRPr="004E6412">
        <w:rPr>
          <w:rFonts w:ascii="Times New Roman" w:hAnsi="Times New Roman"/>
        </w:rPr>
        <w:t>se smanjivale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Vanjskotrgovi</w:t>
      </w:r>
      <w:r w:rsidRPr="004E6412">
        <w:rPr>
          <w:rFonts w:ascii="Times New Roman" w:hAnsi="Times New Roman"/>
        </w:rPr>
        <w:t>nska razmjena ove djelatnosti</w:t>
      </w:r>
      <w:r w:rsidR="001B41B0" w:rsidRPr="004E6412">
        <w:rPr>
          <w:rFonts w:ascii="Times New Roman" w:hAnsi="Times New Roman"/>
        </w:rPr>
        <w:t xml:space="preserve"> znatno </w:t>
      </w:r>
      <w:r w:rsidRPr="004E6412">
        <w:rPr>
          <w:rFonts w:ascii="Times New Roman" w:hAnsi="Times New Roman"/>
        </w:rPr>
        <w:t>je oslabljena, a</w:t>
      </w:r>
      <w:r w:rsidR="001B41B0" w:rsidRPr="004E6412">
        <w:rPr>
          <w:rFonts w:ascii="Times New Roman" w:hAnsi="Times New Roman"/>
        </w:rPr>
        <w:t xml:space="preserve"> nje</w:t>
      </w:r>
      <w:r w:rsidRPr="004E6412">
        <w:rPr>
          <w:rFonts w:ascii="Times New Roman" w:hAnsi="Times New Roman"/>
        </w:rPr>
        <w:t>zi</w:t>
      </w:r>
      <w:r w:rsidR="001B41B0" w:rsidRPr="004E6412">
        <w:rPr>
          <w:rFonts w:ascii="Times New Roman" w:hAnsi="Times New Roman"/>
        </w:rPr>
        <w:t>n udio u ukupnim prihodima i rashodima djelatn</w:t>
      </w:r>
      <w:r w:rsidRPr="004E6412">
        <w:rPr>
          <w:rFonts w:ascii="Times New Roman" w:hAnsi="Times New Roman"/>
        </w:rPr>
        <w:t xml:space="preserve">osti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na 35,24% (izvoz) odnosno 31,86% (uv</w:t>
      </w:r>
      <w:r w:rsidRPr="004E6412">
        <w:rPr>
          <w:rFonts w:ascii="Times New Roman" w:hAnsi="Times New Roman"/>
        </w:rPr>
        <w:t xml:space="preserve">oz). Bruto dodana vrijednost </w:t>
      </w:r>
      <w:r w:rsidR="001B41B0" w:rsidRPr="004E6412">
        <w:rPr>
          <w:rFonts w:ascii="Times New Roman" w:hAnsi="Times New Roman"/>
        </w:rPr>
        <w:t xml:space="preserve">smanjila </w:t>
      </w:r>
      <w:r w:rsidRPr="004E6412">
        <w:rPr>
          <w:rFonts w:ascii="Times New Roman" w:hAnsi="Times New Roman"/>
        </w:rPr>
        <w:t>se za 57,5 milijuna kuna</w:t>
      </w:r>
      <w:r w:rsidR="001B41B0" w:rsidRPr="004E6412">
        <w:rPr>
          <w:rFonts w:ascii="Times New Roman" w:hAnsi="Times New Roman"/>
        </w:rPr>
        <w:t>, odnosno 15,16% (</w:t>
      </w:r>
      <w:r w:rsidRPr="004E6412">
        <w:rPr>
          <w:rFonts w:ascii="Times New Roman" w:hAnsi="Times New Roman"/>
        </w:rPr>
        <w:t xml:space="preserve">razdoblje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 Pokazatelj specijalizacije djelatnosti u promatranom razdoblju ukazuje na visoku (gotovo savršenu) intraindustrijsku razmjenu pripadajuće djelatnosti. Udio državnih potpora i su</w:t>
      </w:r>
      <w:r w:rsidRPr="004E6412">
        <w:rPr>
          <w:rFonts w:ascii="Times New Roman" w:hAnsi="Times New Roman"/>
        </w:rPr>
        <w:t xml:space="preserve">bvencija u ukupnim prihodima </w:t>
      </w:r>
      <w:r w:rsidR="001B41B0" w:rsidRPr="004E6412">
        <w:rPr>
          <w:rFonts w:ascii="Times New Roman" w:hAnsi="Times New Roman"/>
        </w:rPr>
        <w:t xml:space="preserve">višestruko </w:t>
      </w:r>
      <w:r w:rsidRPr="004E6412">
        <w:rPr>
          <w:rFonts w:ascii="Times New Roman" w:hAnsi="Times New Roman"/>
        </w:rPr>
        <w:t xml:space="preserve">je </w:t>
      </w:r>
      <w:r w:rsidR="001B41B0" w:rsidRPr="004E6412">
        <w:rPr>
          <w:rFonts w:ascii="Times New Roman" w:hAnsi="Times New Roman"/>
        </w:rPr>
        <w:t>smanjen, s gotovo 1% iz 2010. na 0,27% u 2012.</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BF769D" w:rsidRPr="004E6412">
        <w:rPr>
          <w:rFonts w:ascii="Times New Roman" w:hAnsi="Times New Roman"/>
        </w:rPr>
        <w:t xml:space="preserve">povećala </w:t>
      </w:r>
      <w:r w:rsidR="0043385D" w:rsidRPr="004E6412">
        <w:rPr>
          <w:rFonts w:ascii="Times New Roman" w:hAnsi="Times New Roman"/>
        </w:rPr>
        <w:t xml:space="preserve">se </w:t>
      </w:r>
      <w:r w:rsidR="00BF769D" w:rsidRPr="004E6412">
        <w:rPr>
          <w:rFonts w:ascii="Times New Roman" w:hAnsi="Times New Roman"/>
        </w:rPr>
        <w:t xml:space="preserve">za 2,03%, ali uz privremeno i naglo povećanje od </w:t>
      </w:r>
      <w:r w:rsidR="0043385D" w:rsidRPr="004E6412">
        <w:rPr>
          <w:rFonts w:ascii="Times New Roman" w:hAnsi="Times New Roman"/>
        </w:rPr>
        <w:t xml:space="preserve">2010. do </w:t>
      </w:r>
      <w:r w:rsidR="00BF769D" w:rsidRPr="004E6412">
        <w:rPr>
          <w:rFonts w:ascii="Times New Roman" w:hAnsi="Times New Roman"/>
        </w:rPr>
        <w:t>2011.</w:t>
      </w:r>
      <w:r w:rsidR="0043385D" w:rsidRPr="004E6412">
        <w:rPr>
          <w:rFonts w:ascii="Times New Roman" w:hAnsi="Times New Roman"/>
        </w:rPr>
        <w:t xml:space="preserve">, a potom slijedi </w:t>
      </w:r>
      <w:r w:rsidR="00BF769D" w:rsidRPr="004E6412">
        <w:rPr>
          <w:rFonts w:ascii="Times New Roman" w:hAnsi="Times New Roman"/>
        </w:rPr>
        <w:t>proporcio</w:t>
      </w:r>
      <w:r w:rsidR="004823E2" w:rsidRPr="004E6412">
        <w:rPr>
          <w:rFonts w:ascii="Times New Roman" w:hAnsi="Times New Roman"/>
        </w:rPr>
        <w:t>na</w:t>
      </w:r>
      <w:r w:rsidR="00BF769D" w:rsidRPr="004E6412">
        <w:rPr>
          <w:rFonts w:ascii="Times New Roman" w:hAnsi="Times New Roman"/>
        </w:rPr>
        <w:t xml:space="preserve">lno slabiji pad u 2012., </w:t>
      </w:r>
      <w:r w:rsidRPr="004E6412">
        <w:rPr>
          <w:rFonts w:ascii="Times New Roman" w:hAnsi="Times New Roman"/>
        </w:rPr>
        <w:t xml:space="preserve">dok se jedinični trošak rada </w:t>
      </w:r>
      <w:r w:rsidR="0043385D" w:rsidRPr="004E6412">
        <w:rPr>
          <w:rFonts w:ascii="Times New Roman" w:hAnsi="Times New Roman"/>
        </w:rPr>
        <w:t xml:space="preserve">u trogodišnjem razdoblju smanjio s 0,66 na 0,64 kuna. Proizvodnost kapitala </w:t>
      </w:r>
      <w:r w:rsidR="00BF769D" w:rsidRPr="004E6412">
        <w:rPr>
          <w:rFonts w:ascii="Times New Roman" w:hAnsi="Times New Roman"/>
        </w:rPr>
        <w:t xml:space="preserve">povećana </w:t>
      </w:r>
      <w:r w:rsidR="0043385D" w:rsidRPr="004E6412">
        <w:rPr>
          <w:rFonts w:ascii="Times New Roman" w:hAnsi="Times New Roman"/>
        </w:rPr>
        <w:t xml:space="preserve">je </w:t>
      </w:r>
      <w:r w:rsidR="00BF769D" w:rsidRPr="004E6412">
        <w:rPr>
          <w:rFonts w:ascii="Times New Roman" w:hAnsi="Times New Roman"/>
        </w:rPr>
        <w:t xml:space="preserve">u </w:t>
      </w:r>
      <w:r w:rsidR="0043385D" w:rsidRPr="004E6412">
        <w:rPr>
          <w:rFonts w:ascii="Times New Roman" w:hAnsi="Times New Roman"/>
        </w:rPr>
        <w:t>promatranom trogodišnjem razdoblju</w:t>
      </w:r>
      <w:r w:rsidR="00BF769D" w:rsidRPr="004E6412">
        <w:rPr>
          <w:rFonts w:ascii="Times New Roman" w:hAnsi="Times New Roman"/>
        </w:rPr>
        <w:t>, takođe</w:t>
      </w:r>
      <w:r w:rsidR="0043385D" w:rsidRPr="004E6412">
        <w:rPr>
          <w:rFonts w:ascii="Times New Roman" w:hAnsi="Times New Roman"/>
        </w:rPr>
        <w:t xml:space="preserve">r uz nagli rast u 2011. i </w:t>
      </w:r>
      <w:r w:rsidR="00BF769D" w:rsidRPr="004E6412">
        <w:rPr>
          <w:rFonts w:ascii="Times New Roman" w:hAnsi="Times New Roman"/>
        </w:rPr>
        <w:t xml:space="preserve">blaži pad u </w:t>
      </w:r>
      <w:r w:rsidR="0043385D" w:rsidRPr="004E6412">
        <w:rPr>
          <w:rFonts w:ascii="Times New Roman" w:hAnsi="Times New Roman"/>
        </w:rPr>
        <w:t xml:space="preserve">2012. Ova djelatnost </w:t>
      </w:r>
      <w:r w:rsidR="00BF769D" w:rsidRPr="004E6412">
        <w:rPr>
          <w:rFonts w:ascii="Times New Roman" w:hAnsi="Times New Roman"/>
        </w:rPr>
        <w:t>ostvarila</w:t>
      </w:r>
      <w:r w:rsidR="0043385D" w:rsidRPr="004E6412">
        <w:rPr>
          <w:rFonts w:ascii="Times New Roman" w:hAnsi="Times New Roman"/>
        </w:rPr>
        <w:t xml:space="preserve"> je</w:t>
      </w:r>
      <w:r w:rsidR="00BF769D" w:rsidRPr="004E6412">
        <w:rPr>
          <w:rFonts w:ascii="Times New Roman" w:hAnsi="Times New Roman"/>
        </w:rPr>
        <w:t xml:space="preserve"> 15,16% pad</w:t>
      </w:r>
      <w:r w:rsidR="0043385D" w:rsidRPr="004E6412">
        <w:rPr>
          <w:rFonts w:ascii="Times New Roman" w:hAnsi="Times New Roman"/>
        </w:rPr>
        <w:t>a</w:t>
      </w:r>
      <w:r w:rsidR="00BF769D" w:rsidRPr="004E6412">
        <w:rPr>
          <w:rFonts w:ascii="Times New Roman" w:hAnsi="Times New Roman"/>
        </w:rPr>
        <w:t xml:space="preserve"> u bruto dodanoj vrijednosti, ali je smanjila broj radnika za 16,85% i smanjila vrijednost kapitalne imovine za 32,85%. P</w:t>
      </w:r>
      <w:r w:rsidR="0043385D" w:rsidRPr="004E6412">
        <w:rPr>
          <w:rFonts w:ascii="Times New Roman" w:hAnsi="Times New Roman"/>
        </w:rPr>
        <w:t xml:space="preserve">ovećanje proizvodnosti je stoga </w:t>
      </w:r>
      <w:r w:rsidR="00BF769D" w:rsidRPr="004E6412">
        <w:rPr>
          <w:rFonts w:ascii="Times New Roman" w:hAnsi="Times New Roman"/>
        </w:rPr>
        <w:t>rezultat smanjivanja proizvodnih kapaciteta.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Ulaganje djelatn</w:t>
      </w:r>
      <w:r w:rsidR="0043385D" w:rsidRPr="004E6412">
        <w:rPr>
          <w:rFonts w:ascii="Times New Roman" w:hAnsi="Times New Roman"/>
        </w:rPr>
        <w:t xml:space="preserve">osti u istraživanje i razvoj </w:t>
      </w:r>
      <w:r w:rsidRPr="004E6412">
        <w:rPr>
          <w:rFonts w:ascii="Times New Roman" w:hAnsi="Times New Roman"/>
        </w:rPr>
        <w:t>gotovo</w:t>
      </w:r>
      <w:r w:rsidR="0043385D" w:rsidRPr="004E6412">
        <w:rPr>
          <w:rFonts w:ascii="Times New Roman" w:hAnsi="Times New Roman"/>
        </w:rPr>
        <w:t xml:space="preserve"> je zanemarivo, svega 46.000 kuna u 2010. Ni u </w:t>
      </w:r>
      <w:r w:rsidRPr="004E6412">
        <w:rPr>
          <w:rFonts w:ascii="Times New Roman" w:hAnsi="Times New Roman"/>
        </w:rPr>
        <w:t>jednoj promatranoj godini (2010.</w:t>
      </w:r>
      <w:r w:rsidR="0043385D" w:rsidRPr="004E6412">
        <w:rPr>
          <w:rFonts w:ascii="Times New Roman" w:hAnsi="Times New Roman"/>
        </w:rPr>
        <w:t xml:space="preserve"> – </w:t>
      </w:r>
      <w:r w:rsidRPr="004E6412">
        <w:rPr>
          <w:rFonts w:ascii="Times New Roman" w:hAnsi="Times New Roman"/>
        </w:rPr>
        <w:t>2012</w:t>
      </w:r>
      <w:r w:rsidR="0043385D" w:rsidRPr="004E6412">
        <w:rPr>
          <w:rFonts w:ascii="Times New Roman" w:hAnsi="Times New Roman"/>
        </w:rPr>
        <w:t xml:space="preserve">.) </w:t>
      </w:r>
      <w:r w:rsidRPr="004E6412">
        <w:rPr>
          <w:rFonts w:ascii="Times New Roman" w:hAnsi="Times New Roman"/>
        </w:rPr>
        <w:t xml:space="preserve">vrijednost likvidne imovine (umanjene za zalihe) </w:t>
      </w:r>
      <w:r w:rsidR="0043385D" w:rsidRPr="004E6412">
        <w:rPr>
          <w:rFonts w:ascii="Times New Roman" w:hAnsi="Times New Roman"/>
        </w:rPr>
        <w:t xml:space="preserve">nije </w:t>
      </w:r>
      <w:r w:rsidRPr="004E6412">
        <w:rPr>
          <w:rFonts w:ascii="Times New Roman" w:hAnsi="Times New Roman"/>
        </w:rPr>
        <w:t>bila dovoljna za pokriće kratkoročnih obveza.</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Analizom zaduženosti utvrđeno je</w:t>
      </w:r>
      <w:r w:rsidR="001B41B0" w:rsidRPr="004E6412">
        <w:rPr>
          <w:rFonts w:ascii="Times New Roman" w:hAnsi="Times New Roman"/>
        </w:rPr>
        <w:t xml:space="preserve"> kako je ukupna zaduženost povećana </w:t>
      </w:r>
      <w:r w:rsidR="001B41B0" w:rsidRPr="004E6412">
        <w:rPr>
          <w:rFonts w:ascii="Times New Roman" w:eastAsia="HelveticaNeueLTPro-BdCn" w:hAnsi="Times New Roman"/>
        </w:rPr>
        <w:t>u razdoblju 2010.-2012.</w:t>
      </w:r>
      <w:r w:rsidRPr="004E6412">
        <w:rPr>
          <w:rFonts w:ascii="Times New Roman" w:eastAsia="HelveticaNeueLTPro-BdCn" w:hAnsi="Times New Roman"/>
        </w:rPr>
        <w:t>,</w:t>
      </w:r>
      <w:r w:rsidRPr="004E6412">
        <w:rPr>
          <w:rFonts w:ascii="Times New Roman" w:hAnsi="Times New Roman"/>
        </w:rPr>
        <w:t xml:space="preserve"> uz istovremeno smanjen</w:t>
      </w:r>
      <w:r w:rsidR="001B41B0" w:rsidRPr="004E6412">
        <w:rPr>
          <w:rFonts w:ascii="Times New Roman" w:hAnsi="Times New Roman"/>
        </w:rPr>
        <w:t>u sposobnost otplate kamata. Unatoč tome, ukupna zaduženost i dalje nije na visokoj razini, a pozitivnim se smatra činjenica što je u godinama znatnog pada poslovne aktivnosti ova djelatnost uspjela smanjiti apsolutnu vrijednost dugoročnog duga prema bankama i drugim financijskim institucijama. Daljnji pad poslovne aktivnosti može ugroziti sposobnost otplate duga.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B</w:t>
      </w:r>
      <w:r w:rsidR="0043385D" w:rsidRPr="004E6412">
        <w:rPr>
          <w:rFonts w:ascii="Times New Roman" w:hAnsi="Times New Roman"/>
        </w:rPr>
        <w:t xml:space="preserve">roj zaposlenih u djelatnosti </w:t>
      </w:r>
      <w:r w:rsidRPr="004E6412">
        <w:rPr>
          <w:rFonts w:ascii="Times New Roman" w:hAnsi="Times New Roman"/>
        </w:rPr>
        <w:t xml:space="preserve">smanjen </w:t>
      </w:r>
      <w:r w:rsidR="0043385D" w:rsidRPr="004E6412">
        <w:rPr>
          <w:rFonts w:ascii="Times New Roman" w:hAnsi="Times New Roman"/>
        </w:rPr>
        <w:t xml:space="preserve">je </w:t>
      </w:r>
      <w:r w:rsidRPr="004E6412">
        <w:rPr>
          <w:rFonts w:ascii="Times New Roman" w:hAnsi="Times New Roman"/>
        </w:rPr>
        <w:t xml:space="preserve">za 16,85%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U</w:t>
      </w:r>
      <w:r w:rsidRPr="004E6412">
        <w:rPr>
          <w:rFonts w:ascii="Times New Roman" w:hAnsi="Times New Roman"/>
        </w:rPr>
        <w:t xml:space="preserve"> istom razdoblju dolazi do rasta neto plaća od 2,48%, dok su u prosjeku bruto plaće pale za 0,43%. </w:t>
      </w:r>
      <w:r w:rsidR="0043385D" w:rsidRPr="004E6412">
        <w:rPr>
          <w:rFonts w:ascii="Times New Roman" w:hAnsi="Times New Roman"/>
        </w:rPr>
        <w:t xml:space="preserve">Pritom </w:t>
      </w:r>
      <w:r w:rsidRPr="004E6412">
        <w:rPr>
          <w:rFonts w:ascii="Times New Roman" w:hAnsi="Times New Roman"/>
        </w:rPr>
        <w:t>90,52% svih zaposlenih u promatranoj djelatnosti ima srednju stručnu spremu i niže.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w:t>
      </w:r>
      <w:r w:rsidR="0043385D" w:rsidRPr="004E6412">
        <w:rPr>
          <w:rFonts w:ascii="Times New Roman" w:hAnsi="Times New Roman"/>
        </w:rPr>
        <w:t xml:space="preserve">izvodnja ostalog tekstila u najvećoj mjeri </w:t>
      </w:r>
      <w:r w:rsidRPr="004E6412">
        <w:rPr>
          <w:rFonts w:ascii="Times New Roman" w:hAnsi="Times New Roman"/>
        </w:rPr>
        <w:t>utječe na financijske podatke i ukupni poslovni rezultat djelatnosti proizvodnje odjeće. Navedena poddjelatnost u 2012. čini 64,38% aktive, 62,37% ukupnih prihoda, 62,72% ukupnih rashoda, 45,47% dobiti, 52,90% gubitka, 69,10% EBITDA, 63,30% bruto dodane vrijednosti, 35,33% izvoza, 50,82% uvoza, te 66,16% zaposlenih u djelatnosti.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Hrvatsku proizvodnju tekstila obilježava duga tradicija u poslovanju, iskusna radna snaga, zemljopisna blizina europskim tržištima, kvaliteta proizvoda. S druge st</w:t>
      </w:r>
      <w:r w:rsidR="00C62112" w:rsidRPr="004E6412">
        <w:rPr>
          <w:rFonts w:ascii="Times New Roman" w:hAnsi="Times New Roman"/>
        </w:rPr>
        <w:t>rane, slabosti industrije čine</w:t>
      </w:r>
      <w:r w:rsidRPr="004E6412">
        <w:rPr>
          <w:rFonts w:ascii="Times New Roman" w:hAnsi="Times New Roman"/>
        </w:rPr>
        <w:t xml:space="preserve"> nizak udio bazne proizvodnje, ovisnost o uvoznom </w:t>
      </w:r>
      <w:r w:rsidRPr="004E6412">
        <w:rPr>
          <w:rFonts w:ascii="Times New Roman" w:hAnsi="Times New Roman"/>
          <w:i/>
        </w:rPr>
        <w:t>know-how</w:t>
      </w:r>
      <w:r w:rsidRPr="004E6412">
        <w:rPr>
          <w:rFonts w:ascii="Times New Roman" w:hAnsi="Times New Roman"/>
        </w:rPr>
        <w:t xml:space="preserve">, usitnjenost proizvodnje i niska ulaganja. </w:t>
      </w:r>
      <w:r w:rsidR="008B3D19" w:rsidRPr="004E6412">
        <w:rPr>
          <w:rFonts w:ascii="Times New Roman" w:hAnsi="Times New Roman"/>
        </w:rPr>
        <w:t>Djelatnost karakterizira radna intenzivnost i visoka koncentracija tvornica u sjeverozapadnoj Hrvatskoj. Udio u ukupnom broju poduzeća: 19% Krapinsko-zagorska županija, 19% Grad Zagreb, 13% Međimurska županija.</w:t>
      </w:r>
      <w:r w:rsidRPr="004E6412">
        <w:rPr>
          <w:rFonts w:ascii="Times New Roman" w:hAnsi="Times New Roman"/>
        </w:rPr>
        <w:t xml:space="preserve"> Mnoge se vrste tekstilni</w:t>
      </w:r>
      <w:r w:rsidR="00C62112" w:rsidRPr="004E6412">
        <w:rPr>
          <w:rFonts w:ascii="Times New Roman" w:hAnsi="Times New Roman"/>
        </w:rPr>
        <w:t>h proizvoda više ne proizvode, š</w:t>
      </w:r>
      <w:r w:rsidRPr="004E6412">
        <w:rPr>
          <w:rFonts w:ascii="Times New Roman" w:hAnsi="Times New Roman"/>
        </w:rPr>
        <w:t>to je izravni razlog pada zaposlenosti.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Ostala obilježja industrijske djelatnosti proizvodnje tekstila u Hrvatskoj jesu: privatiziranost poduzeća u djelatnosti; uključenost vlasnika poduzeća u upravljanje; smanjenje bazne proizvodnje; problemi naplate potraživanja; razjedinjenost; usitn</w:t>
      </w:r>
      <w:r w:rsidR="00C62112" w:rsidRPr="004E6412">
        <w:rPr>
          <w:rFonts w:ascii="Times New Roman" w:hAnsi="Times New Roman"/>
        </w:rPr>
        <w:t>jenost i slaba pregovaračka moć te</w:t>
      </w:r>
      <w:r w:rsidRPr="004E6412">
        <w:rPr>
          <w:rFonts w:ascii="Times New Roman" w:hAnsi="Times New Roman"/>
        </w:rPr>
        <w:t xml:space="preserve"> strukturni problemi s kadrovima; nedostatak stabilnih i povoljnih izvora financiranja.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Proizvodnju tekstila obilježava i pad cjenovne konkurentnosti izvoza zbog gu</w:t>
      </w:r>
      <w:r w:rsidR="00C62112" w:rsidRPr="004E6412">
        <w:rPr>
          <w:rFonts w:ascii="Times New Roman" w:hAnsi="Times New Roman"/>
        </w:rPr>
        <w:t>bitka sirovinske baze i potrebe</w:t>
      </w:r>
      <w:r w:rsidRPr="004E6412">
        <w:rPr>
          <w:rFonts w:ascii="Times New Roman" w:hAnsi="Times New Roman"/>
        </w:rPr>
        <w:t xml:space="preserve"> nabave s</w:t>
      </w:r>
      <w:r w:rsidR="00C62112" w:rsidRPr="004E6412">
        <w:rPr>
          <w:rFonts w:ascii="Times New Roman" w:hAnsi="Times New Roman"/>
        </w:rPr>
        <w:t>irovina na međunarodnom tržištu,</w:t>
      </w:r>
      <w:r w:rsidRPr="004E6412">
        <w:rPr>
          <w:rFonts w:ascii="Times New Roman" w:hAnsi="Times New Roman"/>
        </w:rPr>
        <w:t xml:space="preserve"> zaostajanje i na području in</w:t>
      </w:r>
      <w:r w:rsidR="00C62112" w:rsidRPr="004E6412">
        <w:rPr>
          <w:rFonts w:ascii="Times New Roman" w:hAnsi="Times New Roman"/>
        </w:rPr>
        <w:t>ovacija, istraživanja i razvoja te</w:t>
      </w:r>
      <w:r w:rsidRPr="004E6412">
        <w:rPr>
          <w:rFonts w:ascii="Times New Roman" w:hAnsi="Times New Roman"/>
        </w:rPr>
        <w:t xml:space="preserve"> aktivnosti usavršavanja</w:t>
      </w:r>
      <w:r w:rsidR="00C62112" w:rsidRPr="004E6412">
        <w:rPr>
          <w:rFonts w:ascii="Times New Roman" w:hAnsi="Times New Roman"/>
        </w:rPr>
        <w:t>,</w:t>
      </w:r>
      <w:r w:rsidRPr="004E6412">
        <w:rPr>
          <w:rFonts w:ascii="Times New Roman" w:hAnsi="Times New Roman"/>
        </w:rPr>
        <w:t xml:space="preserve"> što sve utječe na izvoznu konkurentnost.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Ograničavajući čimbenici razvoja ove djelatnosti očituju se u sporim strukturnim prilagodbama, nedovoljnoj diversifikaciji izvoznih programa, a takva struktura povećava rizike gubitka tržišta i pada konkurentnosti. Pad konkurentnosti proizvodnje tekstila na međunarodnom tržištu </w:t>
      </w:r>
      <w:r w:rsidR="00C62112" w:rsidRPr="004E6412">
        <w:rPr>
          <w:rFonts w:ascii="Times New Roman" w:hAnsi="Times New Roman"/>
        </w:rPr>
        <w:t>po</w:t>
      </w:r>
      <w:r w:rsidRPr="004E6412">
        <w:rPr>
          <w:rFonts w:ascii="Times New Roman" w:hAnsi="Times New Roman"/>
        </w:rPr>
        <w:t>praćen je smanjenjem proizvodnje i padom zaposlenosti. Prepreke daljnjem razvoju nalaze se i u nabavi sirovina za proizvodnju te nelojalnoj konkurenciji iz slabo razvijenih ili drugih zemalja u razvoju. Problem je i nedovoljno razvijena i neučinkovita  distribucijska mreža te previsoka cijena rada u odnosu na tržišta s kojima se natječe.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 djelatnosti postoji potencijal za zapošljavanje, no potrebno je prilagođavanje visina n</w:t>
      </w:r>
      <w:r w:rsidR="00C62112" w:rsidRPr="004E6412">
        <w:rPr>
          <w:rFonts w:ascii="Times New Roman" w:hAnsi="Times New Roman"/>
        </w:rPr>
        <w:t>adnica s obzirom na posebnost</w:t>
      </w:r>
      <w:r w:rsidRPr="004E6412">
        <w:rPr>
          <w:rFonts w:ascii="Times New Roman" w:hAnsi="Times New Roman"/>
        </w:rPr>
        <w:t xml:space="preserve"> djelatnosti. Stvaranje vlastitih marki također ima potencijal rasta i razvoja, a c</w:t>
      </w:r>
      <w:r w:rsidR="00C62112" w:rsidRPr="004E6412">
        <w:rPr>
          <w:rFonts w:ascii="Times New Roman" w:hAnsi="Times New Roman"/>
        </w:rPr>
        <w:t>jelokupan proces proizvodnje može se obavljati</w:t>
      </w:r>
      <w:r w:rsidRPr="004E6412">
        <w:rPr>
          <w:rFonts w:ascii="Times New Roman" w:hAnsi="Times New Roman"/>
        </w:rPr>
        <w:t xml:space="preserve"> u Hrvatskoj. Potrebna je i potiče se suradnja s drugim industrijskim djelatnostima</w:t>
      </w:r>
      <w:r w:rsidR="00C62112" w:rsidRPr="004E6412">
        <w:rPr>
          <w:rFonts w:ascii="Times New Roman" w:hAnsi="Times New Roman"/>
        </w:rPr>
        <w:t>,</w:t>
      </w:r>
      <w:r w:rsidRPr="004E6412">
        <w:rPr>
          <w:rFonts w:ascii="Times New Roman" w:hAnsi="Times New Roman"/>
        </w:rPr>
        <w:t xml:space="preserve"> osobito na području trgovine i turizma.</w:t>
      </w:r>
    </w:p>
    <w:p w:rsidR="001B41B0" w:rsidRPr="004E6412" w:rsidRDefault="001B41B0" w:rsidP="001B41B0">
      <w:pPr>
        <w:rPr>
          <w:b/>
          <w:sz w:val="22"/>
        </w:rPr>
      </w:pPr>
    </w:p>
    <w:p w:rsidR="001B41B0" w:rsidRPr="004E6412" w:rsidRDefault="001B41B0" w:rsidP="001B41B0"/>
    <w:p w:rsidR="001B41B0" w:rsidRPr="004E6412" w:rsidRDefault="001B41B0" w:rsidP="001B41B0"/>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r w:rsidRPr="004E6412">
        <w:rPr>
          <w:rFonts w:eastAsia="Calibri"/>
        </w:rPr>
        <w:lastRenderedPageBreak/>
        <w:t xml:space="preserve"> </w:t>
      </w:r>
      <w:bookmarkStart w:id="413" w:name="_Toc372087986"/>
      <w:bookmarkStart w:id="414" w:name="_Toc378069047"/>
      <w:r w:rsidRPr="004E6412">
        <w:rPr>
          <w:rFonts w:eastAsia="Calibri"/>
        </w:rPr>
        <w:t>Zaključni prikaz pokazatelja</w:t>
      </w:r>
      <w:bookmarkEnd w:id="413"/>
      <w:bookmarkEnd w:id="414"/>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415" w:name="_Toc372088139"/>
      <w:bookmarkStart w:id="416" w:name="_Toc377551074"/>
      <w:bookmarkStart w:id="417" w:name="_Toc377635263"/>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62</w:t>
      </w:r>
      <w:r w:rsidRPr="007D0CFD">
        <w:rPr>
          <w:rStyle w:val="IntenseEmphasis"/>
          <w:b/>
          <w:bCs w:val="0"/>
          <w:iCs w:val="0"/>
          <w:color w:val="548DD4" w:themeColor="text2" w:themeTint="99"/>
          <w:sz w:val="20"/>
        </w:rPr>
        <w:t>. Kvantitativni pokazatelji (C13)</w:t>
      </w:r>
      <w:bookmarkEnd w:id="415"/>
      <w:bookmarkEnd w:id="416"/>
      <w:bookmarkEnd w:id="41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111,00</w:t>
            </w:r>
          </w:p>
        </w:tc>
        <w:tc>
          <w:tcPr>
            <w:tcW w:w="968" w:type="pct"/>
            <w:shd w:val="clear" w:color="auto" w:fill="auto"/>
            <w:noWrap/>
          </w:tcPr>
          <w:p w:rsidR="001B41B0" w:rsidRPr="004E6412" w:rsidRDefault="001B41B0" w:rsidP="001B41B0">
            <w:pPr>
              <w:jc w:val="right"/>
            </w:pPr>
            <w:r w:rsidRPr="004E6412">
              <w:rPr>
                <w:sz w:val="22"/>
              </w:rPr>
              <w:t>105,20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111,6</w:t>
            </w:r>
          </w:p>
        </w:tc>
        <w:tc>
          <w:tcPr>
            <w:tcW w:w="968" w:type="pct"/>
            <w:shd w:val="clear" w:color="auto" w:fill="auto"/>
            <w:noWrap/>
          </w:tcPr>
          <w:p w:rsidR="001B41B0" w:rsidRPr="004E6412" w:rsidRDefault="001B41B0" w:rsidP="001B41B0">
            <w:pPr>
              <w:jc w:val="right"/>
            </w:pPr>
            <w:r w:rsidRPr="004E6412">
              <w:rPr>
                <w:sz w:val="22"/>
              </w:rPr>
              <w:t>89,0</w:t>
            </w:r>
          </w:p>
        </w:tc>
        <w:tc>
          <w:tcPr>
            <w:tcW w:w="1100" w:type="pct"/>
            <w:shd w:val="clear" w:color="auto" w:fill="auto"/>
            <w:noWrap/>
          </w:tcPr>
          <w:p w:rsidR="001B41B0" w:rsidRPr="004E6412" w:rsidRDefault="00212386" w:rsidP="001B41B0">
            <w:pPr>
              <w:jc w:val="right"/>
            </w:pPr>
            <w:r w:rsidRPr="004E6412">
              <w:rPr>
                <w:sz w:val="22"/>
              </w:rPr>
              <w:t>91,4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3.643</w:t>
            </w:r>
          </w:p>
        </w:tc>
        <w:tc>
          <w:tcPr>
            <w:tcW w:w="1100" w:type="pct"/>
            <w:shd w:val="clear" w:color="auto" w:fill="auto"/>
            <w:noWrap/>
          </w:tcPr>
          <w:p w:rsidR="001B41B0" w:rsidRPr="004E6412" w:rsidRDefault="001B41B0" w:rsidP="001B41B0">
            <w:pPr>
              <w:jc w:val="right"/>
            </w:pPr>
            <w:r w:rsidRPr="004E6412">
              <w:rPr>
                <w:sz w:val="22"/>
              </w:rPr>
              <w:t>3.475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1.396.497.846</w:t>
            </w:r>
          </w:p>
        </w:tc>
        <w:tc>
          <w:tcPr>
            <w:tcW w:w="968" w:type="pct"/>
            <w:shd w:val="clear" w:color="auto" w:fill="auto"/>
            <w:noWrap/>
          </w:tcPr>
          <w:p w:rsidR="001B41B0" w:rsidRPr="004E6412" w:rsidRDefault="001B41B0" w:rsidP="001B41B0">
            <w:pPr>
              <w:jc w:val="right"/>
            </w:pPr>
            <w:r w:rsidRPr="004E6412">
              <w:rPr>
                <w:sz w:val="22"/>
              </w:rPr>
              <w:t>1.211.365.145</w:t>
            </w:r>
          </w:p>
        </w:tc>
        <w:tc>
          <w:tcPr>
            <w:tcW w:w="1100" w:type="pct"/>
            <w:shd w:val="clear" w:color="auto" w:fill="auto"/>
            <w:noWrap/>
          </w:tcPr>
          <w:p w:rsidR="001B41B0" w:rsidRPr="004E6412" w:rsidRDefault="001B41B0" w:rsidP="001B41B0">
            <w:pPr>
              <w:jc w:val="right"/>
            </w:pPr>
            <w:r w:rsidRPr="004E6412">
              <w:rPr>
                <w:sz w:val="22"/>
              </w:rPr>
              <w:t>1.396.497.846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119.044.093</w:t>
            </w:r>
          </w:p>
        </w:tc>
        <w:tc>
          <w:tcPr>
            <w:tcW w:w="968" w:type="pct"/>
            <w:shd w:val="clear" w:color="auto" w:fill="auto"/>
            <w:noWrap/>
          </w:tcPr>
          <w:p w:rsidR="001B41B0" w:rsidRPr="004E6412" w:rsidRDefault="001B41B0" w:rsidP="001B41B0">
            <w:pPr>
              <w:jc w:val="right"/>
            </w:pPr>
            <w:r w:rsidRPr="004E6412">
              <w:rPr>
                <w:sz w:val="22"/>
              </w:rPr>
              <w:t>85.875.306</w:t>
            </w:r>
          </w:p>
        </w:tc>
        <w:tc>
          <w:tcPr>
            <w:tcW w:w="1100" w:type="pct"/>
            <w:shd w:val="clear" w:color="auto" w:fill="auto"/>
            <w:noWrap/>
          </w:tcPr>
          <w:p w:rsidR="001B41B0" w:rsidRPr="004E6412" w:rsidRDefault="001B41B0" w:rsidP="001B41B0">
            <w:pPr>
              <w:jc w:val="right"/>
            </w:pPr>
            <w:r w:rsidRPr="004E6412">
              <w:rPr>
                <w:sz w:val="22"/>
              </w:rPr>
              <w:t>67.035.383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3,87</w:t>
            </w:r>
          </w:p>
        </w:tc>
        <w:tc>
          <w:tcPr>
            <w:tcW w:w="968" w:type="pct"/>
            <w:shd w:val="clear" w:color="auto" w:fill="auto"/>
            <w:noWrap/>
          </w:tcPr>
          <w:p w:rsidR="001B41B0" w:rsidRPr="004E6412" w:rsidRDefault="001B41B0" w:rsidP="001B41B0">
            <w:pPr>
              <w:jc w:val="right"/>
            </w:pPr>
            <w:r w:rsidRPr="004E6412">
              <w:rPr>
                <w:sz w:val="22"/>
              </w:rPr>
              <w:t>2,40</w:t>
            </w:r>
          </w:p>
        </w:tc>
        <w:tc>
          <w:tcPr>
            <w:tcW w:w="1100" w:type="pct"/>
            <w:shd w:val="clear" w:color="auto" w:fill="auto"/>
            <w:noWrap/>
          </w:tcPr>
          <w:p w:rsidR="001B41B0" w:rsidRPr="004E6412" w:rsidRDefault="001B41B0" w:rsidP="001B41B0">
            <w:pPr>
              <w:jc w:val="right"/>
            </w:pPr>
            <w:r w:rsidRPr="004E6412">
              <w:rPr>
                <w:sz w:val="22"/>
              </w:rPr>
              <w:t>1,02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334.170</w:t>
            </w:r>
          </w:p>
        </w:tc>
        <w:tc>
          <w:tcPr>
            <w:tcW w:w="968" w:type="pct"/>
            <w:shd w:val="clear" w:color="auto" w:fill="auto"/>
            <w:noWrap/>
          </w:tcPr>
          <w:p w:rsidR="001B41B0" w:rsidRPr="004E6412" w:rsidRDefault="001B41B0" w:rsidP="001B41B0">
            <w:pPr>
              <w:jc w:val="right"/>
            </w:pPr>
            <w:r w:rsidRPr="004E6412">
              <w:rPr>
                <w:sz w:val="22"/>
              </w:rPr>
              <w:t>332.519</w:t>
            </w:r>
          </w:p>
        </w:tc>
        <w:tc>
          <w:tcPr>
            <w:tcW w:w="1100" w:type="pct"/>
            <w:shd w:val="clear" w:color="auto" w:fill="auto"/>
            <w:noWrap/>
          </w:tcPr>
          <w:p w:rsidR="001B41B0" w:rsidRPr="004E6412" w:rsidRDefault="001B41B0" w:rsidP="001B41B0">
            <w:pPr>
              <w:jc w:val="right"/>
            </w:pPr>
            <w:r w:rsidRPr="004E6412">
              <w:rPr>
                <w:sz w:val="22"/>
              </w:rPr>
              <w:t>319.561</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378.959.024</w:t>
            </w:r>
          </w:p>
        </w:tc>
        <w:tc>
          <w:tcPr>
            <w:tcW w:w="968" w:type="pct"/>
            <w:shd w:val="clear" w:color="auto" w:fill="auto"/>
            <w:noWrap/>
          </w:tcPr>
          <w:p w:rsidR="001B41B0" w:rsidRPr="004E6412" w:rsidRDefault="001B41B0" w:rsidP="001B41B0">
            <w:pPr>
              <w:jc w:val="right"/>
            </w:pPr>
            <w:r w:rsidRPr="004E6412">
              <w:rPr>
                <w:sz w:val="22"/>
              </w:rPr>
              <w:t>353.698.355</w:t>
            </w:r>
          </w:p>
        </w:tc>
        <w:tc>
          <w:tcPr>
            <w:tcW w:w="1100" w:type="pct"/>
            <w:shd w:val="clear" w:color="auto" w:fill="auto"/>
            <w:noWrap/>
          </w:tcPr>
          <w:p w:rsidR="001B41B0" w:rsidRPr="004E6412" w:rsidRDefault="001B41B0" w:rsidP="001B41B0">
            <w:pPr>
              <w:jc w:val="right"/>
            </w:pPr>
            <w:r w:rsidRPr="004E6412">
              <w:rPr>
                <w:sz w:val="22"/>
              </w:rPr>
              <w:t>321.503.095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16.250</w:t>
            </w:r>
          </w:p>
        </w:tc>
        <w:tc>
          <w:tcPr>
            <w:tcW w:w="968" w:type="pct"/>
            <w:shd w:val="clear" w:color="auto" w:fill="auto"/>
            <w:noWrap/>
          </w:tcPr>
          <w:p w:rsidR="001B41B0" w:rsidRPr="004E6412" w:rsidRDefault="001B41B0" w:rsidP="001B41B0">
            <w:pPr>
              <w:jc w:val="right"/>
            </w:pPr>
            <w:r w:rsidRPr="004E6412">
              <w:rPr>
                <w:sz w:val="22"/>
              </w:rPr>
              <w:t>12.985</w:t>
            </w:r>
          </w:p>
        </w:tc>
        <w:tc>
          <w:tcPr>
            <w:tcW w:w="1100" w:type="pct"/>
            <w:shd w:val="clear" w:color="auto" w:fill="auto"/>
            <w:noWrap/>
          </w:tcPr>
          <w:p w:rsidR="001B41B0" w:rsidRPr="004E6412" w:rsidRDefault="001B41B0" w:rsidP="001B41B0">
            <w:pPr>
              <w:jc w:val="right"/>
            </w:pPr>
            <w:r w:rsidRPr="004E6412">
              <w:rPr>
                <w:sz w:val="22"/>
              </w:rPr>
              <w:t>17.099</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22.240</w:t>
            </w:r>
          </w:p>
        </w:tc>
        <w:tc>
          <w:tcPr>
            <w:tcW w:w="968" w:type="pct"/>
            <w:shd w:val="clear" w:color="auto" w:fill="FFFFFF"/>
            <w:noWrap/>
          </w:tcPr>
          <w:p w:rsidR="001B41B0" w:rsidRPr="004E6412" w:rsidRDefault="001B41B0" w:rsidP="001B41B0">
            <w:pPr>
              <w:jc w:val="right"/>
            </w:pPr>
            <w:r w:rsidRPr="004E6412">
              <w:rPr>
                <w:sz w:val="22"/>
              </w:rPr>
              <w:t>14.647</w:t>
            </w:r>
          </w:p>
        </w:tc>
        <w:tc>
          <w:tcPr>
            <w:tcW w:w="1100" w:type="pct"/>
            <w:shd w:val="clear" w:color="auto" w:fill="FFFFFF"/>
            <w:noWrap/>
          </w:tcPr>
          <w:p w:rsidR="001B41B0" w:rsidRPr="004E6412" w:rsidRDefault="001B41B0" w:rsidP="001B41B0">
            <w:pPr>
              <w:jc w:val="right"/>
            </w:pPr>
            <w:r w:rsidRPr="004E6412">
              <w:rPr>
                <w:sz w:val="22"/>
              </w:rPr>
              <w:t>17.185</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1,193</w:t>
            </w:r>
          </w:p>
        </w:tc>
        <w:tc>
          <w:tcPr>
            <w:tcW w:w="968" w:type="pct"/>
            <w:shd w:val="clear" w:color="auto" w:fill="FFFFFF"/>
            <w:noWrap/>
          </w:tcPr>
          <w:p w:rsidR="001B41B0" w:rsidRPr="004E6412" w:rsidRDefault="001B41B0" w:rsidP="001B41B0">
            <w:pPr>
              <w:jc w:val="right"/>
            </w:pPr>
            <w:r w:rsidRPr="004E6412">
              <w:rPr>
                <w:sz w:val="22"/>
              </w:rPr>
              <w:t>1,180</w:t>
            </w:r>
          </w:p>
        </w:tc>
        <w:tc>
          <w:tcPr>
            <w:tcW w:w="1100" w:type="pct"/>
            <w:shd w:val="clear" w:color="auto" w:fill="FFFFFF"/>
            <w:noWrap/>
          </w:tcPr>
          <w:p w:rsidR="001B41B0" w:rsidRPr="004E6412" w:rsidRDefault="001B41B0" w:rsidP="001B41B0">
            <w:pPr>
              <w:jc w:val="right"/>
            </w:pPr>
            <w:r w:rsidRPr="004E6412">
              <w:rPr>
                <w:sz w:val="22"/>
              </w:rPr>
              <w:t>1,106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91.889.461</w:t>
            </w:r>
          </w:p>
        </w:tc>
        <w:tc>
          <w:tcPr>
            <w:tcW w:w="968" w:type="pct"/>
            <w:shd w:val="clear" w:color="auto" w:fill="FFFFFF"/>
            <w:noWrap/>
          </w:tcPr>
          <w:p w:rsidR="001B41B0" w:rsidRPr="004E6412" w:rsidRDefault="001B41B0" w:rsidP="001B41B0">
            <w:pPr>
              <w:jc w:val="right"/>
            </w:pPr>
            <w:r w:rsidRPr="004E6412">
              <w:rPr>
                <w:sz w:val="22"/>
              </w:rPr>
              <w:t>72.808.564</w:t>
            </w:r>
          </w:p>
        </w:tc>
        <w:tc>
          <w:tcPr>
            <w:tcW w:w="1100" w:type="pct"/>
            <w:shd w:val="clear" w:color="auto" w:fill="FFFFFF"/>
            <w:noWrap/>
          </w:tcPr>
          <w:p w:rsidR="001B41B0" w:rsidRPr="004E6412" w:rsidRDefault="001B41B0" w:rsidP="001B41B0">
            <w:pPr>
              <w:jc w:val="right"/>
            </w:pPr>
            <w:r w:rsidRPr="004E6412">
              <w:rPr>
                <w:sz w:val="22"/>
              </w:rPr>
              <w:t>37.520.579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40,70</w:t>
            </w:r>
          </w:p>
        </w:tc>
        <w:tc>
          <w:tcPr>
            <w:tcW w:w="968" w:type="pct"/>
            <w:shd w:val="clear" w:color="auto" w:fill="auto"/>
            <w:noWrap/>
          </w:tcPr>
          <w:p w:rsidR="001B41B0" w:rsidRPr="004E6412" w:rsidRDefault="001B41B0" w:rsidP="001B41B0">
            <w:pPr>
              <w:jc w:val="right"/>
            </w:pPr>
            <w:r w:rsidRPr="004E6412">
              <w:rPr>
                <w:sz w:val="22"/>
              </w:rPr>
              <w:t>39,39</w:t>
            </w:r>
          </w:p>
        </w:tc>
        <w:tc>
          <w:tcPr>
            <w:tcW w:w="1100" w:type="pct"/>
            <w:shd w:val="clear" w:color="auto" w:fill="auto"/>
            <w:noWrap/>
          </w:tcPr>
          <w:p w:rsidR="001B41B0" w:rsidRPr="004E6412" w:rsidRDefault="001B41B0" w:rsidP="001B41B0">
            <w:pPr>
              <w:jc w:val="right"/>
            </w:pPr>
            <w:r w:rsidRPr="004E6412">
              <w:rPr>
                <w:sz w:val="22"/>
              </w:rPr>
              <w:t>35,24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0,296</w:t>
            </w:r>
          </w:p>
        </w:tc>
        <w:tc>
          <w:tcPr>
            <w:tcW w:w="968" w:type="pct"/>
            <w:shd w:val="clear" w:color="auto" w:fill="auto"/>
            <w:noWrap/>
          </w:tcPr>
          <w:p w:rsidR="001B41B0" w:rsidRPr="004E6412" w:rsidRDefault="001B41B0" w:rsidP="001B41B0">
            <w:pPr>
              <w:jc w:val="right"/>
            </w:pPr>
            <w:r w:rsidRPr="004E6412">
              <w:rPr>
                <w:sz w:val="22"/>
              </w:rPr>
              <w:t>0,291</w:t>
            </w:r>
          </w:p>
        </w:tc>
        <w:tc>
          <w:tcPr>
            <w:tcW w:w="1100" w:type="pct"/>
            <w:shd w:val="clear" w:color="auto" w:fill="auto"/>
            <w:noWrap/>
          </w:tcPr>
          <w:p w:rsidR="001B41B0" w:rsidRPr="004E6412" w:rsidRDefault="001B41B0" w:rsidP="001B41B0">
            <w:pPr>
              <w:jc w:val="right"/>
            </w:pPr>
            <w:r w:rsidRPr="004E6412">
              <w:rPr>
                <w:sz w:val="22"/>
              </w:rPr>
              <w:t>0,183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C62112"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1,05</w:t>
            </w:r>
          </w:p>
        </w:tc>
        <w:tc>
          <w:tcPr>
            <w:tcW w:w="968" w:type="pct"/>
            <w:shd w:val="clear" w:color="auto" w:fill="auto"/>
            <w:noWrap/>
          </w:tcPr>
          <w:p w:rsidR="001B41B0" w:rsidRPr="004E6412" w:rsidRDefault="001B41B0" w:rsidP="001B41B0">
            <w:pPr>
              <w:jc w:val="right"/>
            </w:pPr>
            <w:r w:rsidRPr="004E6412">
              <w:rPr>
                <w:sz w:val="22"/>
              </w:rPr>
              <w:t>0,95</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0,912</w:t>
            </w:r>
          </w:p>
        </w:tc>
        <w:tc>
          <w:tcPr>
            <w:tcW w:w="968" w:type="pct"/>
            <w:shd w:val="clear" w:color="auto" w:fill="auto"/>
            <w:noWrap/>
          </w:tcPr>
          <w:p w:rsidR="001B41B0" w:rsidRPr="004E6412" w:rsidRDefault="001B41B0" w:rsidP="001B41B0">
            <w:pPr>
              <w:jc w:val="right"/>
            </w:pPr>
            <w:r w:rsidRPr="004E6412">
              <w:rPr>
                <w:sz w:val="22"/>
              </w:rPr>
              <w:t>0,917</w:t>
            </w:r>
          </w:p>
        </w:tc>
        <w:tc>
          <w:tcPr>
            <w:tcW w:w="1100" w:type="pct"/>
            <w:shd w:val="clear" w:color="auto" w:fill="auto"/>
            <w:noWrap/>
          </w:tcPr>
          <w:p w:rsidR="001B41B0" w:rsidRPr="004E6412" w:rsidRDefault="001B41B0" w:rsidP="001B41B0">
            <w:pPr>
              <w:jc w:val="right"/>
            </w:pPr>
            <w:r w:rsidRPr="004E6412">
              <w:rPr>
                <w:sz w:val="22"/>
              </w:rPr>
              <w:t>0,950</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90.682</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97.090</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92.519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0,36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0,66</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18" w:name="_Toc372088140"/>
      <w:bookmarkStart w:id="419" w:name="_Toc377551075"/>
      <w:bookmarkStart w:id="420" w:name="_Toc377635264"/>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63</w:t>
      </w:r>
      <w:r w:rsidRPr="007D0CFD">
        <w:rPr>
          <w:rStyle w:val="IntenseEmphasis"/>
          <w:b/>
          <w:bCs w:val="0"/>
          <w:iCs w:val="0"/>
          <w:color w:val="548DD4" w:themeColor="text2" w:themeTint="99"/>
          <w:sz w:val="20"/>
        </w:rPr>
        <w:t>. Kvalitativni pokazatelji (C13)</w:t>
      </w:r>
      <w:bookmarkEnd w:id="418"/>
      <w:bookmarkEnd w:id="419"/>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C62112"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C62112" w:rsidRPr="004E6412">
              <w:rPr>
                <w:sz w:val="22"/>
              </w:rPr>
              <w:t xml:space="preserve"> kapitalu. Dostupna je prikladna</w:t>
            </w:r>
            <w:r w:rsidRPr="004E6412">
              <w:rPr>
                <w:sz w:val="22"/>
              </w:rPr>
              <w:t xml:space="preserve"> radna snaga. Djelatnost zap</w:t>
            </w:r>
            <w:r w:rsidR="00C62112" w:rsidRPr="004E6412">
              <w:rPr>
                <w:sz w:val="22"/>
              </w:rPr>
              <w:t>ošljava SSS i NKV radnu snagu. Trend je usporenog</w:t>
            </w:r>
            <w:r w:rsidRPr="004E6412">
              <w:rPr>
                <w:sz w:val="22"/>
              </w:rPr>
              <w:t xml:space="preserve"> </w:t>
            </w:r>
            <w:r w:rsidR="00383A13" w:rsidRPr="004E6412">
              <w:rPr>
                <w:sz w:val="22"/>
              </w:rPr>
              <w:t xml:space="preserve">povećanja </w:t>
            </w:r>
            <w:r w:rsidRPr="004E6412">
              <w:rPr>
                <w:sz w:val="22"/>
              </w:rPr>
              <w:t xml:space="preserve">rada.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Izd</w:t>
            </w:r>
            <w:r w:rsidR="00C62112" w:rsidRPr="004E6412">
              <w:rPr>
                <w:sz w:val="22"/>
              </w:rPr>
              <w:t xml:space="preserve">aci za istraživanje i razvoj </w:t>
            </w:r>
            <w:r w:rsidRPr="004E6412">
              <w:rPr>
                <w:sz w:val="22"/>
              </w:rPr>
              <w:t xml:space="preserve">zanemarivi </w:t>
            </w:r>
            <w:r w:rsidR="00C62112" w:rsidRPr="004E6412">
              <w:rPr>
                <w:sz w:val="22"/>
              </w:rPr>
              <w:t>su i</w:t>
            </w:r>
            <w:r w:rsidRPr="004E6412">
              <w:rPr>
                <w:sz w:val="22"/>
              </w:rPr>
              <w:t xml:space="preserve"> ne predstavljaju razinu ulaganja potrebnu za nužne promjene u pozitivnom smjeru.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16 poduzeća ostvaruje 80% ukupnog uvoza, 8 poduzeća ostvaruje oko 80% ukupnog izvoza,</w:t>
            </w:r>
            <w:r w:rsidR="00C62112" w:rsidRPr="004E6412">
              <w:rPr>
                <w:sz w:val="22"/>
              </w:rPr>
              <w:t xml:space="preserve"> te 33 od 241 poduzeća ostvaruju</w:t>
            </w:r>
            <w:r w:rsidRPr="004E6412">
              <w:rPr>
                <w:sz w:val="22"/>
              </w:rPr>
              <w:t xml:space="preserve"> oko 80% ukupnih prihoda djelatnosti. Jedno poduzeće, Predionica Klanjec d.o.o., ostvaruje 8,5% ukupnih prihoda, oko 23% izvoza i oko 20% uvoza ukupne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nizak uz trend smanjivanja udjela izvoza u prihodima. Poka</w:t>
            </w:r>
            <w:r w:rsidR="00C62112" w:rsidRPr="004E6412">
              <w:rPr>
                <w:sz w:val="22"/>
              </w:rPr>
              <w:t xml:space="preserve">zatelj relativnih usporednih </w:t>
            </w:r>
            <w:r w:rsidRPr="004E6412">
              <w:rPr>
                <w:sz w:val="22"/>
              </w:rPr>
              <w:t>prednosti je nizak, s trendom smanjenja.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i zapošljavanja je nizak. Uočljivo je smanjenje broja zaposlenih. Daljnji rast iziskuje dodatna ulaganja, a djelatnost je visoko zadužena. Najveće gubitke bilježi poddjelatnost C13.9 Proizvodnja ostalog tekstila.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21" w:name="_Toc365992530"/>
      <w:bookmarkStart w:id="422" w:name="_Toc366152980"/>
      <w:bookmarkStart w:id="423" w:name="_Toc366154268"/>
      <w:bookmarkStart w:id="424" w:name="_Toc366154388"/>
      <w:bookmarkStart w:id="425" w:name="_Toc366409931"/>
      <w:bookmarkStart w:id="426" w:name="_Toc372087987"/>
      <w:bookmarkStart w:id="427" w:name="_Toc378069048"/>
      <w:r w:rsidRPr="004E6412">
        <w:lastRenderedPageBreak/>
        <w:t>C14 Proizvodnja odjeće</w:t>
      </w:r>
      <w:bookmarkEnd w:id="421"/>
      <w:bookmarkEnd w:id="422"/>
      <w:bookmarkEnd w:id="423"/>
      <w:bookmarkEnd w:id="424"/>
      <w:bookmarkEnd w:id="425"/>
      <w:bookmarkEnd w:id="426"/>
      <w:bookmarkEnd w:id="427"/>
    </w:p>
    <w:p w:rsidR="001B41B0" w:rsidRPr="004E6412" w:rsidRDefault="001B41B0" w:rsidP="001B41B0">
      <w:pPr>
        <w:rPr>
          <w:lang w:eastAsia="hr-HR"/>
        </w:rPr>
      </w:pPr>
    </w:p>
    <w:p w:rsidR="001B41B0" w:rsidRPr="004E6412" w:rsidRDefault="001B41B0" w:rsidP="001B41B0">
      <w:pPr>
        <w:rPr>
          <w:sz w:val="22"/>
        </w:rPr>
      </w:pPr>
      <w:r w:rsidRPr="004E6412">
        <w:rPr>
          <w:sz w:val="22"/>
        </w:rPr>
        <w:t>Djelatnost Proizvodnja odjeće (C14) obuhvaća proizvodnju odjeće, osim krznene odjeće (C14.1), proizvodnju proizvoda od krzna (C14.2) i proizvodnju pletene i kukičane odjeće (C14.3).</w:t>
      </w:r>
    </w:p>
    <w:p w:rsidR="001B41B0" w:rsidRPr="004E6412" w:rsidRDefault="001B41B0" w:rsidP="001B41B0">
      <w:pPr>
        <w:rPr>
          <w:szCs w:val="24"/>
        </w:rPr>
      </w:pPr>
    </w:p>
    <w:p w:rsidR="001B41B0" w:rsidRPr="004E6412" w:rsidRDefault="001B41B0" w:rsidP="00D001B9">
      <w:pPr>
        <w:pStyle w:val="Heading3"/>
        <w:rPr>
          <w:rFonts w:eastAsia="Calibri"/>
        </w:rPr>
      </w:pPr>
      <w:bookmarkStart w:id="428" w:name="_Toc365992531"/>
      <w:bookmarkStart w:id="429" w:name="_Toc366154269"/>
      <w:bookmarkStart w:id="430" w:name="_Toc366154389"/>
      <w:bookmarkStart w:id="431" w:name="_Toc366409932"/>
      <w:bookmarkStart w:id="432" w:name="_Toc372087988"/>
      <w:bookmarkStart w:id="433" w:name="_Toc378069049"/>
      <w:r w:rsidRPr="004E6412">
        <w:rPr>
          <w:rFonts w:eastAsia="Calibri"/>
        </w:rPr>
        <w:t>Globalni trendovi razvoja</w:t>
      </w:r>
      <w:bookmarkEnd w:id="428"/>
      <w:bookmarkEnd w:id="429"/>
      <w:bookmarkEnd w:id="430"/>
      <w:bookmarkEnd w:id="431"/>
      <w:bookmarkEnd w:id="432"/>
      <w:bookmarkEnd w:id="433"/>
    </w:p>
    <w:p w:rsidR="001B41B0" w:rsidRPr="004E6412" w:rsidRDefault="00C62112"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Proizvodnja odjeće </w:t>
      </w:r>
      <w:r w:rsidR="001B41B0" w:rsidRPr="004E6412">
        <w:rPr>
          <w:rFonts w:ascii="Times New Roman" w:hAnsi="Times New Roman"/>
        </w:rPr>
        <w:t xml:space="preserve">radno </w:t>
      </w:r>
      <w:r w:rsidRPr="004E6412">
        <w:rPr>
          <w:rFonts w:ascii="Times New Roman" w:hAnsi="Times New Roman"/>
        </w:rPr>
        <w:t xml:space="preserve">je </w:t>
      </w:r>
      <w:r w:rsidR="001B41B0" w:rsidRPr="004E6412">
        <w:rPr>
          <w:rFonts w:ascii="Times New Roman" w:hAnsi="Times New Roman"/>
        </w:rPr>
        <w:t>intenzivna industrijska d</w:t>
      </w:r>
      <w:r w:rsidRPr="004E6412">
        <w:rPr>
          <w:rFonts w:ascii="Times New Roman" w:hAnsi="Times New Roman"/>
        </w:rPr>
        <w:t>jelatnost u kojoj su troškovi rada vrlo bitni za rast i razvoj</w:t>
      </w:r>
      <w:r w:rsidR="001B41B0" w:rsidRPr="004E6412">
        <w:rPr>
          <w:rFonts w:ascii="Times New Roman" w:hAnsi="Times New Roman"/>
        </w:rPr>
        <w:t xml:space="preserve">. </w:t>
      </w:r>
      <w:r w:rsidRPr="004E6412">
        <w:rPr>
          <w:rFonts w:ascii="Times New Roman" w:hAnsi="Times New Roman"/>
        </w:rPr>
        <w:t>Seli</w:t>
      </w:r>
      <w:r w:rsidR="004823E2" w:rsidRPr="004E6412">
        <w:rPr>
          <w:rFonts w:ascii="Times New Roman" w:hAnsi="Times New Roman"/>
        </w:rPr>
        <w:t xml:space="preserve"> </w:t>
      </w:r>
      <w:r w:rsidR="001B41B0" w:rsidRPr="004E6412">
        <w:rPr>
          <w:rFonts w:ascii="Times New Roman" w:hAnsi="Times New Roman"/>
        </w:rPr>
        <w:t>se u zemlje s niskim troškovima rada, posebno azijske zemlje.</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Trgovinska ograničen</w:t>
      </w:r>
      <w:r w:rsidR="00C62112" w:rsidRPr="004E6412">
        <w:rPr>
          <w:rFonts w:ascii="Times New Roman" w:hAnsi="Times New Roman"/>
        </w:rPr>
        <w:t>ja rezultirala su međunarodnim rascjepkavanjem</w:t>
      </w:r>
      <w:r w:rsidRPr="004E6412">
        <w:rPr>
          <w:rFonts w:ascii="Times New Roman" w:hAnsi="Times New Roman"/>
        </w:rPr>
        <w:t xml:space="preserve"> vrijednosnog lanca, u kojem su zemlje s niskim nadnicama najčešće šivale uvezene tekstilne materijale i izvozile gotove proizvode. </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eastAsia="Times New Roman" w:hAnsi="Times New Roman"/>
        </w:rPr>
      </w:pPr>
      <w:r w:rsidRPr="004E6412">
        <w:rPr>
          <w:rFonts w:ascii="Times New Roman" w:eastAsia="Times New Roman" w:hAnsi="Times New Roman"/>
        </w:rPr>
        <w:t>Najveći izvoznici odjeće na svijetu su Kina, zemlje članice EU</w:t>
      </w:r>
      <w:r w:rsidR="00C62112" w:rsidRPr="004E6412">
        <w:rPr>
          <w:rFonts w:ascii="Times New Roman" w:eastAsia="Times New Roman" w:hAnsi="Times New Roman"/>
        </w:rPr>
        <w:t>-a</w:t>
      </w:r>
      <w:r w:rsidRPr="004E6412">
        <w:rPr>
          <w:rFonts w:ascii="Times New Roman" w:eastAsia="Times New Roman" w:hAnsi="Times New Roman"/>
        </w:rPr>
        <w:t>, Hong Kong, Bangladeš i Indija, a najveći uvoznici odjeće su zemlje članice EU</w:t>
      </w:r>
      <w:r w:rsidR="00C62112" w:rsidRPr="004E6412">
        <w:rPr>
          <w:rFonts w:ascii="Times New Roman" w:eastAsia="Times New Roman" w:hAnsi="Times New Roman"/>
        </w:rPr>
        <w:t>-a</w:t>
      </w:r>
      <w:r w:rsidRPr="004E6412">
        <w:rPr>
          <w:rFonts w:ascii="Times New Roman" w:eastAsia="Times New Roman" w:hAnsi="Times New Roman"/>
        </w:rPr>
        <w:t>, SAD, Japan, Kanada i Rusija.</w:t>
      </w:r>
    </w:p>
    <w:p w:rsidR="001B41B0" w:rsidRPr="004E6412" w:rsidRDefault="001B41B0" w:rsidP="001B41B0">
      <w:pPr>
        <w:rPr>
          <w:rFonts w:eastAsia="Times New Roman"/>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Najveći nisko-troškovni proizvođači odjeće među zemljama u razvoju uspješno su povećali udio svog izvoza na svjets</w:t>
      </w:r>
      <w:r w:rsidR="00C62112" w:rsidRPr="004E6412">
        <w:rPr>
          <w:rFonts w:ascii="Times New Roman" w:hAnsi="Times New Roman"/>
        </w:rPr>
        <w:t>kom tržištu. Ovo je odraz učinka zamjene</w:t>
      </w:r>
      <w:r w:rsidRPr="004E6412">
        <w:rPr>
          <w:rFonts w:ascii="Times New Roman" w:hAnsi="Times New Roman"/>
        </w:rPr>
        <w:t xml:space="preserve"> kao posljedice ekonomske krize jer se skuplji dobavljači zamjenjuju povoljnijima. Primjetno je i smanjenje broja zaposlenih u industrijskoj djelatnosti i zatvaranje tvornica, otežan pristup kapitalu, po</w:t>
      </w:r>
      <w:r w:rsidR="00C62112" w:rsidRPr="004E6412">
        <w:rPr>
          <w:rFonts w:ascii="Times New Roman" w:hAnsi="Times New Roman"/>
        </w:rPr>
        <w:t xml:space="preserve">većana potpora države, sve </w:t>
      </w:r>
      <w:r w:rsidRPr="004E6412">
        <w:rPr>
          <w:rFonts w:ascii="Times New Roman" w:hAnsi="Times New Roman"/>
        </w:rPr>
        <w:t>izražen</w:t>
      </w:r>
      <w:r w:rsidR="00C62112" w:rsidRPr="004E6412">
        <w:rPr>
          <w:rFonts w:ascii="Times New Roman" w:hAnsi="Times New Roman"/>
        </w:rPr>
        <w:t>ij</w:t>
      </w:r>
      <w:r w:rsidRPr="004E6412">
        <w:rPr>
          <w:rFonts w:ascii="Times New Roman" w:hAnsi="Times New Roman"/>
        </w:rPr>
        <w:t>a potreba za pružanjem pune usluge (uključujući dizajn, upravljanje zalihama i slično).</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Svjetski proizvođači sve se više počinju baviti maloprodajom i otvaraju vlastite trgovine; proizvođači preuzimaju ulogu posrednika i umjesto vlastite proizvodnje razvijaju mrežu globalnih dobavljača; raste broj privatnih marki; proizvođači luksuznih marki udružuju se s masovnim trgovcima. Rastuća je važnost ekološke održivosti i društvene odgovornosti te je izražena potreba za brzim odgovorima </w:t>
      </w:r>
      <w:r w:rsidR="00072911" w:rsidRPr="004E6412">
        <w:rPr>
          <w:rFonts w:ascii="Times New Roman" w:hAnsi="Times New Roman"/>
        </w:rPr>
        <w:t>na promjene</w:t>
      </w:r>
      <w:r w:rsidRPr="004E6412">
        <w:rPr>
          <w:rFonts w:ascii="Times New Roman" w:hAnsi="Times New Roman"/>
        </w:rPr>
        <w:t xml:space="preserve"> na tržištima.</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Regulativna politika u industrijskoj djelatnosti proizvodnje odjeće nužna je kako bi se omogućilo djelovanje sustava upravljanja. Prav</w:t>
      </w:r>
      <w:r w:rsidR="00072911" w:rsidRPr="004E6412">
        <w:rPr>
          <w:rFonts w:ascii="Times New Roman" w:hAnsi="Times New Roman"/>
        </w:rPr>
        <w:t>ila ponašanja, odgovorna kupnja te</w:t>
      </w:r>
      <w:r w:rsidRPr="004E6412">
        <w:rPr>
          <w:rFonts w:ascii="Times New Roman" w:hAnsi="Times New Roman"/>
        </w:rPr>
        <w:t xml:space="preserve"> pravila ugovaranja moraju biti odgovarajuće uređeni. Proizvođači i trgovci moraju ulagati veće napore u poboljšanje poslovnih procesa putem usvajanja inovat</w:t>
      </w:r>
      <w:r w:rsidR="00072911" w:rsidRPr="004E6412">
        <w:rPr>
          <w:rFonts w:ascii="Times New Roman" w:hAnsi="Times New Roman"/>
        </w:rPr>
        <w:t>ivnih tehnologija, suradnjom</w:t>
      </w:r>
      <w:r w:rsidRPr="004E6412">
        <w:rPr>
          <w:rFonts w:ascii="Times New Roman" w:hAnsi="Times New Roman"/>
        </w:rPr>
        <w:t xml:space="preserve"> i stvaranjem sinergijskih učinaka, cjelovitih rješenja od proizvodnje preko distribucije do trgovina.</w:t>
      </w:r>
    </w:p>
    <w:p w:rsidR="001B41B0" w:rsidRPr="004E6412" w:rsidRDefault="001B41B0" w:rsidP="001B41B0">
      <w:pPr>
        <w:rPr>
          <w:szCs w:val="24"/>
        </w:rPr>
      </w:pPr>
    </w:p>
    <w:p w:rsidR="001B41B0" w:rsidRPr="004E6412" w:rsidRDefault="001B41B0" w:rsidP="00D001B9">
      <w:pPr>
        <w:pStyle w:val="Heading3"/>
        <w:rPr>
          <w:rFonts w:eastAsia="Calibri"/>
        </w:rPr>
      </w:pPr>
      <w:bookmarkStart w:id="434" w:name="_Toc365992532"/>
      <w:bookmarkStart w:id="435" w:name="_Toc366154270"/>
      <w:bookmarkStart w:id="436" w:name="_Toc366154390"/>
      <w:bookmarkStart w:id="437" w:name="_Toc366409933"/>
      <w:bookmarkStart w:id="438" w:name="_Toc372087989"/>
      <w:bookmarkStart w:id="439" w:name="_Toc378069050"/>
      <w:r w:rsidRPr="004E6412">
        <w:rPr>
          <w:rFonts w:eastAsia="Calibri"/>
        </w:rPr>
        <w:t>Trendovi razvoja u Europskoj uniji</w:t>
      </w:r>
      <w:bookmarkEnd w:id="434"/>
      <w:bookmarkEnd w:id="435"/>
      <w:bookmarkEnd w:id="436"/>
      <w:bookmarkEnd w:id="437"/>
      <w:bookmarkEnd w:id="438"/>
      <w:bookmarkEnd w:id="439"/>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Proizvodnja odjeće u EU prolazi kroz intenzivan proces restrukturiranja i modernizacije čiji su učinci zatvaranje poduzeća i pad udjela proizvodnje odjeće u ukupnoj prerađivačkoj industriji, ali i rast produktivnosti.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 xml:space="preserve">Proizvodnja odjeće u Europi suočava se s padom obujma proizvodnje i broja zaposlenih. Unatoč sporom rastu potražnje, niskoj produktivnosti i jakoj međunarodnoj konkurenciji poduzeća koja su opstala na tržištu ostvaruju profit usporediv s ostalim manjim industrijskim djelatnostima. </w:t>
      </w:r>
      <w:r w:rsidR="00072911" w:rsidRPr="004E6412">
        <w:rPr>
          <w:rFonts w:ascii="Times New Roman" w:hAnsi="Times New Roman"/>
        </w:rPr>
        <w:t>Potrošački trendovi imaju velik</w:t>
      </w:r>
      <w:r w:rsidRPr="004E6412">
        <w:rPr>
          <w:rFonts w:ascii="Times New Roman" w:hAnsi="Times New Roman"/>
        </w:rPr>
        <w:t xml:space="preserve"> utjecaj na proizvodnju odjeće. Najnoviji modni trendovi šire se globa</w:t>
      </w:r>
      <w:r w:rsidR="007757D7" w:rsidRPr="004E6412">
        <w:rPr>
          <w:rFonts w:ascii="Times New Roman" w:hAnsi="Times New Roman"/>
        </w:rPr>
        <w:t>lno uz pomoć masovnih medija i I</w:t>
      </w:r>
      <w:r w:rsidRPr="004E6412">
        <w:rPr>
          <w:rFonts w:ascii="Times New Roman" w:hAnsi="Times New Roman"/>
        </w:rPr>
        <w:t>nterneta</w:t>
      </w:r>
      <w:r w:rsidR="00072911" w:rsidRPr="004E6412">
        <w:rPr>
          <w:rFonts w:ascii="Times New Roman" w:hAnsi="Times New Roman"/>
        </w:rPr>
        <w:t>,</w:t>
      </w:r>
      <w:r w:rsidRPr="004E6412">
        <w:rPr>
          <w:rFonts w:ascii="Times New Roman" w:hAnsi="Times New Roman"/>
        </w:rPr>
        <w:t xml:space="preserve"> što utječe na potražnju. </w:t>
      </w:r>
      <w:r w:rsidRPr="004E6412">
        <w:rPr>
          <w:rFonts w:ascii="Times New Roman" w:hAnsi="Times New Roman"/>
        </w:rPr>
        <w:lastRenderedPageBreak/>
        <w:t>Međutim, cijene odjeće su u padu, uvoz masovnih proizvoda iz zemalja s nižim troškovima je u porastu, a maloprodajni lanci koji nude</w:t>
      </w:r>
      <w:r w:rsidR="00072911" w:rsidRPr="004E6412">
        <w:rPr>
          <w:rFonts w:ascii="Times New Roman" w:hAnsi="Times New Roman"/>
        </w:rPr>
        <w:t xml:space="preserve"> jeftinije proizvode pobjeđuju</w:t>
      </w:r>
      <w:r w:rsidRPr="004E6412">
        <w:rPr>
          <w:rFonts w:ascii="Times New Roman" w:hAnsi="Times New Roman"/>
        </w:rPr>
        <w:t xml:space="preserve"> na tržištu. Potrošači su vrlo cjenovno osjetljivi i brzo odustaju od kupnje. </w:t>
      </w:r>
      <w:r w:rsidRPr="004E6412">
        <w:rPr>
          <w:rFonts w:ascii="Times New Roman" w:hAnsi="Times New Roman"/>
        </w:rPr>
        <w:tab/>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Čimbenici uspjeha razvoja djelatnosti jesu modernizacija putem razvoja novih proizvoda s većim udjelom dodane vrijednosti, razvoj i marketing vlastitih proizvoda, razvoj vla</w:t>
      </w:r>
      <w:r w:rsidR="00072911" w:rsidRPr="004E6412">
        <w:rPr>
          <w:rFonts w:ascii="Times New Roman" w:hAnsi="Times New Roman"/>
        </w:rPr>
        <w:t>stite marke te</w:t>
      </w:r>
      <w:r w:rsidRPr="004E6412">
        <w:rPr>
          <w:rFonts w:ascii="Times New Roman" w:hAnsi="Times New Roman"/>
        </w:rPr>
        <w:t xml:space="preserve"> ulaganja u istraživanje i razvoj. Europski su proizvođači odjeće na nove trendove i konkurenciju iz Kine odgovorili ver</w:t>
      </w:r>
      <w:r w:rsidR="00072911" w:rsidRPr="004E6412">
        <w:rPr>
          <w:rFonts w:ascii="Times New Roman" w:hAnsi="Times New Roman"/>
        </w:rPr>
        <w:t xml:space="preserve">tikalnom diferencijacijom koja </w:t>
      </w:r>
      <w:r w:rsidRPr="004E6412">
        <w:rPr>
          <w:rFonts w:ascii="Times New Roman" w:hAnsi="Times New Roman"/>
        </w:rPr>
        <w:t>označava orijentacije na proizvode s visokom dodanom vrijednosti.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Potencijal za rast, osobito u modnom sektoru</w:t>
      </w:r>
      <w:r w:rsidR="00072911" w:rsidRPr="004E6412">
        <w:rPr>
          <w:rFonts w:ascii="Times New Roman" w:hAnsi="Times New Roman"/>
        </w:rPr>
        <w:t>,</w:t>
      </w:r>
      <w:r w:rsidRPr="004E6412">
        <w:rPr>
          <w:rFonts w:ascii="Times New Roman" w:hAnsi="Times New Roman"/>
        </w:rPr>
        <w:t xml:space="preserve"> nalazi se u osvajanju tržišta zemalja u razvoju. Stoga je važno osigurati pristup tim tržištima kroz razvijanje posebnih strategija ulaska na tržišta. </w:t>
      </w:r>
    </w:p>
    <w:p w:rsidR="001B41B0" w:rsidRPr="004E6412" w:rsidRDefault="001B41B0" w:rsidP="001B41B0">
      <w:pPr>
        <w:rPr>
          <w:szCs w:val="24"/>
        </w:rPr>
      </w:pPr>
    </w:p>
    <w:p w:rsidR="001B41B0" w:rsidRPr="004E6412" w:rsidRDefault="001B41B0" w:rsidP="00D001B9">
      <w:pPr>
        <w:pStyle w:val="Heading3"/>
        <w:rPr>
          <w:rFonts w:eastAsia="Calibri"/>
        </w:rPr>
      </w:pPr>
      <w:bookmarkStart w:id="440" w:name="_Toc365992533"/>
      <w:bookmarkStart w:id="441" w:name="_Toc366154271"/>
      <w:bookmarkStart w:id="442" w:name="_Toc366154391"/>
      <w:bookmarkStart w:id="443" w:name="_Toc366409934"/>
      <w:bookmarkStart w:id="444" w:name="_Toc372087990"/>
      <w:bookmarkStart w:id="445" w:name="_Toc378069051"/>
      <w:r w:rsidRPr="004E6412">
        <w:rPr>
          <w:rFonts w:eastAsia="Calibri"/>
        </w:rPr>
        <w:t>Stanje i perspektive razvoja u Republici Hrvatskoj</w:t>
      </w:r>
      <w:bookmarkEnd w:id="440"/>
      <w:bookmarkEnd w:id="441"/>
      <w:bookmarkEnd w:id="442"/>
      <w:bookmarkEnd w:id="443"/>
      <w:bookmarkEnd w:id="444"/>
      <w:bookmarkEnd w:id="445"/>
    </w:p>
    <w:p w:rsidR="001B41B0" w:rsidRPr="004E6412" w:rsidRDefault="00072911" w:rsidP="001B41B0">
      <w:pPr>
        <w:pStyle w:val="ListParagraph"/>
        <w:numPr>
          <w:ilvl w:val="0"/>
          <w:numId w:val="15"/>
        </w:numPr>
        <w:spacing w:after="0"/>
        <w:jc w:val="both"/>
        <w:rPr>
          <w:rFonts w:ascii="Times New Roman" w:hAnsi="Times New Roman"/>
        </w:rPr>
      </w:pPr>
      <w:r w:rsidRPr="004E6412">
        <w:rPr>
          <w:rFonts w:ascii="Times New Roman" w:eastAsia="Times New Roman" w:hAnsi="Times New Roman"/>
        </w:rPr>
        <w:t xml:space="preserve">Proizvodnja odjeće u Hrvatskoj </w:t>
      </w:r>
      <w:r w:rsidR="001B41B0" w:rsidRPr="004E6412">
        <w:rPr>
          <w:rFonts w:ascii="Times New Roman" w:eastAsia="Times New Roman" w:hAnsi="Times New Roman"/>
        </w:rPr>
        <w:t xml:space="preserve">porasla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2011. </w:t>
      </w:r>
      <w:r w:rsidRPr="004E6412">
        <w:rPr>
          <w:rFonts w:ascii="Times New Roman" w:eastAsia="Times New Roman" w:hAnsi="Times New Roman"/>
        </w:rPr>
        <w:t xml:space="preserve">godine </w:t>
      </w:r>
      <w:r w:rsidR="001B41B0" w:rsidRPr="004E6412">
        <w:rPr>
          <w:rFonts w:ascii="Times New Roman" w:eastAsia="Times New Roman" w:hAnsi="Times New Roman"/>
        </w:rPr>
        <w:t>u odnosu na 2010. za 5,1%, a 2012. pala za 8,9%</w:t>
      </w:r>
      <w:r w:rsidRPr="004E6412">
        <w:rPr>
          <w:rFonts w:ascii="Times New Roman" w:eastAsia="Times New Roman" w:hAnsi="Times New Roman"/>
        </w:rPr>
        <w:t xml:space="preserve"> u odnosu na 2010. Uspoređujući 2012. s</w:t>
      </w:r>
      <w:r w:rsidR="001B41B0" w:rsidRPr="004E6412">
        <w:rPr>
          <w:rFonts w:ascii="Times New Roman" w:eastAsia="Times New Roman" w:hAnsi="Times New Roman"/>
        </w:rPr>
        <w:t xml:space="preserve"> 2011.</w:t>
      </w:r>
      <w:r w:rsidRPr="004E6412">
        <w:rPr>
          <w:rFonts w:ascii="Times New Roman" w:eastAsia="Times New Roman" w:hAnsi="Times New Roman"/>
        </w:rPr>
        <w:t xml:space="preserve"> godinom, </w:t>
      </w:r>
      <w:r w:rsidR="001B41B0" w:rsidRPr="004E6412">
        <w:rPr>
          <w:rFonts w:ascii="Times New Roman" w:eastAsia="Times New Roman" w:hAnsi="Times New Roman"/>
        </w:rPr>
        <w:t xml:space="preserve">proizvodnja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pala za 13,3% </w:t>
      </w:r>
      <w:r w:rsidRPr="004E6412">
        <w:rPr>
          <w:rFonts w:ascii="Times New Roman" w:eastAsia="Times New Roman" w:hAnsi="Times New Roman"/>
        </w:rPr>
        <w:t>u 2012. U p</w:t>
      </w:r>
      <w:r w:rsidR="001B41B0" w:rsidRPr="004E6412">
        <w:rPr>
          <w:rFonts w:ascii="Times New Roman" w:eastAsia="Times New Roman" w:hAnsi="Times New Roman"/>
        </w:rPr>
        <w:t>rva četiri mjeseca 2013. ostvaren je pad od 13,7% u odnosu na prva četiri mjeseca 2012. Proizv</w:t>
      </w:r>
      <w:r w:rsidRPr="004E6412">
        <w:rPr>
          <w:rFonts w:ascii="Times New Roman" w:eastAsia="Times New Roman" w:hAnsi="Times New Roman"/>
        </w:rPr>
        <w:t xml:space="preserve">ođačke cijene </w:t>
      </w:r>
      <w:r w:rsidR="001B41B0" w:rsidRPr="004E6412">
        <w:rPr>
          <w:rFonts w:ascii="Times New Roman" w:eastAsia="Times New Roman" w:hAnsi="Times New Roman"/>
        </w:rPr>
        <w:t xml:space="preserve">pale </w:t>
      </w:r>
      <w:r w:rsidRPr="004E6412">
        <w:rPr>
          <w:rFonts w:ascii="Times New Roman" w:eastAsia="Times New Roman" w:hAnsi="Times New Roman"/>
        </w:rPr>
        <w:t xml:space="preserve">su </w:t>
      </w:r>
      <w:r w:rsidR="001B41B0" w:rsidRPr="004E6412">
        <w:rPr>
          <w:rFonts w:ascii="Times New Roman" w:eastAsia="Times New Roman" w:hAnsi="Times New Roman"/>
        </w:rPr>
        <w:t>za 1,7% 2012. u odnosu</w:t>
      </w:r>
      <w:r w:rsidRPr="004E6412">
        <w:rPr>
          <w:rFonts w:ascii="Times New Roman" w:eastAsia="Times New Roman" w:hAnsi="Times New Roman"/>
        </w:rPr>
        <w:t xml:space="preserve"> na 2010., a u travnju 2013. za</w:t>
      </w:r>
      <w:r w:rsidR="001B41B0" w:rsidRPr="004E6412">
        <w:rPr>
          <w:rFonts w:ascii="Times New Roman" w:eastAsia="Times New Roman" w:hAnsi="Times New Roman"/>
        </w:rPr>
        <w:t xml:space="preserve"> 3,9% u odnosu na 2010. </w:t>
      </w:r>
      <w:r w:rsidR="001B41B0" w:rsidRPr="004E6412">
        <w:rPr>
          <w:rFonts w:ascii="Times New Roman" w:hAnsi="Times New Roman"/>
        </w:rPr>
        <w:t xml:space="preserve">Proizvodnja odjeće u Hrvatskoj bilježi značajan pad udjela u ukupnoj prerađivačkoj industriji.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 dj</w:t>
      </w:r>
      <w:r w:rsidR="00072911" w:rsidRPr="004E6412">
        <w:rPr>
          <w:rFonts w:ascii="Times New Roman" w:hAnsi="Times New Roman"/>
        </w:rPr>
        <w:t xml:space="preserve">elatnosti proizvodnje odjeće </w:t>
      </w:r>
      <w:r w:rsidRPr="004E6412">
        <w:rPr>
          <w:rFonts w:ascii="Times New Roman" w:hAnsi="Times New Roman"/>
        </w:rPr>
        <w:t>u razdoblju 2010.</w:t>
      </w:r>
      <w:r w:rsidR="00072911" w:rsidRPr="004E6412">
        <w:rPr>
          <w:rFonts w:ascii="Times New Roman" w:hAnsi="Times New Roman"/>
        </w:rPr>
        <w:t xml:space="preserve"> – </w:t>
      </w:r>
      <w:r w:rsidRPr="004E6412">
        <w:rPr>
          <w:rFonts w:ascii="Times New Roman" w:hAnsi="Times New Roman"/>
        </w:rPr>
        <w:t xml:space="preserve">2012. došlo </w:t>
      </w:r>
      <w:r w:rsidR="00072911" w:rsidRPr="004E6412">
        <w:rPr>
          <w:rFonts w:ascii="Times New Roman" w:hAnsi="Times New Roman"/>
        </w:rPr>
        <w:t xml:space="preserve">je </w:t>
      </w:r>
      <w:r w:rsidRPr="004E6412">
        <w:rPr>
          <w:rFonts w:ascii="Times New Roman" w:hAnsi="Times New Roman"/>
        </w:rPr>
        <w:t xml:space="preserve">do smanjenja broja zaposlenih u apsolutnom iznosu od 1.932 </w:t>
      </w:r>
      <w:r w:rsidR="00072911" w:rsidRPr="004E6412">
        <w:rPr>
          <w:rFonts w:ascii="Times New Roman" w:hAnsi="Times New Roman"/>
        </w:rPr>
        <w:t>osobe, odnosno relativno 11,23%</w:t>
      </w:r>
      <w:r w:rsidRPr="004E6412">
        <w:rPr>
          <w:rFonts w:ascii="Times New Roman" w:hAnsi="Times New Roman"/>
        </w:rPr>
        <w:t>. Također, broj poduzeća u djelatnosti iznosio je 556 u 2011. te 514 u 2012., što znači da je</w:t>
      </w:r>
      <w:r w:rsidR="00072911" w:rsidRPr="004E6412">
        <w:rPr>
          <w:rFonts w:ascii="Times New Roman" w:hAnsi="Times New Roman"/>
        </w:rPr>
        <w:t xml:space="preserve"> prema obračunu sati rada</w:t>
      </w:r>
      <w:r w:rsidRPr="004E6412">
        <w:rPr>
          <w:rFonts w:ascii="Times New Roman" w:hAnsi="Times New Roman"/>
        </w:rPr>
        <w:t xml:space="preserve"> jedno poduzeće u prosjeku zapošljavalo 29,93 odnosno 29,71 radnika.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Ukupna aktiva i stavke kratkotrajne i dugotrajne imovine djelatnosti povećale su se </w:t>
      </w:r>
      <w:r w:rsidR="00072911" w:rsidRPr="004E6412">
        <w:rPr>
          <w:rFonts w:ascii="Times New Roman" w:hAnsi="Times New Roman"/>
        </w:rPr>
        <w:t xml:space="preserve">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w:t>
      </w:r>
      <w:r w:rsidR="00072911" w:rsidRPr="004E6412">
        <w:rPr>
          <w:rFonts w:ascii="Times New Roman" w:hAnsi="Times New Roman"/>
        </w:rPr>
        <w:t>,</w:t>
      </w:r>
      <w:r w:rsidRPr="004E6412">
        <w:rPr>
          <w:rFonts w:ascii="Times New Roman" w:hAnsi="Times New Roman"/>
        </w:rPr>
        <w:t xml:space="preserve"> i to prvenstveno zbog povećanja tih kategorija u 2011. (11,04%). U strukturi pasive zamjetno je smanjenje kapitala i rezervi u trogodišnjem razdoblju, unatoč povećanju u 2011. S najvećim udjelom u pasivi sudjeluju upravo kratkoročne obveze s 48,78% u 2012., dok su na drugom mjestu kapital i rezerve (34,13%).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Ukupni p</w:t>
      </w:r>
      <w:r w:rsidR="00072911" w:rsidRPr="004E6412">
        <w:rPr>
          <w:rFonts w:ascii="Times New Roman" w:hAnsi="Times New Roman"/>
        </w:rPr>
        <w:t xml:space="preserve">rihodi i rashodi djelatnosti </w:t>
      </w:r>
      <w:r w:rsidRPr="004E6412">
        <w:rPr>
          <w:rFonts w:ascii="Times New Roman" w:hAnsi="Times New Roman"/>
        </w:rPr>
        <w:t xml:space="preserve">povećani </w:t>
      </w:r>
      <w:r w:rsidR="00072911" w:rsidRPr="004E6412">
        <w:rPr>
          <w:rFonts w:ascii="Times New Roman" w:hAnsi="Times New Roman"/>
        </w:rPr>
        <w:t xml:space="preserve">su 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 kao i kod aktive, najveći rast ostvaren je u 2011. (6,81%) te je godinu kasnije došlo do blažeg smanjenja (pad od 1,48%). Poslovni prihodi i rashodi čine više od 95% ukupnih prihoda i rashoda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Negativna strana poslovanja djelatnosti očituje se u većem trogodišnjem povećanju kumulativnog gubitka (14,12%) od povećanja kumulativnog dobitka (6,7%). Pokazatelji profitabilnosti većinom nisu pozitivni. Iznimka je operativna marža profita koja je u sve tri godine bila pozitivna.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Tr</w:t>
      </w:r>
      <w:r w:rsidR="00072911" w:rsidRPr="004E6412">
        <w:rPr>
          <w:rFonts w:ascii="Times New Roman" w:hAnsi="Times New Roman"/>
        </w:rPr>
        <w:t xml:space="preserve">govinska bilanca djelatnosti </w:t>
      </w:r>
      <w:r w:rsidRPr="004E6412">
        <w:rPr>
          <w:rFonts w:ascii="Times New Roman" w:hAnsi="Times New Roman"/>
        </w:rPr>
        <w:t xml:space="preserve">poboljšala </w:t>
      </w:r>
      <w:r w:rsidR="00072911" w:rsidRPr="004E6412">
        <w:rPr>
          <w:rFonts w:ascii="Times New Roman" w:hAnsi="Times New Roman"/>
        </w:rPr>
        <w:t xml:space="preserve">se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2012</w:t>
      </w:r>
      <w:r w:rsidR="00072911" w:rsidRPr="004E6412">
        <w:rPr>
          <w:rFonts w:ascii="Times New Roman" w:eastAsia="HelveticaNeueLTPro-BdCn" w:hAnsi="Times New Roman"/>
        </w:rPr>
        <w:t>., a</w:t>
      </w:r>
      <w:r w:rsidRPr="004E6412">
        <w:rPr>
          <w:rFonts w:ascii="Times New Roman" w:eastAsia="HelveticaNeueLTPro-BdCn" w:hAnsi="Times New Roman"/>
        </w:rPr>
        <w:t xml:space="preserve"> </w:t>
      </w:r>
      <w:r w:rsidR="00072911" w:rsidRPr="004E6412">
        <w:rPr>
          <w:rFonts w:ascii="Times New Roman" w:hAnsi="Times New Roman"/>
        </w:rPr>
        <w:t>i uspored</w:t>
      </w:r>
      <w:r w:rsidRPr="004E6412">
        <w:rPr>
          <w:rFonts w:ascii="Times New Roman" w:hAnsi="Times New Roman"/>
        </w:rPr>
        <w:t>ne pr</w:t>
      </w:r>
      <w:r w:rsidR="00072911" w:rsidRPr="004E6412">
        <w:rPr>
          <w:rFonts w:ascii="Times New Roman" w:hAnsi="Times New Roman"/>
        </w:rPr>
        <w:t xml:space="preserve">ednosti (RCA) djelatnosti </w:t>
      </w:r>
      <w:r w:rsidRPr="004E6412">
        <w:rPr>
          <w:rFonts w:ascii="Times New Roman" w:hAnsi="Times New Roman"/>
        </w:rPr>
        <w:t xml:space="preserve">znatno </w:t>
      </w:r>
      <w:r w:rsidR="00072911" w:rsidRPr="004E6412">
        <w:rPr>
          <w:rFonts w:ascii="Times New Roman" w:hAnsi="Times New Roman"/>
        </w:rPr>
        <w:t xml:space="preserve">su se </w:t>
      </w:r>
      <w:r w:rsidRPr="004E6412">
        <w:rPr>
          <w:rFonts w:ascii="Times New Roman" w:hAnsi="Times New Roman"/>
        </w:rPr>
        <w:t>poboljšale. Udi</w:t>
      </w:r>
      <w:r w:rsidR="00072911" w:rsidRPr="004E6412">
        <w:rPr>
          <w:rFonts w:ascii="Times New Roman" w:hAnsi="Times New Roman"/>
        </w:rPr>
        <w:t xml:space="preserve">o izvoza u ukupnim prihodima </w:t>
      </w:r>
      <w:r w:rsidRPr="004E6412">
        <w:rPr>
          <w:rFonts w:ascii="Times New Roman" w:hAnsi="Times New Roman"/>
        </w:rPr>
        <w:t>povećao</w:t>
      </w:r>
      <w:r w:rsidR="00072911" w:rsidRPr="004E6412">
        <w:rPr>
          <w:rFonts w:ascii="Times New Roman" w:hAnsi="Times New Roman"/>
        </w:rPr>
        <w:t xml:space="preserve"> se</w:t>
      </w:r>
      <w:r w:rsidRPr="004E6412">
        <w:rPr>
          <w:rFonts w:ascii="Times New Roman" w:hAnsi="Times New Roman"/>
        </w:rPr>
        <w:t>, a uvozna zavisnost smanjila.</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lastRenderedPageBreak/>
        <w:t>Bruto d</w:t>
      </w:r>
      <w:r w:rsidR="00072911" w:rsidRPr="004E6412">
        <w:rPr>
          <w:rFonts w:ascii="Times New Roman" w:hAnsi="Times New Roman"/>
        </w:rPr>
        <w:t xml:space="preserve">odana vrijednost djelatnosti </w:t>
      </w:r>
      <w:r w:rsidRPr="004E6412">
        <w:rPr>
          <w:rFonts w:ascii="Times New Roman" w:hAnsi="Times New Roman"/>
        </w:rPr>
        <w:t xml:space="preserve">znatno </w:t>
      </w:r>
      <w:r w:rsidR="00072911" w:rsidRPr="004E6412">
        <w:rPr>
          <w:rFonts w:ascii="Times New Roman" w:hAnsi="Times New Roman"/>
        </w:rPr>
        <w:t xml:space="preserve">je </w:t>
      </w:r>
      <w:r w:rsidRPr="004E6412">
        <w:rPr>
          <w:rFonts w:ascii="Times New Roman" w:hAnsi="Times New Roman"/>
        </w:rPr>
        <w:t xml:space="preserve">smanjena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hAnsi="Times New Roman"/>
        </w:rPr>
        <w:t>(pad u apsolutnom iznosu od 128 milijuna kuna</w:t>
      </w:r>
      <w:r w:rsidRPr="004E6412">
        <w:rPr>
          <w:rFonts w:ascii="Times New Roman" w:hAnsi="Times New Roman"/>
        </w:rPr>
        <w:t>, odnosno u relativnom</w:t>
      </w:r>
      <w:r w:rsidR="00072911" w:rsidRPr="004E6412">
        <w:rPr>
          <w:rFonts w:ascii="Times New Roman" w:hAnsi="Times New Roman"/>
        </w:rPr>
        <w:t xml:space="preserve"> iznosu od</w:t>
      </w:r>
      <w:r w:rsidRPr="004E6412">
        <w:rPr>
          <w:rFonts w:ascii="Times New Roman" w:hAnsi="Times New Roman"/>
        </w:rPr>
        <w:t xml:space="preserve"> 10,11%). Pokazatelj stupnja specijalizacije pokazuje umjereno visoku intraindustrijsku razmjenu u prve dvije godine analize, uz pad na razinu od 0,48 u 2012.</w:t>
      </w:r>
    </w:p>
    <w:p w:rsidR="001B41B0" w:rsidRPr="004E6412" w:rsidRDefault="001B41B0" w:rsidP="001B41B0">
      <w:pPr>
        <w:rPr>
          <w:sz w:val="22"/>
        </w:rPr>
      </w:pPr>
    </w:p>
    <w:p w:rsidR="001B41B0" w:rsidRPr="004E6412" w:rsidRDefault="001B41B0" w:rsidP="00383A13">
      <w:pPr>
        <w:pStyle w:val="ListParagraph"/>
        <w:numPr>
          <w:ilvl w:val="0"/>
          <w:numId w:val="15"/>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eastAsia="HelveticaNeueLTPro-BdCn" w:hAnsi="Times New Roman"/>
        </w:rPr>
        <w:t>ponajprije</w:t>
      </w:r>
      <w:r w:rsidR="00383A13" w:rsidRPr="004E6412">
        <w:rPr>
          <w:rFonts w:ascii="Times New Roman" w:eastAsia="HelveticaNeueLTPro-BdCn" w:hAnsi="Times New Roman"/>
        </w:rPr>
        <w:t xml:space="preserve"> naglo raste u 2011.</w:t>
      </w:r>
      <w:r w:rsidR="00072911" w:rsidRPr="004E6412">
        <w:rPr>
          <w:rFonts w:ascii="Times New Roman" w:eastAsia="HelveticaNeueLTPro-BdCn" w:hAnsi="Times New Roman"/>
        </w:rPr>
        <w:t>,</w:t>
      </w:r>
      <w:r w:rsidR="00383A13" w:rsidRPr="004E6412">
        <w:rPr>
          <w:rFonts w:ascii="Times New Roman" w:eastAsia="HelveticaNeueLTPro-BdCn" w:hAnsi="Times New Roman"/>
        </w:rPr>
        <w:t xml:space="preserve"> da bi u 2012. uslijedio blaži pad. Ukupno je u tri promatrane godine proizvodnost rada povećana za 1,26%. Istovremeno se smanjuje broj zaposlenih i bruto dodana vrijednost, ali se bruto dodana vrijednost smanjila manje od broja zaposlenih. </w:t>
      </w:r>
      <w:r w:rsidR="00072911" w:rsidRPr="004E6412">
        <w:rPr>
          <w:rFonts w:ascii="Times New Roman" w:hAnsi="Times New Roman"/>
        </w:rPr>
        <w:t xml:space="preserve">Troškovi rada </w:t>
      </w:r>
      <w:r w:rsidRPr="004E6412">
        <w:rPr>
          <w:rFonts w:ascii="Times New Roman" w:hAnsi="Times New Roman"/>
        </w:rPr>
        <w:t>time</w:t>
      </w:r>
      <w:r w:rsidR="00072911" w:rsidRPr="004E6412">
        <w:rPr>
          <w:rFonts w:ascii="Times New Roman" w:hAnsi="Times New Roman"/>
        </w:rPr>
        <w:t xml:space="preserve"> se</w:t>
      </w:r>
      <w:r w:rsidRPr="004E6412">
        <w:rPr>
          <w:rFonts w:ascii="Times New Roman" w:hAnsi="Times New Roman"/>
        </w:rPr>
        <w:t xml:space="preserve"> smanjuju, ali jedinični trošak ra</w:t>
      </w:r>
      <w:r w:rsidR="00072911" w:rsidRPr="004E6412">
        <w:rPr>
          <w:rFonts w:ascii="Times New Roman" w:hAnsi="Times New Roman"/>
        </w:rPr>
        <w:t>da prvo pada u 2011. na 0,65 kuna</w:t>
      </w:r>
      <w:r w:rsidRPr="004E6412">
        <w:rPr>
          <w:rFonts w:ascii="Times New Roman" w:hAnsi="Times New Roman"/>
        </w:rPr>
        <w:t xml:space="preserve"> zbog </w:t>
      </w:r>
      <w:r w:rsidR="00383A13" w:rsidRPr="004E6412">
        <w:rPr>
          <w:rFonts w:ascii="Times New Roman" w:hAnsi="Times New Roman"/>
        </w:rPr>
        <w:t xml:space="preserve">privremenog </w:t>
      </w:r>
      <w:r w:rsidRPr="004E6412">
        <w:rPr>
          <w:rFonts w:ascii="Times New Roman" w:hAnsi="Times New Roman"/>
        </w:rPr>
        <w:t>povećanja ostvarene bruto dodane vrijednosti</w:t>
      </w:r>
      <w:r w:rsidR="00072911" w:rsidRPr="004E6412">
        <w:rPr>
          <w:rFonts w:ascii="Times New Roman" w:hAnsi="Times New Roman"/>
        </w:rPr>
        <w:t>,</w:t>
      </w:r>
      <w:r w:rsidRPr="004E6412">
        <w:rPr>
          <w:rFonts w:ascii="Times New Roman" w:hAnsi="Times New Roman"/>
        </w:rPr>
        <w:t xml:space="preserve"> da bi</w:t>
      </w:r>
      <w:r w:rsidR="00072911" w:rsidRPr="004E6412">
        <w:rPr>
          <w:rFonts w:ascii="Times New Roman" w:hAnsi="Times New Roman"/>
        </w:rPr>
        <w:t xml:space="preserve"> se</w:t>
      </w:r>
      <w:r w:rsidRPr="004E6412">
        <w:rPr>
          <w:rFonts w:ascii="Times New Roman" w:hAnsi="Times New Roman"/>
        </w:rPr>
        <w:t xml:space="preserve"> godinu kasnije jedi</w:t>
      </w:r>
      <w:r w:rsidR="00BA701E" w:rsidRPr="004E6412">
        <w:rPr>
          <w:rFonts w:ascii="Times New Roman" w:hAnsi="Times New Roman"/>
        </w:rPr>
        <w:t>nični trošak rada naglo povećao</w:t>
      </w:r>
      <w:r w:rsidR="00072911" w:rsidRPr="004E6412">
        <w:rPr>
          <w:rFonts w:ascii="Times New Roman" w:hAnsi="Times New Roman"/>
        </w:rPr>
        <w:t xml:space="preserve"> na 0,71 kunu,</w:t>
      </w:r>
      <w:r w:rsidRPr="004E6412">
        <w:rPr>
          <w:rFonts w:ascii="Times New Roman" w:hAnsi="Times New Roman"/>
        </w:rPr>
        <w:t xml:space="preserve"> uslijed više nego proporcionalnog smanjenja bruto dodane vrijednosti u odnosu na smanjen</w:t>
      </w:r>
      <w:r w:rsidR="00072911" w:rsidRPr="004E6412">
        <w:rPr>
          <w:rFonts w:ascii="Times New Roman" w:hAnsi="Times New Roman"/>
        </w:rPr>
        <w:t>je troška zaposlenih. Učinkovitost</w:t>
      </w:r>
      <w:r w:rsidRPr="004E6412">
        <w:rPr>
          <w:rFonts w:ascii="Times New Roman" w:hAnsi="Times New Roman"/>
        </w:rPr>
        <w:t xml:space="preserve"> korištenja radne snage raste jer se s manjim brojem zaposlenih ostvario veći prihod, ali jedinični trošak rada u odnosu na ostvarenu bruto dodanu vrijednost ipak pokazuje povećanje. </w:t>
      </w:r>
      <w:r w:rsidR="00072911" w:rsidRPr="004E6412">
        <w:rPr>
          <w:rFonts w:ascii="Times New Roman" w:hAnsi="Times New Roman"/>
        </w:rPr>
        <w:t>Proizvodnost kapitala u trogodišnjem se razdoblju</w:t>
      </w:r>
      <w:r w:rsidR="00383A13" w:rsidRPr="004E6412">
        <w:rPr>
          <w:rFonts w:ascii="Times New Roman" w:hAnsi="Times New Roman"/>
        </w:rPr>
        <w:t xml:space="preserve"> smanjila za 16,84%.</w:t>
      </w:r>
    </w:p>
    <w:p w:rsidR="001B41B0" w:rsidRPr="004E6412" w:rsidRDefault="001B41B0" w:rsidP="001B41B0"/>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Ukupna ulaganja u istraživanje i razvoj prema dostupn</w:t>
      </w:r>
      <w:r w:rsidR="00B83698" w:rsidRPr="004E6412">
        <w:rPr>
          <w:rFonts w:ascii="Times New Roman" w:hAnsi="Times New Roman"/>
        </w:rPr>
        <w:t>im podacima u 2010. iznosila su 2,2 milijuna kuna te se u ovoj djelatnosti neznatno</w:t>
      </w:r>
      <w:r w:rsidRPr="004E6412">
        <w:rPr>
          <w:rFonts w:ascii="Times New Roman" w:hAnsi="Times New Roman"/>
        </w:rPr>
        <w:t xml:space="preserve"> ulaže u istraživanje i razvoj.</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Djelatnost je obilježena nelikvidnošću imovine, što posebice potvrđuje omjer likvidne imovine umanjene za zalihe i kratkoročnih obveza (0,6 u 2012.). Likvidnost je pogoršana u razdoblju 2010.</w:t>
      </w:r>
      <w:r w:rsidR="00B83698"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Broj zaposlenih je u </w:t>
      </w:r>
      <w:r w:rsidRPr="004E6412">
        <w:rPr>
          <w:rFonts w:ascii="Times New Roman" w:eastAsia="HelveticaNeueLTPro-BdCn" w:hAnsi="Times New Roman"/>
        </w:rPr>
        <w:t>razdoblju 2010.</w:t>
      </w:r>
      <w:r w:rsidR="00B83698"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osjetno smanjen za 11,23%. U promatranom razdoblju poduzeća iz ove dj</w:t>
      </w:r>
      <w:r w:rsidR="00B83698" w:rsidRPr="004E6412">
        <w:rPr>
          <w:rFonts w:ascii="Times New Roman" w:hAnsi="Times New Roman"/>
        </w:rPr>
        <w:t>elatnosti povećane su neto plaće</w:t>
      </w:r>
      <w:r w:rsidRPr="004E6412">
        <w:rPr>
          <w:rFonts w:ascii="Times New Roman" w:hAnsi="Times New Roman"/>
        </w:rPr>
        <w:t xml:space="preserve"> za 5,52%, dok su u prosjeku bruto plaće porasle za 3%. Najveći udio zaposlenih ima srednju stručnu spremu (51,55%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Proizvodnja odjeće, osim krznene odjeće čini najveći udio u djelatnosti po svim promatranim kriterijima, zbog čega poslovanje upravo te poddjelatnosti određuje poslovni i financijski rezultat cjelokupne djelatnosti. Navedena poddjelatnost u ukupnoj djelatnosti u 2012. čini 85,22% ukupnog broja poduzeća, 76,65% aktive, 74,92% ukupnih prihoda, 77,70% ukupnih rashoda, 56,51% dobiti, 93,31% gubitka, 24,36% EBITDA, 64,30% izvoza, 26,24% uvoza, 85,22% zaposlenih, 82,86% ukupnog troška zaposlenih i 82,90% neto plaća za zaposlene.</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Ako se usporedi broj zaposlenih i veličina prihoda i aktive, poddjelatnost Proizvodnja pletene i kukičane odjeće ostvaruje veću produktivnost s proporcionalno manjom imovinom i manje zaposlenih od poddjelatnosti proizvodnje odjeće, osim krznene odjeće. Poddjelatnost Proizvodnja proizvoda od krzna čini zanemariv udio u djelatnosti po svim promatranim kategorijama u sve tri godine </w:t>
      </w:r>
      <w:r w:rsidR="00B83698" w:rsidRPr="004E6412">
        <w:rPr>
          <w:rFonts w:ascii="Times New Roman" w:hAnsi="Times New Roman"/>
        </w:rPr>
        <w:t xml:space="preserve">u razdoblju </w:t>
      </w:r>
      <w:r w:rsidRPr="004E6412">
        <w:rPr>
          <w:rFonts w:ascii="Times New Roman" w:hAnsi="Times New Roman"/>
        </w:rPr>
        <w:t>2010.</w:t>
      </w:r>
      <w:r w:rsidR="00B83698" w:rsidRPr="004E6412">
        <w:rPr>
          <w:rFonts w:ascii="Times New Roman" w:hAnsi="Times New Roman"/>
        </w:rPr>
        <w:t xml:space="preserve"> – </w:t>
      </w:r>
      <w:r w:rsidRPr="004E6412">
        <w:rPr>
          <w:rFonts w:ascii="Times New Roman" w:hAnsi="Times New Roman"/>
        </w:rPr>
        <w:t>2012. (&lt;0,6%).</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Industrijsku djelatnost proizvodnje odjeće obil</w:t>
      </w:r>
      <w:r w:rsidR="00B83698" w:rsidRPr="004E6412">
        <w:rPr>
          <w:rFonts w:ascii="Times New Roman" w:hAnsi="Times New Roman"/>
        </w:rPr>
        <w:t>ježava proizvodnja usmjerena na</w:t>
      </w:r>
      <w:r w:rsidRPr="004E6412">
        <w:rPr>
          <w:rFonts w:ascii="Times New Roman" w:hAnsi="Times New Roman"/>
        </w:rPr>
        <w:t xml:space="preserve"> poslove dorade. Takva usmjerenost znači da poduzeća imaju zadane cij</w:t>
      </w:r>
      <w:r w:rsidR="00B83698" w:rsidRPr="004E6412">
        <w:rPr>
          <w:rFonts w:ascii="Times New Roman" w:hAnsi="Times New Roman"/>
        </w:rPr>
        <w:t>ene i usvojen</w:t>
      </w:r>
      <w:r w:rsidRPr="004E6412">
        <w:rPr>
          <w:rFonts w:ascii="Times New Roman" w:hAnsi="Times New Roman"/>
        </w:rPr>
        <w:t xml:space="preserve"> </w:t>
      </w:r>
      <w:r w:rsidRPr="004E6412">
        <w:rPr>
          <w:rFonts w:ascii="Times New Roman" w:hAnsi="Times New Roman"/>
          <w:i/>
        </w:rPr>
        <w:t>know how</w:t>
      </w:r>
      <w:r w:rsidRPr="004E6412">
        <w:rPr>
          <w:rFonts w:ascii="Times New Roman" w:hAnsi="Times New Roman"/>
        </w:rPr>
        <w:t xml:space="preserve"> od inozemnog kupca. </w:t>
      </w:r>
    </w:p>
    <w:p w:rsidR="001B41B0" w:rsidRPr="004E6412" w:rsidRDefault="001B41B0" w:rsidP="001B41B0">
      <w:pPr>
        <w:rPr>
          <w:sz w:val="22"/>
        </w:rPr>
      </w:pPr>
    </w:p>
    <w:p w:rsidR="008B3D19" w:rsidRPr="004E6412" w:rsidRDefault="001B41B0" w:rsidP="008B3D19">
      <w:pPr>
        <w:pStyle w:val="ListParagraph"/>
        <w:numPr>
          <w:ilvl w:val="0"/>
          <w:numId w:val="15"/>
        </w:numPr>
        <w:spacing w:after="0"/>
        <w:jc w:val="both"/>
        <w:rPr>
          <w:rFonts w:ascii="Times New Roman" w:hAnsi="Times New Roman"/>
        </w:rPr>
      </w:pPr>
      <w:r w:rsidRPr="004E6412">
        <w:rPr>
          <w:rFonts w:ascii="Times New Roman" w:hAnsi="Times New Roman"/>
        </w:rPr>
        <w:t>Ova djelatnost</w:t>
      </w:r>
      <w:r w:rsidR="00B83698" w:rsidRPr="004E6412">
        <w:rPr>
          <w:rFonts w:ascii="Times New Roman" w:hAnsi="Times New Roman"/>
        </w:rPr>
        <w:t xml:space="preserve"> je radno intenzivna </w:t>
      </w:r>
      <w:r w:rsidRPr="004E6412">
        <w:rPr>
          <w:rFonts w:ascii="Times New Roman" w:hAnsi="Times New Roman"/>
        </w:rPr>
        <w:t>te bilježi trend rasta proizvodnosti rada. Ulaganja u novu opremu su nedostatna. S obzirom na globalno širenje proizvoda iz azijskih zemalja</w:t>
      </w:r>
      <w:r w:rsidR="00B83698" w:rsidRPr="004E6412">
        <w:rPr>
          <w:rFonts w:ascii="Times New Roman" w:hAnsi="Times New Roman"/>
        </w:rPr>
        <w:t>,</w:t>
      </w:r>
      <w:r w:rsidRPr="004E6412">
        <w:rPr>
          <w:rFonts w:ascii="Times New Roman" w:hAnsi="Times New Roman"/>
        </w:rPr>
        <w:t xml:space="preserve"> može se </w:t>
      </w:r>
      <w:r w:rsidRPr="004E6412">
        <w:rPr>
          <w:rFonts w:ascii="Times New Roman" w:hAnsi="Times New Roman"/>
        </w:rPr>
        <w:lastRenderedPageBreak/>
        <w:t>zaključiti da postoji opasnost od novih konkurenata i zamjenskih proizvoda, koji prvenstveno konkuriraju nižo</w:t>
      </w:r>
      <w:r w:rsidR="00B83698" w:rsidRPr="004E6412">
        <w:rPr>
          <w:rFonts w:ascii="Times New Roman" w:hAnsi="Times New Roman"/>
        </w:rPr>
        <w:t>m cijenom. Gubitak usporednih</w:t>
      </w:r>
      <w:r w:rsidRPr="004E6412">
        <w:rPr>
          <w:rFonts w:ascii="Times New Roman" w:hAnsi="Times New Roman"/>
        </w:rPr>
        <w:t xml:space="preserve"> prednosti proizvodnje odjeće vezan je uz spore strukturne prilagodbe</w:t>
      </w:r>
      <w:r w:rsidR="00B83698" w:rsidRPr="004E6412">
        <w:rPr>
          <w:rFonts w:ascii="Times New Roman" w:hAnsi="Times New Roman"/>
        </w:rPr>
        <w:t>,</w:t>
      </w:r>
      <w:r w:rsidRPr="004E6412">
        <w:rPr>
          <w:rFonts w:ascii="Times New Roman" w:hAnsi="Times New Roman"/>
        </w:rPr>
        <w:t xml:space="preserve"> što je rezultiralo padom izvoza značajnog dijela tekstilnih i odjevnih proizvoda na tržište EU</w:t>
      </w:r>
      <w:r w:rsidR="00B83698"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Potencijali razvoja i snage djelatnosti ogledaju se u sposobnosti izrade pro</w:t>
      </w:r>
      <w:r w:rsidR="00B83698" w:rsidRPr="004E6412">
        <w:rPr>
          <w:rFonts w:ascii="Times New Roman" w:hAnsi="Times New Roman"/>
        </w:rPr>
        <w:t>izvoda visokog stupnja dovršenosti</w:t>
      </w:r>
      <w:r w:rsidRPr="004E6412">
        <w:rPr>
          <w:rFonts w:ascii="Times New Roman" w:hAnsi="Times New Roman"/>
        </w:rPr>
        <w:t>, posljedično</w:t>
      </w:r>
      <w:r w:rsidR="00B83698" w:rsidRPr="004E6412">
        <w:rPr>
          <w:rFonts w:ascii="Times New Roman" w:hAnsi="Times New Roman"/>
        </w:rPr>
        <w:t>m potencijalu izvoza i stvaranju</w:t>
      </w:r>
      <w:r w:rsidRPr="004E6412">
        <w:rPr>
          <w:rFonts w:ascii="Times New Roman" w:hAnsi="Times New Roman"/>
        </w:rPr>
        <w:t xml:space="preserve"> održivih radnih mjesta. Domaća je radna snaga kvalificirana i stručna te u tom pogledu konkurentna s inozemnom. Rastuća je potražnja za asortimanom ove dje</w:t>
      </w:r>
      <w:r w:rsidR="00B83698" w:rsidRPr="004E6412">
        <w:rPr>
          <w:rFonts w:ascii="Times New Roman" w:hAnsi="Times New Roman"/>
        </w:rPr>
        <w:t xml:space="preserve">latnosti, no zahtjevi kupaca </w:t>
      </w:r>
      <w:r w:rsidRPr="004E6412">
        <w:rPr>
          <w:rFonts w:ascii="Times New Roman" w:hAnsi="Times New Roman"/>
        </w:rPr>
        <w:t xml:space="preserve">sve </w:t>
      </w:r>
      <w:r w:rsidR="00B83698" w:rsidRPr="004E6412">
        <w:rPr>
          <w:rFonts w:ascii="Times New Roman" w:hAnsi="Times New Roman"/>
        </w:rPr>
        <w:t xml:space="preserve">su </w:t>
      </w:r>
      <w:r w:rsidRPr="004E6412">
        <w:rPr>
          <w:rFonts w:ascii="Times New Roman" w:hAnsi="Times New Roman"/>
        </w:rPr>
        <w:t xml:space="preserve">veći i brzo se mijenjaju.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Perspektive za budući rast i razvoj hrvatske proizvodnje odjeće te ostvarivanje većih cijena proizvoda temelje se na preusmjeravanju s poslova dorade na vlastitu proizvodnju, no to znači i veća ulaganja u istraživanje i razvoj, marketing, vlastitu robnu marku i razvijanje prodajne mreže.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Hrvatska bi poduzeća trebala ustrajati na fleksibilnosti, kvaliteti, brzini isporuke i stručnosti radne snage. Razvoj vlastite marke, ponuda visoko kvalitetnih proizvoda i dodatnih usluga te konkurentne cijene također su ključni pri repozicioniranju na tržištu.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46" w:name="_Toc372087991"/>
      <w:bookmarkStart w:id="447" w:name="_Toc378069052"/>
      <w:r w:rsidRPr="004E6412">
        <w:rPr>
          <w:rFonts w:eastAsia="Calibri"/>
        </w:rPr>
        <w:lastRenderedPageBreak/>
        <w:t>Zaključni prikaz pokazatelja</w:t>
      </w:r>
      <w:bookmarkEnd w:id="446"/>
      <w:bookmarkEnd w:id="447"/>
    </w:p>
    <w:p w:rsidR="00BA701E" w:rsidRPr="004E6412" w:rsidRDefault="00BA701E" w:rsidP="00BA701E"/>
    <w:p w:rsidR="001B41B0" w:rsidRPr="007D0CFD" w:rsidRDefault="001B41B0" w:rsidP="007D0CFD">
      <w:pPr>
        <w:pStyle w:val="Heading5"/>
        <w:rPr>
          <w:rStyle w:val="IntenseEmphasis"/>
          <w:b/>
          <w:bCs w:val="0"/>
          <w:iCs w:val="0"/>
          <w:color w:val="548DD4" w:themeColor="text2" w:themeTint="99"/>
          <w:sz w:val="20"/>
        </w:rPr>
      </w:pPr>
      <w:bookmarkStart w:id="448" w:name="_Toc372088141"/>
      <w:bookmarkStart w:id="449" w:name="_Toc377551076"/>
      <w:bookmarkStart w:id="450" w:name="_Toc377635265"/>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64</w:t>
      </w:r>
      <w:r w:rsidRPr="007D0CFD">
        <w:rPr>
          <w:rStyle w:val="IntenseEmphasis"/>
          <w:b/>
          <w:bCs w:val="0"/>
          <w:iCs w:val="0"/>
          <w:color w:val="548DD4" w:themeColor="text2" w:themeTint="99"/>
          <w:sz w:val="20"/>
        </w:rPr>
        <w:t>. Kvantitativni pokazatelji (C14)</w:t>
      </w:r>
      <w:bookmarkEnd w:id="448"/>
      <w:bookmarkEnd w:id="449"/>
      <w:bookmarkEnd w:id="450"/>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383A13">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100,90</w:t>
            </w:r>
          </w:p>
        </w:tc>
        <w:tc>
          <w:tcPr>
            <w:tcW w:w="1100" w:type="pct"/>
            <w:shd w:val="clear" w:color="auto" w:fill="auto"/>
            <w:noWrap/>
          </w:tcPr>
          <w:p w:rsidR="001B41B0" w:rsidRPr="004E6412" w:rsidRDefault="001B41B0" w:rsidP="001B41B0">
            <w:pPr>
              <w:jc w:val="right"/>
            </w:pPr>
            <w:r w:rsidRPr="004E6412">
              <w:rPr>
                <w:sz w:val="22"/>
              </w:rPr>
              <w:t>97,42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94,1</w:t>
            </w:r>
          </w:p>
        </w:tc>
        <w:tc>
          <w:tcPr>
            <w:tcW w:w="968" w:type="pct"/>
            <w:shd w:val="clear" w:color="auto" w:fill="auto"/>
            <w:noWrap/>
          </w:tcPr>
          <w:p w:rsidR="001B41B0" w:rsidRPr="004E6412" w:rsidRDefault="001B41B0" w:rsidP="001B41B0">
            <w:pPr>
              <w:jc w:val="right"/>
            </w:pPr>
            <w:r w:rsidRPr="004E6412">
              <w:rPr>
                <w:sz w:val="22"/>
              </w:rPr>
              <w:t>105,0</w:t>
            </w:r>
          </w:p>
        </w:tc>
        <w:tc>
          <w:tcPr>
            <w:tcW w:w="1100" w:type="pct"/>
            <w:shd w:val="clear" w:color="auto" w:fill="auto"/>
            <w:noWrap/>
          </w:tcPr>
          <w:p w:rsidR="001B41B0" w:rsidRPr="004E6412" w:rsidRDefault="00212386" w:rsidP="001B41B0">
            <w:pPr>
              <w:jc w:val="right"/>
            </w:pPr>
            <w:r w:rsidRPr="004E6412">
              <w:rPr>
                <w:sz w:val="22"/>
              </w:rPr>
              <w:t>86</w:t>
            </w:r>
            <w:r w:rsidR="001B41B0" w:rsidRPr="004E6412">
              <w:rPr>
                <w:sz w:val="22"/>
              </w:rPr>
              <w:t>,</w:t>
            </w:r>
            <w:r w:rsidRPr="004E6412">
              <w:rPr>
                <w:sz w:val="22"/>
              </w:rPr>
              <w:t>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17.207</w:t>
            </w:r>
          </w:p>
        </w:tc>
        <w:tc>
          <w:tcPr>
            <w:tcW w:w="968" w:type="pct"/>
            <w:shd w:val="clear" w:color="auto" w:fill="auto"/>
            <w:noWrap/>
          </w:tcPr>
          <w:p w:rsidR="001B41B0" w:rsidRPr="004E6412" w:rsidRDefault="001B41B0" w:rsidP="001B41B0">
            <w:pPr>
              <w:jc w:val="right"/>
            </w:pPr>
            <w:r w:rsidRPr="004E6412">
              <w:rPr>
                <w:sz w:val="22"/>
              </w:rPr>
              <w:t>16.646</w:t>
            </w:r>
          </w:p>
        </w:tc>
        <w:tc>
          <w:tcPr>
            <w:tcW w:w="1100" w:type="pct"/>
            <w:shd w:val="clear" w:color="auto" w:fill="auto"/>
            <w:noWrap/>
          </w:tcPr>
          <w:p w:rsidR="001B41B0" w:rsidRPr="004E6412" w:rsidRDefault="001B41B0" w:rsidP="001B41B0">
            <w:pPr>
              <w:jc w:val="right"/>
            </w:pPr>
            <w:r w:rsidRPr="004E6412">
              <w:rPr>
                <w:sz w:val="22"/>
              </w:rPr>
              <w:t>15.275</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3.595.304.817</w:t>
            </w:r>
          </w:p>
        </w:tc>
        <w:tc>
          <w:tcPr>
            <w:tcW w:w="968" w:type="pct"/>
            <w:shd w:val="clear" w:color="auto" w:fill="auto"/>
            <w:noWrap/>
          </w:tcPr>
          <w:p w:rsidR="001B41B0" w:rsidRPr="004E6412" w:rsidRDefault="001B41B0" w:rsidP="001B41B0">
            <w:pPr>
              <w:jc w:val="right"/>
            </w:pPr>
            <w:r w:rsidRPr="004E6412">
              <w:rPr>
                <w:sz w:val="22"/>
              </w:rPr>
              <w:t>3.840.113.656</w:t>
            </w:r>
          </w:p>
        </w:tc>
        <w:tc>
          <w:tcPr>
            <w:tcW w:w="1100" w:type="pct"/>
            <w:shd w:val="clear" w:color="auto" w:fill="auto"/>
            <w:noWrap/>
          </w:tcPr>
          <w:p w:rsidR="001B41B0" w:rsidRPr="004E6412" w:rsidRDefault="001B41B0" w:rsidP="001B41B0">
            <w:pPr>
              <w:jc w:val="right"/>
            </w:pPr>
            <w:r w:rsidRPr="004E6412">
              <w:rPr>
                <w:sz w:val="22"/>
              </w:rPr>
              <w:t>3.595.304.817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219.602.740</w:t>
            </w:r>
          </w:p>
        </w:tc>
        <w:tc>
          <w:tcPr>
            <w:tcW w:w="968" w:type="pct"/>
            <w:shd w:val="clear" w:color="auto" w:fill="auto"/>
            <w:noWrap/>
          </w:tcPr>
          <w:p w:rsidR="001B41B0" w:rsidRPr="004E6412" w:rsidRDefault="001B41B0" w:rsidP="001B41B0">
            <w:pPr>
              <w:jc w:val="right"/>
            </w:pPr>
            <w:r w:rsidRPr="004E6412">
              <w:rPr>
                <w:sz w:val="22"/>
              </w:rPr>
              <w:t>334.926.820</w:t>
            </w:r>
          </w:p>
        </w:tc>
        <w:tc>
          <w:tcPr>
            <w:tcW w:w="1100" w:type="pct"/>
            <w:shd w:val="clear" w:color="auto" w:fill="auto"/>
            <w:noWrap/>
          </w:tcPr>
          <w:p w:rsidR="001B41B0" w:rsidRPr="004E6412" w:rsidRDefault="001B41B0" w:rsidP="001B41B0">
            <w:pPr>
              <w:jc w:val="right"/>
            </w:pPr>
            <w:r w:rsidRPr="004E6412">
              <w:rPr>
                <w:sz w:val="22"/>
              </w:rPr>
              <w:t>212.922.674</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1,61</w:t>
            </w:r>
          </w:p>
        </w:tc>
        <w:tc>
          <w:tcPr>
            <w:tcW w:w="968" w:type="pct"/>
            <w:shd w:val="clear" w:color="auto" w:fill="auto"/>
            <w:noWrap/>
          </w:tcPr>
          <w:p w:rsidR="001B41B0" w:rsidRPr="004E6412" w:rsidRDefault="001B41B0" w:rsidP="001B41B0">
            <w:pPr>
              <w:jc w:val="right"/>
            </w:pPr>
            <w:r w:rsidRPr="004E6412">
              <w:rPr>
                <w:sz w:val="22"/>
              </w:rPr>
              <w:t>4,86</w:t>
            </w:r>
          </w:p>
        </w:tc>
        <w:tc>
          <w:tcPr>
            <w:tcW w:w="1100" w:type="pct"/>
            <w:shd w:val="clear" w:color="auto" w:fill="auto"/>
            <w:noWrap/>
          </w:tcPr>
          <w:p w:rsidR="001B41B0" w:rsidRPr="004E6412" w:rsidRDefault="001B41B0" w:rsidP="001B41B0">
            <w:pPr>
              <w:jc w:val="right"/>
            </w:pPr>
            <w:r w:rsidRPr="004E6412">
              <w:rPr>
                <w:sz w:val="22"/>
              </w:rPr>
              <w:t>1,11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208.944</w:t>
            </w:r>
          </w:p>
        </w:tc>
        <w:tc>
          <w:tcPr>
            <w:tcW w:w="968" w:type="pct"/>
            <w:shd w:val="clear" w:color="auto" w:fill="auto"/>
            <w:noWrap/>
          </w:tcPr>
          <w:p w:rsidR="001B41B0" w:rsidRPr="004E6412" w:rsidRDefault="001B41B0" w:rsidP="001B41B0">
            <w:pPr>
              <w:jc w:val="right"/>
            </w:pPr>
            <w:r w:rsidRPr="004E6412">
              <w:rPr>
                <w:sz w:val="22"/>
              </w:rPr>
              <w:t>230.693</w:t>
            </w:r>
          </w:p>
        </w:tc>
        <w:tc>
          <w:tcPr>
            <w:tcW w:w="1100" w:type="pct"/>
            <w:shd w:val="clear" w:color="auto" w:fill="auto"/>
            <w:noWrap/>
          </w:tcPr>
          <w:p w:rsidR="001B41B0" w:rsidRPr="004E6412" w:rsidRDefault="001B41B0" w:rsidP="001B41B0">
            <w:pPr>
              <w:jc w:val="right"/>
            </w:pPr>
            <w:r w:rsidRPr="004E6412">
              <w:rPr>
                <w:sz w:val="22"/>
              </w:rPr>
              <w:t>247.671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1.269.554.524</w:t>
            </w:r>
          </w:p>
        </w:tc>
        <w:tc>
          <w:tcPr>
            <w:tcW w:w="968" w:type="pct"/>
            <w:shd w:val="clear" w:color="auto" w:fill="auto"/>
            <w:noWrap/>
          </w:tcPr>
          <w:p w:rsidR="001B41B0" w:rsidRPr="004E6412" w:rsidRDefault="001B41B0" w:rsidP="001B41B0">
            <w:pPr>
              <w:jc w:val="right"/>
            </w:pPr>
            <w:r w:rsidRPr="004E6412">
              <w:rPr>
                <w:sz w:val="22"/>
              </w:rPr>
              <w:t>1.335.617.584</w:t>
            </w:r>
          </w:p>
        </w:tc>
        <w:tc>
          <w:tcPr>
            <w:tcW w:w="1100" w:type="pct"/>
            <w:shd w:val="clear" w:color="auto" w:fill="auto"/>
            <w:noWrap/>
          </w:tcPr>
          <w:p w:rsidR="001B41B0" w:rsidRPr="004E6412" w:rsidRDefault="001B41B0" w:rsidP="001B41B0">
            <w:pPr>
              <w:jc w:val="right"/>
            </w:pPr>
            <w:r w:rsidRPr="004E6412">
              <w:rPr>
                <w:sz w:val="22"/>
              </w:rPr>
              <w:t>1.141.238.931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14.208</w:t>
            </w:r>
          </w:p>
        </w:tc>
        <w:tc>
          <w:tcPr>
            <w:tcW w:w="968" w:type="pct"/>
            <w:shd w:val="clear" w:color="auto" w:fill="auto"/>
            <w:noWrap/>
          </w:tcPr>
          <w:p w:rsidR="001B41B0" w:rsidRPr="004E6412" w:rsidRDefault="001B41B0" w:rsidP="001B41B0">
            <w:pPr>
              <w:jc w:val="right"/>
            </w:pPr>
            <w:r w:rsidRPr="004E6412">
              <w:rPr>
                <w:sz w:val="22"/>
              </w:rPr>
              <w:t>16.875</w:t>
            </w:r>
          </w:p>
        </w:tc>
        <w:tc>
          <w:tcPr>
            <w:tcW w:w="1100" w:type="pct"/>
            <w:shd w:val="clear" w:color="auto" w:fill="auto"/>
            <w:noWrap/>
          </w:tcPr>
          <w:p w:rsidR="001B41B0" w:rsidRPr="004E6412" w:rsidRDefault="001B41B0" w:rsidP="001B41B0">
            <w:pPr>
              <w:jc w:val="right"/>
            </w:pPr>
            <w:r w:rsidRPr="004E6412">
              <w:rPr>
                <w:sz w:val="22"/>
              </w:rPr>
              <w:t>17.078</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16.737</w:t>
            </w:r>
          </w:p>
        </w:tc>
        <w:tc>
          <w:tcPr>
            <w:tcW w:w="968" w:type="pct"/>
            <w:shd w:val="clear" w:color="auto" w:fill="FFFFFF"/>
            <w:noWrap/>
          </w:tcPr>
          <w:p w:rsidR="001B41B0" w:rsidRPr="004E6412" w:rsidRDefault="001B41B0" w:rsidP="001B41B0">
            <w:pPr>
              <w:jc w:val="right"/>
            </w:pPr>
            <w:r w:rsidRPr="004E6412">
              <w:rPr>
                <w:sz w:val="22"/>
              </w:rPr>
              <w:t>11.393</w:t>
            </w:r>
          </w:p>
        </w:tc>
        <w:tc>
          <w:tcPr>
            <w:tcW w:w="1100" w:type="pct"/>
            <w:shd w:val="clear" w:color="auto" w:fill="FFFFFF"/>
            <w:noWrap/>
          </w:tcPr>
          <w:p w:rsidR="001B41B0" w:rsidRPr="004E6412" w:rsidRDefault="001B41B0" w:rsidP="001B41B0">
            <w:pPr>
              <w:jc w:val="right"/>
            </w:pPr>
            <w:r w:rsidRPr="004E6412">
              <w:rPr>
                <w:sz w:val="22"/>
              </w:rPr>
              <w:t>21.516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1,941</w:t>
            </w:r>
          </w:p>
        </w:tc>
        <w:tc>
          <w:tcPr>
            <w:tcW w:w="968" w:type="pct"/>
            <w:shd w:val="clear" w:color="auto" w:fill="FFFFFF"/>
            <w:noWrap/>
          </w:tcPr>
          <w:p w:rsidR="001B41B0" w:rsidRPr="004E6412" w:rsidRDefault="001B41B0" w:rsidP="001B41B0">
            <w:pPr>
              <w:jc w:val="right"/>
            </w:pPr>
            <w:r w:rsidRPr="004E6412">
              <w:rPr>
                <w:sz w:val="22"/>
              </w:rPr>
              <w:t>1,646</w:t>
            </w:r>
          </w:p>
        </w:tc>
        <w:tc>
          <w:tcPr>
            <w:tcW w:w="1100" w:type="pct"/>
            <w:shd w:val="clear" w:color="auto" w:fill="FFFFFF"/>
            <w:noWrap/>
          </w:tcPr>
          <w:p w:rsidR="001B41B0" w:rsidRPr="004E6412" w:rsidRDefault="001B41B0" w:rsidP="001B41B0">
            <w:pPr>
              <w:jc w:val="right"/>
            </w:pPr>
            <w:r w:rsidRPr="004E6412">
              <w:rPr>
                <w:sz w:val="22"/>
              </w:rPr>
              <w:t>3,152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939.799.573</w:t>
            </w:r>
          </w:p>
        </w:tc>
        <w:tc>
          <w:tcPr>
            <w:tcW w:w="968" w:type="pct"/>
            <w:shd w:val="clear" w:color="auto" w:fill="auto"/>
            <w:noWrap/>
          </w:tcPr>
          <w:p w:rsidR="001B41B0" w:rsidRPr="004E6412" w:rsidRDefault="001B41B0" w:rsidP="001B41B0">
            <w:pPr>
              <w:jc w:val="right"/>
            </w:pPr>
            <w:r w:rsidRPr="004E6412">
              <w:rPr>
                <w:sz w:val="22"/>
              </w:rPr>
              <w:t>886.334.014</w:t>
            </w:r>
          </w:p>
        </w:tc>
        <w:tc>
          <w:tcPr>
            <w:tcW w:w="1100" w:type="pct"/>
            <w:shd w:val="clear" w:color="auto" w:fill="auto"/>
            <w:noWrap/>
          </w:tcPr>
          <w:p w:rsidR="001B41B0" w:rsidRPr="004E6412" w:rsidRDefault="001B41B0" w:rsidP="001B41B0">
            <w:pPr>
              <w:jc w:val="right"/>
            </w:pPr>
            <w:r w:rsidRPr="004E6412">
              <w:rPr>
                <w:sz w:val="22"/>
              </w:rPr>
              <w:t>1.578.993.546</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53,91</w:t>
            </w:r>
          </w:p>
        </w:tc>
        <w:tc>
          <w:tcPr>
            <w:tcW w:w="968" w:type="pct"/>
            <w:shd w:val="clear" w:color="auto" w:fill="auto"/>
            <w:noWrap/>
          </w:tcPr>
          <w:p w:rsidR="001B41B0" w:rsidRPr="004E6412" w:rsidRDefault="001B41B0" w:rsidP="001B41B0">
            <w:pPr>
              <w:jc w:val="right"/>
            </w:pPr>
            <w:r w:rsidRPr="004E6412">
              <w:rPr>
                <w:sz w:val="22"/>
              </w:rPr>
              <w:t>58,83</w:t>
            </w:r>
          </w:p>
        </w:tc>
        <w:tc>
          <w:tcPr>
            <w:tcW w:w="1100" w:type="pct"/>
            <w:shd w:val="clear" w:color="auto" w:fill="auto"/>
            <w:noWrap/>
          </w:tcPr>
          <w:p w:rsidR="001B41B0" w:rsidRPr="004E6412" w:rsidRDefault="001B41B0" w:rsidP="001B41B0">
            <w:pPr>
              <w:jc w:val="right"/>
            </w:pPr>
            <w:r w:rsidRPr="004E6412">
              <w:rPr>
                <w:sz w:val="22"/>
              </w:rPr>
              <w:t>61,13</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1,114</w:t>
            </w:r>
          </w:p>
        </w:tc>
        <w:tc>
          <w:tcPr>
            <w:tcW w:w="968" w:type="pct"/>
            <w:shd w:val="clear" w:color="auto" w:fill="auto"/>
            <w:noWrap/>
          </w:tcPr>
          <w:p w:rsidR="001B41B0" w:rsidRPr="004E6412" w:rsidRDefault="001B41B0" w:rsidP="001B41B0">
            <w:pPr>
              <w:jc w:val="right"/>
            </w:pPr>
            <w:r w:rsidRPr="004E6412">
              <w:rPr>
                <w:sz w:val="22"/>
              </w:rPr>
              <w:t>0,875</w:t>
            </w:r>
          </w:p>
        </w:tc>
        <w:tc>
          <w:tcPr>
            <w:tcW w:w="1100" w:type="pct"/>
            <w:shd w:val="clear" w:color="auto" w:fill="auto"/>
            <w:noWrap/>
          </w:tcPr>
          <w:p w:rsidR="001B41B0" w:rsidRPr="004E6412" w:rsidRDefault="001B41B0" w:rsidP="001B41B0">
            <w:pPr>
              <w:jc w:val="right"/>
            </w:pPr>
            <w:r w:rsidRPr="004E6412">
              <w:rPr>
                <w:sz w:val="22"/>
              </w:rPr>
              <w:t>2,080</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BDV</w:t>
            </w:r>
            <w:r w:rsidR="00B83698"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3,19</w:t>
            </w:r>
          </w:p>
        </w:tc>
        <w:tc>
          <w:tcPr>
            <w:tcW w:w="968" w:type="pct"/>
            <w:shd w:val="clear" w:color="auto" w:fill="auto"/>
            <w:noWrap/>
          </w:tcPr>
          <w:p w:rsidR="001B41B0" w:rsidRPr="004E6412" w:rsidRDefault="001B41B0" w:rsidP="001B41B0">
            <w:pPr>
              <w:jc w:val="right"/>
            </w:pPr>
            <w:r w:rsidRPr="004E6412">
              <w:rPr>
                <w:sz w:val="22"/>
              </w:rPr>
              <w:t>2,88</w:t>
            </w:r>
          </w:p>
        </w:tc>
        <w:tc>
          <w:tcPr>
            <w:tcW w:w="1100" w:type="pct"/>
            <w:shd w:val="clear" w:color="auto" w:fill="auto"/>
            <w:noWrap/>
          </w:tcPr>
          <w:p w:rsidR="001B41B0" w:rsidRPr="004E6412" w:rsidRDefault="001B41B0" w:rsidP="001B41B0">
            <w:pPr>
              <w:jc w:val="right"/>
            </w:pPr>
            <w:r w:rsidRPr="004E6412">
              <w:rPr>
                <w:sz w:val="22"/>
              </w:rPr>
              <w:t>2,49</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0,680</w:t>
            </w:r>
          </w:p>
        </w:tc>
        <w:tc>
          <w:tcPr>
            <w:tcW w:w="968" w:type="pct"/>
            <w:shd w:val="clear" w:color="auto" w:fill="auto"/>
            <w:noWrap/>
          </w:tcPr>
          <w:p w:rsidR="001B41B0" w:rsidRPr="004E6412" w:rsidRDefault="001B41B0" w:rsidP="001B41B0">
            <w:pPr>
              <w:jc w:val="right"/>
            </w:pPr>
            <w:r w:rsidRPr="004E6412">
              <w:rPr>
                <w:sz w:val="22"/>
              </w:rPr>
              <w:t>0,756</w:t>
            </w:r>
          </w:p>
        </w:tc>
        <w:tc>
          <w:tcPr>
            <w:tcW w:w="1100" w:type="pct"/>
            <w:shd w:val="clear" w:color="auto" w:fill="auto"/>
            <w:noWrap/>
          </w:tcPr>
          <w:p w:rsidR="001B41B0" w:rsidRPr="004E6412" w:rsidRDefault="001B41B0" w:rsidP="001B41B0">
            <w:pPr>
              <w:jc w:val="right"/>
            </w:pPr>
            <w:r w:rsidRPr="004E6412">
              <w:rPr>
                <w:sz w:val="22"/>
              </w:rPr>
              <w:t>0,482</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rada (HRK)</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73.781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80.237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74.713</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kapitala</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0,51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0,47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0,42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0,70</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0,62</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BA701E" w:rsidRPr="004E6412" w:rsidRDefault="00BA701E" w:rsidP="00BA701E">
      <w:pPr>
        <w:rPr>
          <w:lang w:eastAsia="hr-HR"/>
        </w:rPr>
      </w:pPr>
    </w:p>
    <w:p w:rsidR="00BA701E" w:rsidRPr="004E6412" w:rsidRDefault="00BA701E">
      <w:pPr>
        <w:spacing w:after="200"/>
        <w:jc w:val="left"/>
        <w:rPr>
          <w:rFonts w:eastAsia="Times New Roman"/>
          <w:b/>
          <w:bCs/>
          <w:color w:val="4F81BD"/>
          <w:sz w:val="18"/>
          <w:szCs w:val="18"/>
          <w:lang w:eastAsia="hr-HR"/>
        </w:rPr>
      </w:pPr>
      <w:bookmarkStart w:id="451" w:name="_Toc372088142"/>
      <w:r w:rsidRPr="004E6412">
        <w:br w:type="page"/>
      </w:r>
    </w:p>
    <w:p w:rsidR="001B41B0" w:rsidRPr="007D0CFD" w:rsidRDefault="001B41B0" w:rsidP="007D0CFD">
      <w:pPr>
        <w:pStyle w:val="Heading5"/>
        <w:rPr>
          <w:rStyle w:val="IntenseEmphasis"/>
          <w:b/>
          <w:bCs w:val="0"/>
          <w:iCs w:val="0"/>
          <w:color w:val="548DD4" w:themeColor="text2" w:themeTint="99"/>
          <w:sz w:val="20"/>
        </w:rPr>
      </w:pPr>
      <w:bookmarkStart w:id="452" w:name="_Toc377551077"/>
      <w:bookmarkStart w:id="453" w:name="_Toc377635266"/>
      <w:r w:rsidRPr="007D0CFD">
        <w:rPr>
          <w:rStyle w:val="IntenseEmphasis"/>
          <w:b/>
          <w:bCs w:val="0"/>
          <w:iCs w:val="0"/>
          <w:color w:val="548DD4" w:themeColor="text2" w:themeTint="99"/>
          <w:sz w:val="20"/>
        </w:rPr>
        <w:lastRenderedPageBreak/>
        <w:t xml:space="preserve">Tablica </w:t>
      </w:r>
      <w:r w:rsidR="00A40A60" w:rsidRPr="007D0CFD">
        <w:rPr>
          <w:rStyle w:val="IntenseEmphasis"/>
          <w:b/>
          <w:bCs w:val="0"/>
          <w:iCs w:val="0"/>
          <w:color w:val="548DD4" w:themeColor="text2" w:themeTint="99"/>
          <w:sz w:val="20"/>
        </w:rPr>
        <w:t>65</w:t>
      </w:r>
      <w:r w:rsidRPr="007D0CFD">
        <w:rPr>
          <w:rStyle w:val="IntenseEmphasis"/>
          <w:b/>
          <w:bCs w:val="0"/>
          <w:iCs w:val="0"/>
          <w:color w:val="548DD4" w:themeColor="text2" w:themeTint="99"/>
          <w:sz w:val="20"/>
        </w:rPr>
        <w:t>. Kvalitativni pokazatelji (C14)</w:t>
      </w:r>
      <w:bookmarkEnd w:id="451"/>
      <w:bookmarkEnd w:id="452"/>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B8369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B83698" w:rsidRPr="004E6412">
              <w:rPr>
                <w:sz w:val="22"/>
              </w:rPr>
              <w:t xml:space="preserve"> kapitalu. Dostupna je prikladna</w:t>
            </w:r>
            <w:r w:rsidRPr="004E6412">
              <w:rPr>
                <w:sz w:val="22"/>
              </w:rPr>
              <w:t xml:space="preserve"> radna snaga. Djelatnost velikom većinom zapošljava žene, nižih obrazovnih kvalifikacija. </w:t>
            </w:r>
            <w:r w:rsidR="00383A13" w:rsidRPr="004E6412">
              <w:rPr>
                <w:sz w:val="22"/>
              </w:rPr>
              <w:t>P</w:t>
            </w:r>
            <w:r w:rsidR="00B83698" w:rsidRPr="004E6412">
              <w:rPr>
                <w:sz w:val="22"/>
              </w:rPr>
              <w:t>roizvodnost</w:t>
            </w:r>
            <w:r w:rsidRPr="004E6412">
              <w:rPr>
                <w:sz w:val="22"/>
              </w:rPr>
              <w:t xml:space="preserve"> rada</w:t>
            </w:r>
            <w:r w:rsidR="00383A13" w:rsidRPr="004E6412">
              <w:rPr>
                <w:sz w:val="22"/>
              </w:rPr>
              <w:t xml:space="preserve"> varira, ali pok</w:t>
            </w:r>
            <w:r w:rsidR="00B83698" w:rsidRPr="004E6412">
              <w:rPr>
                <w:sz w:val="22"/>
              </w:rPr>
              <w:t>azuje rast u promatranom razdoblju</w:t>
            </w:r>
            <w:r w:rsidRPr="004E6412">
              <w:rPr>
                <w:sz w:val="22"/>
              </w:rPr>
              <w:t xml:space="preserve">. Nedovoljna dostupnost domaćih sirovina za proizvodnju.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Rastuća je potražnja za asortimanom ove djelatnosti, no zahtjevi kupac</w:t>
            </w:r>
            <w:r w:rsidR="00B83698" w:rsidRPr="004E6412">
              <w:rPr>
                <w:sz w:val="22"/>
              </w:rPr>
              <w:t xml:space="preserve">a </w:t>
            </w:r>
            <w:r w:rsidRPr="004E6412">
              <w:rPr>
                <w:sz w:val="22"/>
              </w:rPr>
              <w:t>sve</w:t>
            </w:r>
            <w:r w:rsidR="00B83698" w:rsidRPr="004E6412">
              <w:rPr>
                <w:sz w:val="22"/>
              </w:rPr>
              <w:t xml:space="preserve"> su</w:t>
            </w:r>
            <w:r w:rsidRPr="004E6412">
              <w:rPr>
                <w:sz w:val="22"/>
              </w:rPr>
              <w:t xml:space="preserve"> veći i brzo se mijenjaju. Porast ulaska stranih proizvođača na tržište, s nižim cijenama, prvenstveno azijskih.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 odnosno marketinške aktivnosti.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w:t>
            </w:r>
            <w:r w:rsidR="00B83698" w:rsidRPr="004E6412">
              <w:rPr>
                <w:sz w:val="22"/>
              </w:rPr>
              <w:t xml:space="preserve"> značajna zakonska ograničenja. </w:t>
            </w:r>
            <w:r w:rsidRPr="004E6412">
              <w:rPr>
                <w:sz w:val="22"/>
              </w:rPr>
              <w:t xml:space="preserve">Propisi koji omogućuju otvaranje tržišta, posebno azijskim zemljama, ograničavaju razvoj domaće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5 poduzeća ostvaruje oko 80% ukupnog uvoza, 11 poduzeća ostvaruje gotovo oko 80%</w:t>
            </w:r>
            <w:r w:rsidR="00B83698" w:rsidRPr="004E6412">
              <w:rPr>
                <w:sz w:val="22"/>
              </w:rPr>
              <w:t xml:space="preserve"> ukupnog izvoza djelatnosti, a</w:t>
            </w:r>
            <w:r w:rsidRPr="004E6412">
              <w:rPr>
                <w:sz w:val="22"/>
              </w:rPr>
              <w:t xml:space="preserve"> </w:t>
            </w:r>
            <w:r w:rsidR="00B83698" w:rsidRPr="004E6412">
              <w:rPr>
                <w:sz w:val="22"/>
              </w:rPr>
              <w:t>37 od ukupno 514 poduzeća ostvaruje</w:t>
            </w:r>
            <w:r w:rsidRPr="004E6412">
              <w:rPr>
                <w:sz w:val="22"/>
              </w:rPr>
              <w:t xml:space="preserve"> oko 80% ukupnih prihoda djelatnosti. </w:t>
            </w:r>
            <w:r w:rsidRPr="004E6412">
              <w:rPr>
                <w:sz w:val="22"/>
                <w:highlight w:val="yellow"/>
              </w:rPr>
              <w:t xml:space="preserv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ali je izvoz vrlo koncentriran, unatoč blagom trendu rasta udjela izvoza u ukupnim prihodima. Nedovoljna razvijenost domaćih</w:t>
            </w:r>
            <w:r w:rsidR="00B83698" w:rsidRPr="004E6412">
              <w:rPr>
                <w:sz w:val="22"/>
              </w:rPr>
              <w:t xml:space="preserve"> robnih marki. Pokazatelj RCA </w:t>
            </w:r>
            <w:r w:rsidRPr="004E6412">
              <w:rPr>
                <w:sz w:val="22"/>
              </w:rPr>
              <w:t xml:space="preserve">veći </w:t>
            </w:r>
            <w:r w:rsidR="00B83698" w:rsidRPr="004E6412">
              <w:rPr>
                <w:sz w:val="22"/>
              </w:rPr>
              <w:t xml:space="preserve">je </w:t>
            </w:r>
            <w:r w:rsidRPr="004E6412">
              <w:rPr>
                <w:sz w:val="22"/>
              </w:rPr>
              <w:t>od 1</w:t>
            </w:r>
            <w:r w:rsidR="00B83698" w:rsidRPr="004E6412">
              <w:rPr>
                <w:sz w:val="22"/>
              </w:rPr>
              <w:t>,</w:t>
            </w:r>
            <w:r w:rsidRPr="004E6412">
              <w:rPr>
                <w:sz w:val="22"/>
              </w:rPr>
              <w:t xml:space="preserve"> što znači da se ost</w:t>
            </w:r>
            <w:r w:rsidR="00B83698" w:rsidRPr="004E6412">
              <w:rPr>
                <w:sz w:val="22"/>
              </w:rPr>
              <w:t>varuje relativna usporedna</w:t>
            </w:r>
            <w:r w:rsidRPr="004E6412">
              <w:rPr>
                <w:sz w:val="22"/>
              </w:rPr>
              <w:t xml:space="preserve"> prednost. Izražen izvozni potencijal u okviru djelatnosti ima poddjelatnost C14.3 Proizvodnja pletene i kukičane odjeće.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je nizak, osim u poddjelatnosti C14.3 Proizvodnja pletene i kukičane odjeće koja ima potencij</w:t>
            </w:r>
            <w:r w:rsidR="00B83698" w:rsidRPr="004E6412">
              <w:rPr>
                <w:sz w:val="22"/>
              </w:rPr>
              <w:t>al rasta. Na razini djelatnosti uočava se</w:t>
            </w:r>
            <w:r w:rsidRPr="004E6412">
              <w:rPr>
                <w:sz w:val="22"/>
              </w:rPr>
              <w:t xml:space="preserve"> smanjenje broja zaposlenih. Usmjerenost na doradne poslove. Nedovoljna razvijenost prodajne mreže. Daljnji rast iziskuje značajna ulaganja u marketing, tehnologiju</w:t>
            </w:r>
            <w:r w:rsidR="00B83698" w:rsidRPr="004E6412">
              <w:rPr>
                <w:sz w:val="22"/>
              </w:rPr>
              <w:t xml:space="preserve"> i slično, te stvaranje krajnjih</w:t>
            </w:r>
            <w:r w:rsidRPr="004E6412">
              <w:rPr>
                <w:sz w:val="22"/>
              </w:rPr>
              <w:t xml:space="preserve"> proizv</w:t>
            </w:r>
            <w:r w:rsidR="00B83698" w:rsidRPr="004E6412">
              <w:rPr>
                <w:sz w:val="22"/>
              </w:rPr>
              <w:t>oda veće dodane vrijednosti. D</w:t>
            </w:r>
            <w:r w:rsidRPr="004E6412">
              <w:rPr>
                <w:sz w:val="22"/>
              </w:rPr>
              <w:t>jelatnost je visoko zadužena.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54" w:name="_Toc365992534"/>
      <w:bookmarkStart w:id="455" w:name="_Toc366152981"/>
      <w:bookmarkStart w:id="456" w:name="_Toc366154272"/>
      <w:bookmarkStart w:id="457" w:name="_Toc366154392"/>
      <w:bookmarkStart w:id="458" w:name="_Toc366409935"/>
      <w:bookmarkStart w:id="459" w:name="_Toc372087992"/>
      <w:bookmarkStart w:id="460" w:name="_Toc378069053"/>
      <w:r w:rsidRPr="004E6412">
        <w:rPr>
          <w:rFonts w:eastAsia="Calibri"/>
        </w:rPr>
        <w:lastRenderedPageBreak/>
        <w:t>C</w:t>
      </w:r>
      <w:r w:rsidRPr="004E6412">
        <w:t>15 Proizvodnja kože i srodnih proizvoda</w:t>
      </w:r>
      <w:bookmarkEnd w:id="454"/>
      <w:bookmarkEnd w:id="455"/>
      <w:bookmarkEnd w:id="456"/>
      <w:bookmarkEnd w:id="457"/>
      <w:bookmarkEnd w:id="458"/>
      <w:bookmarkEnd w:id="459"/>
      <w:bookmarkEnd w:id="460"/>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sz w:val="22"/>
        </w:rPr>
        <w:t>Proizvodnja kože i srodnih proizvoda (C15) obuhvaća poddjelatnost š</w:t>
      </w:r>
      <w:r w:rsidR="0093664D" w:rsidRPr="004E6412">
        <w:rPr>
          <w:rFonts w:eastAsia="Times New Roman"/>
          <w:sz w:val="22"/>
          <w:lang w:eastAsia="hr-HR"/>
        </w:rPr>
        <w:t>tavljenja i obrade</w:t>
      </w:r>
      <w:r w:rsidRPr="004E6412">
        <w:rPr>
          <w:rFonts w:eastAsia="Times New Roman"/>
          <w:sz w:val="22"/>
          <w:lang w:eastAsia="hr-HR"/>
        </w:rPr>
        <w:t xml:space="preserve"> kože; proizvodnje putnih i ručnih torba, sedlarskih i remenarskih proizvoda; dorade i bojenja krzna (C15.1) i proizvodnju obuće (C15.2).</w:t>
      </w:r>
    </w:p>
    <w:p w:rsidR="001B41B0" w:rsidRPr="004E6412" w:rsidRDefault="001B41B0" w:rsidP="001B41B0">
      <w:pPr>
        <w:pStyle w:val="Heading3"/>
      </w:pPr>
    </w:p>
    <w:p w:rsidR="001B41B0" w:rsidRPr="004E6412" w:rsidRDefault="001B41B0" w:rsidP="00D001B9">
      <w:pPr>
        <w:pStyle w:val="Heading3"/>
      </w:pPr>
      <w:bookmarkStart w:id="461" w:name="_Toc365992535"/>
      <w:bookmarkStart w:id="462" w:name="_Toc366154273"/>
      <w:bookmarkStart w:id="463" w:name="_Toc366154393"/>
      <w:bookmarkStart w:id="464" w:name="_Toc366409936"/>
      <w:bookmarkStart w:id="465" w:name="_Toc372087993"/>
      <w:bookmarkStart w:id="466" w:name="_Toc378069054"/>
      <w:r w:rsidRPr="004E6412">
        <w:t>Globalni trendovi razvoja</w:t>
      </w:r>
      <w:bookmarkEnd w:id="461"/>
      <w:bookmarkEnd w:id="462"/>
      <w:bookmarkEnd w:id="463"/>
      <w:bookmarkEnd w:id="464"/>
      <w:bookmarkEnd w:id="465"/>
      <w:bookmarkEnd w:id="466"/>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Obuća je glavni izvor rasta globalne proizvodnje kože i srodnih proizvoda. Udio proizvodnje kože i kožne odjeće u ovoj industrijskoj djelatnosti je u padu, dok je udio ostalih segmenata proizvodnje u porastu. Očekuje se porast obujma trgovine kožom i srodnim proizvodima za 6% godišnje do 2020., kada će izvoz obuće činiti 60% izvoza industrijske djelatnosti, a druga poddjelatnost po važnosti bit će kožni proizvodi.</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eastAsia="Times New Roman" w:hAnsi="Times New Roman"/>
          <w:lang w:eastAsia="hr-HR"/>
        </w:rPr>
      </w:pPr>
      <w:r w:rsidRPr="004E6412">
        <w:rPr>
          <w:rFonts w:ascii="Times New Roman" w:hAnsi="Times New Roman"/>
        </w:rPr>
        <w:t>Proizvodnja kože i srodnih proizvod</w:t>
      </w:r>
      <w:r w:rsidR="00E42F31" w:rsidRPr="004E6412">
        <w:rPr>
          <w:rFonts w:ascii="Times New Roman" w:hAnsi="Times New Roman"/>
        </w:rPr>
        <w:t>a ostvarila je značajan napredak</w:t>
      </w:r>
      <w:r w:rsidRPr="004E6412">
        <w:rPr>
          <w:rFonts w:ascii="Times New Roman" w:hAnsi="Times New Roman"/>
        </w:rPr>
        <w:t xml:space="preserve"> vezano uz zaštitu okoliša. Povećala se primjena </w:t>
      </w:r>
      <w:r w:rsidR="00E42F31" w:rsidRPr="004E6412">
        <w:rPr>
          <w:rFonts w:ascii="Times New Roman" w:hAnsi="Times New Roman"/>
        </w:rPr>
        <w:t>biotehnologije s ciljem smanje</w:t>
      </w:r>
      <w:r w:rsidRPr="004E6412">
        <w:rPr>
          <w:rFonts w:ascii="Times New Roman" w:hAnsi="Times New Roman"/>
        </w:rPr>
        <w:t>nja količine kemikalija prilikom prerade te je primjetan značajan odmak od primjene nerazgradivih proizvoda. Dodatan način s</w:t>
      </w:r>
      <w:r w:rsidR="00E42F31" w:rsidRPr="004E6412">
        <w:rPr>
          <w:rFonts w:ascii="Times New Roman" w:hAnsi="Times New Roman"/>
        </w:rPr>
        <w:t>manjenja onečišćenja je uporaba</w:t>
      </w:r>
      <w:r w:rsidRPr="004E6412">
        <w:rPr>
          <w:rFonts w:ascii="Times New Roman" w:hAnsi="Times New Roman"/>
        </w:rPr>
        <w:t xml:space="preserve"> otpada kao izvora sirovina za proizvodnju. Industrijska djelatnost proizvodnje kože i srodnih proi</w:t>
      </w:r>
      <w:r w:rsidR="00E42F31" w:rsidRPr="004E6412">
        <w:rPr>
          <w:rFonts w:ascii="Times New Roman" w:hAnsi="Times New Roman"/>
        </w:rPr>
        <w:t>zvoda danas je značajno uređena relevantim propisima,</w:t>
      </w:r>
      <w:r w:rsidRPr="004E6412">
        <w:rPr>
          <w:rFonts w:ascii="Times New Roman" w:hAnsi="Times New Roman"/>
        </w:rPr>
        <w:t xml:space="preserve"> što se tiče štetnih emisija poput emisija otpadnih voda, krutih otpada i štetnih tvari u zrak. </w:t>
      </w:r>
      <w:r w:rsidRPr="004E6412">
        <w:rPr>
          <w:rFonts w:ascii="Times New Roman" w:eastAsia="Times New Roman" w:hAnsi="Times New Roman"/>
          <w:lang w:eastAsia="hr-HR"/>
        </w:rPr>
        <w:t>‎Osobi</w:t>
      </w:r>
      <w:r w:rsidR="00E42F31" w:rsidRPr="004E6412">
        <w:rPr>
          <w:rFonts w:ascii="Times New Roman" w:eastAsia="Times New Roman" w:hAnsi="Times New Roman"/>
          <w:lang w:eastAsia="hr-HR"/>
        </w:rPr>
        <w:t>to važno pitanje je reguliranje</w:t>
      </w:r>
      <w:r w:rsidRPr="004E6412">
        <w:rPr>
          <w:rFonts w:ascii="Times New Roman" w:eastAsia="Times New Roman" w:hAnsi="Times New Roman"/>
          <w:lang w:eastAsia="hr-HR"/>
        </w:rPr>
        <w:t xml:space="preserve"> uporabe kroma.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U cjelokupnom prehrambenom lancu, uloga i važnost proizvodnje kože i sro</w:t>
      </w:r>
      <w:r w:rsidR="00E42F31" w:rsidRPr="004E6412">
        <w:rPr>
          <w:rFonts w:ascii="Times New Roman" w:hAnsi="Times New Roman"/>
        </w:rPr>
        <w:t>dnih proizvoda nisu zanemarujuće</w:t>
      </w:r>
      <w:r w:rsidRPr="004E6412">
        <w:rPr>
          <w:rFonts w:ascii="Times New Roman" w:hAnsi="Times New Roman"/>
        </w:rPr>
        <w:t xml:space="preserve"> budući da upravo ova industrijska djelatnost iskorištava i na taj način smanjuje otpadne proizvode prehrambene industrijske djelatnosti. Proizvodnja kože i srodnih proizvoda osigurava višu dodanu vrijednost materijalima u mnogobrojnim lancima vrijednosti, prvenstveno proizvodnji</w:t>
      </w:r>
      <w:r w:rsidR="00E42F31" w:rsidRPr="004E6412">
        <w:rPr>
          <w:rFonts w:ascii="Times New Roman" w:hAnsi="Times New Roman"/>
        </w:rPr>
        <w:t xml:space="preserve"> namještaja, odjevnoj</w:t>
      </w:r>
      <w:r w:rsidRPr="004E6412">
        <w:rPr>
          <w:rFonts w:ascii="Times New Roman" w:hAnsi="Times New Roman"/>
        </w:rPr>
        <w:t xml:space="preserve"> i automobilskoj industriji. </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hAnsi="Times New Roman"/>
          <w:lang w:eastAsia="hr-HR"/>
        </w:rPr>
      </w:pPr>
      <w:r w:rsidRPr="004E6412">
        <w:rPr>
          <w:rFonts w:ascii="Times New Roman" w:hAnsi="Times New Roman"/>
          <w:lang w:eastAsia="hr-HR"/>
        </w:rPr>
        <w:t xml:space="preserve">Glavni tehnološki izazov </w:t>
      </w:r>
      <w:r w:rsidRPr="004E6412">
        <w:rPr>
          <w:rFonts w:ascii="Times New Roman" w:hAnsi="Times New Roman"/>
        </w:rPr>
        <w:t xml:space="preserve">proizvodnje kože i srodnih proizvoda </w:t>
      </w:r>
      <w:r w:rsidR="00E42F31" w:rsidRPr="004E6412">
        <w:rPr>
          <w:rFonts w:ascii="Times New Roman" w:hAnsi="Times New Roman"/>
          <w:lang w:eastAsia="hr-HR"/>
        </w:rPr>
        <w:t>je</w:t>
      </w:r>
      <w:r w:rsidRPr="004E6412">
        <w:rPr>
          <w:rFonts w:ascii="Times New Roman" w:hAnsi="Times New Roman"/>
          <w:lang w:eastAsia="hr-HR"/>
        </w:rPr>
        <w:t xml:space="preserve"> usmjerenost na stvaranje dodane vrijednosti i preoblikovanje proizvoda, procesa, materijala i organizacije u ekološki prihvatljive i održive.</w:t>
      </w:r>
    </w:p>
    <w:p w:rsidR="001B41B0" w:rsidRPr="004E6412" w:rsidRDefault="001B41B0" w:rsidP="001B41B0">
      <w:pPr>
        <w:rPr>
          <w:szCs w:val="24"/>
        </w:rPr>
      </w:pPr>
    </w:p>
    <w:p w:rsidR="001B41B0" w:rsidRPr="004E6412" w:rsidRDefault="001B41B0" w:rsidP="00D001B9">
      <w:pPr>
        <w:pStyle w:val="Heading3"/>
      </w:pPr>
      <w:bookmarkStart w:id="467" w:name="_Toc365992536"/>
      <w:bookmarkStart w:id="468" w:name="_Toc366154274"/>
      <w:bookmarkStart w:id="469" w:name="_Toc366154394"/>
      <w:bookmarkStart w:id="470" w:name="_Toc366409937"/>
      <w:bookmarkStart w:id="471" w:name="_Toc372087994"/>
      <w:bookmarkStart w:id="472" w:name="_Toc378069055"/>
      <w:r w:rsidRPr="004E6412">
        <w:t>Trendovi razvoja u Europskoj uniji</w:t>
      </w:r>
      <w:bookmarkEnd w:id="467"/>
      <w:bookmarkEnd w:id="468"/>
      <w:bookmarkEnd w:id="469"/>
      <w:bookmarkEnd w:id="470"/>
      <w:bookmarkEnd w:id="471"/>
      <w:bookmarkEnd w:id="472"/>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t xml:space="preserve">Europska unija ima važnu ulogu na međunarodnom tržištu kožom. Kako </w:t>
      </w:r>
      <w:r w:rsidR="00E42F31" w:rsidRPr="004E6412">
        <w:rPr>
          <w:rFonts w:ascii="Times New Roman" w:hAnsi="Times New Roman"/>
          <w:lang w:eastAsia="hr-HR"/>
        </w:rPr>
        <w:t>bi osigurala konkurentnost vlastite</w:t>
      </w:r>
      <w:r w:rsidRPr="004E6412">
        <w:rPr>
          <w:rFonts w:ascii="Times New Roman" w:hAnsi="Times New Roman"/>
          <w:lang w:eastAsia="hr-HR"/>
        </w:rPr>
        <w:t xml:space="preserve"> proizvodnje kože i srodnih proizvoda</w:t>
      </w:r>
      <w:r w:rsidR="00E42F31" w:rsidRPr="004E6412">
        <w:rPr>
          <w:rFonts w:ascii="Times New Roman" w:hAnsi="Times New Roman"/>
          <w:lang w:eastAsia="hr-HR"/>
        </w:rPr>
        <w:t>,</w:t>
      </w:r>
      <w:r w:rsidRPr="004E6412">
        <w:rPr>
          <w:rFonts w:ascii="Times New Roman" w:hAnsi="Times New Roman"/>
          <w:lang w:eastAsia="hr-HR"/>
        </w:rPr>
        <w:t xml:space="preserve"> Europske un</w:t>
      </w:r>
      <w:r w:rsidR="00E42F31" w:rsidRPr="004E6412">
        <w:rPr>
          <w:rFonts w:ascii="Times New Roman" w:hAnsi="Times New Roman"/>
          <w:lang w:eastAsia="hr-HR"/>
        </w:rPr>
        <w:t>ija</w:t>
      </w:r>
      <w:r w:rsidRPr="004E6412">
        <w:rPr>
          <w:rFonts w:ascii="Times New Roman" w:hAnsi="Times New Roman"/>
          <w:lang w:eastAsia="hr-HR"/>
        </w:rPr>
        <w:t xml:space="preserve"> radi na smanjivanju pr</w:t>
      </w:r>
      <w:r w:rsidR="00E42F31" w:rsidRPr="004E6412">
        <w:rPr>
          <w:rFonts w:ascii="Times New Roman" w:hAnsi="Times New Roman"/>
          <w:lang w:eastAsia="hr-HR"/>
        </w:rPr>
        <w:t>epreka uvozu sirovina i</w:t>
      </w:r>
      <w:r w:rsidRPr="004E6412">
        <w:rPr>
          <w:rFonts w:ascii="Times New Roman" w:hAnsi="Times New Roman"/>
          <w:lang w:eastAsia="hr-HR"/>
        </w:rPr>
        <w:t xml:space="preserve"> izvozu gotovih proizvoda s ciljem ulaska na inozemna tržišta. Europska </w:t>
      </w:r>
      <w:r w:rsidRPr="004E6412">
        <w:rPr>
          <w:rFonts w:ascii="Times New Roman" w:hAnsi="Times New Roman"/>
        </w:rPr>
        <w:t xml:space="preserve">proizvodnja kože i srodnih proizvoda </w:t>
      </w:r>
      <w:r w:rsidRPr="004E6412">
        <w:rPr>
          <w:rFonts w:ascii="Times New Roman" w:hAnsi="Times New Roman"/>
          <w:lang w:eastAsia="hr-HR"/>
        </w:rPr>
        <w:t>sastoji se od više različitih poddjelatnosti od kojih su neke visoko industrijalizirane, a neke su usmjerene na tradicionalne obrtničke vještine, dok ima i onih koje su usmjerene</w:t>
      </w:r>
      <w:r w:rsidR="00E42F31" w:rsidRPr="004E6412">
        <w:rPr>
          <w:rFonts w:ascii="Times New Roman" w:hAnsi="Times New Roman"/>
          <w:lang w:eastAsia="hr-HR"/>
        </w:rPr>
        <w:t xml:space="preserve"> na trgovinu i ostale prateće</w:t>
      </w:r>
      <w:r w:rsidRPr="004E6412">
        <w:rPr>
          <w:rFonts w:ascii="Times New Roman" w:hAnsi="Times New Roman"/>
          <w:lang w:eastAsia="hr-HR"/>
        </w:rPr>
        <w:t xml:space="preserve"> usluge. Iako se udio </w:t>
      </w:r>
      <w:r w:rsidRPr="004E6412">
        <w:rPr>
          <w:rFonts w:ascii="Times New Roman" w:hAnsi="Times New Roman"/>
        </w:rPr>
        <w:t xml:space="preserve">proizvodnje kože i srodnih proizvoda </w:t>
      </w:r>
      <w:r w:rsidR="00E42F31" w:rsidRPr="004E6412">
        <w:rPr>
          <w:rFonts w:ascii="Times New Roman" w:hAnsi="Times New Roman"/>
          <w:lang w:eastAsia="hr-HR"/>
        </w:rPr>
        <w:t>Europske unije</w:t>
      </w:r>
      <w:r w:rsidRPr="004E6412">
        <w:rPr>
          <w:rFonts w:ascii="Times New Roman" w:hAnsi="Times New Roman"/>
          <w:lang w:eastAsia="hr-HR"/>
        </w:rPr>
        <w:t xml:space="preserve"> na globalnom tržištu smanjuje, ona i dalje predstavlja jednog od najvećih svjetskih proizvođača. Ukupni prihodi od </w:t>
      </w:r>
      <w:r w:rsidRPr="004E6412">
        <w:rPr>
          <w:rFonts w:ascii="Times New Roman" w:hAnsi="Times New Roman"/>
        </w:rPr>
        <w:t xml:space="preserve">proizvodnje kože i srodnih proizvoda </w:t>
      </w:r>
      <w:r w:rsidRPr="004E6412">
        <w:rPr>
          <w:rFonts w:ascii="Times New Roman" w:hAnsi="Times New Roman"/>
          <w:lang w:eastAsia="hr-HR"/>
        </w:rPr>
        <w:t>čine 26,7% ukupnih svjetskih prihoda, što Europu čini drugom u svijetu po ostvarenim prihodima (prva je Kina). Proizvodnja kože i srodnih proizvoda u EU sastavljena je uglavnom od malih i srednjih poduzeća, ali postoje i velika poduzeća u ovoj industrijskoj djelatnosti.</w:t>
      </w:r>
    </w:p>
    <w:p w:rsidR="001B41B0" w:rsidRPr="004E6412" w:rsidRDefault="001B41B0" w:rsidP="001B41B0">
      <w:pPr>
        <w:rPr>
          <w:sz w:val="22"/>
          <w:lang w:eastAsia="hr-HR"/>
        </w:rPr>
      </w:pPr>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lastRenderedPageBreak/>
        <w:t xml:space="preserve">U međunarodnoj razmjeni europski se </w:t>
      </w:r>
      <w:r w:rsidRPr="004E6412">
        <w:rPr>
          <w:rFonts w:ascii="Times New Roman" w:hAnsi="Times New Roman"/>
        </w:rPr>
        <w:t>proizvođači kože i srodnih proizvoda</w:t>
      </w:r>
      <w:r w:rsidRPr="004E6412">
        <w:rPr>
          <w:rFonts w:ascii="Times New Roman" w:hAnsi="Times New Roman"/>
          <w:lang w:eastAsia="hr-HR"/>
        </w:rPr>
        <w:t xml:space="preserve"> susreću s dvije vrste trgovinskih prepreka: prepreke izvozu gotovih proizvoda i prepreke pristupu sirovinama. Najvažnije izvozno tržište je Kina iza koje slijedi SAD. Europski proizvođači kože i srodnih proizvoda izloženi su rastućoj konkurenciji iz mnogih zemalja, uključujući i one s nižim troškovima rada. Očuvanje okoliša i reguliranje proizvodnje kože i srod</w:t>
      </w:r>
      <w:r w:rsidR="00E42F31" w:rsidRPr="004E6412">
        <w:rPr>
          <w:rFonts w:ascii="Times New Roman" w:hAnsi="Times New Roman"/>
          <w:lang w:eastAsia="hr-HR"/>
        </w:rPr>
        <w:t>nih proizvoda u EU definirana su</w:t>
      </w:r>
      <w:r w:rsidRPr="004E6412">
        <w:rPr>
          <w:rFonts w:ascii="Times New Roman" w:hAnsi="Times New Roman"/>
          <w:lang w:eastAsia="hr-HR"/>
        </w:rPr>
        <w:t xml:space="preserve"> Direktivom 96/61/EC o prevenciji </w:t>
      </w:r>
      <w:r w:rsidR="00E42F31" w:rsidRPr="004E6412">
        <w:rPr>
          <w:rFonts w:ascii="Times New Roman" w:hAnsi="Times New Roman"/>
          <w:lang w:eastAsia="hr-HR"/>
        </w:rPr>
        <w:t>i kontroli integriranog zagađe</w:t>
      </w:r>
      <w:r w:rsidRPr="004E6412">
        <w:rPr>
          <w:rFonts w:ascii="Times New Roman" w:hAnsi="Times New Roman"/>
          <w:lang w:eastAsia="hr-HR"/>
        </w:rPr>
        <w:t xml:space="preserve">nja. Obrazovanje i usavršavanje, suvremena </w:t>
      </w:r>
      <w:r w:rsidR="00E42F31" w:rsidRPr="004E6412">
        <w:rPr>
          <w:rFonts w:ascii="Times New Roman" w:hAnsi="Times New Roman"/>
          <w:lang w:eastAsia="hr-HR"/>
        </w:rPr>
        <w:t>oprema i postrojenja, učinkovitost</w:t>
      </w:r>
      <w:r w:rsidRPr="004E6412">
        <w:rPr>
          <w:rFonts w:ascii="Times New Roman" w:hAnsi="Times New Roman"/>
          <w:lang w:eastAsia="hr-HR"/>
        </w:rPr>
        <w:t xml:space="preserve"> procesa, automatiz</w:t>
      </w:r>
      <w:r w:rsidR="00E42F31" w:rsidRPr="004E6412">
        <w:rPr>
          <w:rFonts w:ascii="Times New Roman" w:hAnsi="Times New Roman"/>
          <w:lang w:eastAsia="hr-HR"/>
        </w:rPr>
        <w:t>acija, vrhunska zaštita okoliša te</w:t>
      </w:r>
      <w:r w:rsidRPr="004E6412">
        <w:rPr>
          <w:rFonts w:ascii="Times New Roman" w:hAnsi="Times New Roman"/>
          <w:lang w:eastAsia="hr-HR"/>
        </w:rPr>
        <w:t xml:space="preserve"> društvena odgovornost integralni su dijelovi strategije održivog razvoja europske </w:t>
      </w:r>
      <w:r w:rsidRPr="004E6412">
        <w:rPr>
          <w:rFonts w:ascii="Times New Roman" w:hAnsi="Times New Roman"/>
        </w:rPr>
        <w:t>proizvodnje kože i srodnih proizvoda</w:t>
      </w:r>
      <w:r w:rsidRPr="004E6412">
        <w:rPr>
          <w:rFonts w:ascii="Times New Roman" w:hAnsi="Times New Roman"/>
          <w:lang w:eastAsia="hr-HR"/>
        </w:rPr>
        <w:t>.</w:t>
      </w:r>
    </w:p>
    <w:p w:rsidR="001B41B0" w:rsidRPr="004E6412" w:rsidRDefault="001B41B0" w:rsidP="001B41B0">
      <w:pPr>
        <w:rPr>
          <w:i/>
          <w:szCs w:val="24"/>
        </w:rPr>
      </w:pPr>
    </w:p>
    <w:p w:rsidR="001B41B0" w:rsidRPr="004E6412" w:rsidRDefault="001B41B0" w:rsidP="00D001B9">
      <w:pPr>
        <w:pStyle w:val="Heading3"/>
      </w:pPr>
      <w:bookmarkStart w:id="473" w:name="_Toc365992537"/>
      <w:bookmarkStart w:id="474" w:name="_Toc366154275"/>
      <w:bookmarkStart w:id="475" w:name="_Toc366154395"/>
      <w:bookmarkStart w:id="476" w:name="_Toc366409938"/>
      <w:bookmarkStart w:id="477" w:name="_Toc372087995"/>
      <w:bookmarkStart w:id="478" w:name="_Toc378069056"/>
      <w:r w:rsidRPr="004E6412">
        <w:t>Stanje i perspektive razvoja u Republici Hrvatskoj</w:t>
      </w:r>
      <w:bookmarkEnd w:id="473"/>
      <w:bookmarkEnd w:id="474"/>
      <w:bookmarkEnd w:id="475"/>
      <w:bookmarkEnd w:id="476"/>
      <w:bookmarkEnd w:id="477"/>
      <w:bookmarkEnd w:id="478"/>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i s</w:t>
      </w:r>
      <w:r w:rsidR="00E42F31" w:rsidRPr="004E6412">
        <w:rPr>
          <w:rFonts w:ascii="Times New Roman" w:hAnsi="Times New Roman"/>
        </w:rPr>
        <w:t xml:space="preserve">rodnih proizvoda u Hrvatskoj </w:t>
      </w:r>
      <w:r w:rsidRPr="004E6412">
        <w:rPr>
          <w:rFonts w:ascii="Times New Roman" w:hAnsi="Times New Roman"/>
        </w:rPr>
        <w:t>porasla</w:t>
      </w:r>
      <w:r w:rsidR="00E42F31" w:rsidRPr="004E6412">
        <w:rPr>
          <w:rFonts w:ascii="Times New Roman" w:hAnsi="Times New Roman"/>
        </w:rPr>
        <w:t xml:space="preserve"> je</w:t>
      </w:r>
      <w:r w:rsidRPr="004E6412">
        <w:rPr>
          <w:rFonts w:ascii="Times New Roman" w:hAnsi="Times New Roman"/>
        </w:rPr>
        <w:t xml:space="preserve"> 2011. </w:t>
      </w:r>
      <w:r w:rsidR="00E42F31" w:rsidRPr="004E6412">
        <w:rPr>
          <w:rFonts w:ascii="Times New Roman" w:hAnsi="Times New Roman"/>
        </w:rPr>
        <w:t xml:space="preserve">godine </w:t>
      </w:r>
      <w:r w:rsidRPr="004E6412">
        <w:rPr>
          <w:rFonts w:ascii="Times New Roman" w:hAnsi="Times New Roman"/>
        </w:rPr>
        <w:t>u odnosu na 2010. za 3,4%, a 2012. u odnosu na 2010. pala za 11,4%. Uspoređujući 2012. s 2011., ostvare</w:t>
      </w:r>
      <w:r w:rsidR="00E42F31" w:rsidRPr="004E6412">
        <w:rPr>
          <w:rFonts w:ascii="Times New Roman" w:hAnsi="Times New Roman"/>
        </w:rPr>
        <w:t>n je pad proizvodnje od 14,3%. U p</w:t>
      </w:r>
      <w:r w:rsidRPr="004E6412">
        <w:rPr>
          <w:rFonts w:ascii="Times New Roman" w:hAnsi="Times New Roman"/>
        </w:rPr>
        <w:t>rva četiri mjeseca 2013. ostvaren je pad od 5,8% u odnosu na prva četiri mjese</w:t>
      </w:r>
      <w:r w:rsidR="00E42F31" w:rsidRPr="004E6412">
        <w:rPr>
          <w:rFonts w:ascii="Times New Roman" w:hAnsi="Times New Roman"/>
        </w:rPr>
        <w:t xml:space="preserve">ca 2012. Proizvođačke cijene </w:t>
      </w:r>
      <w:r w:rsidRPr="004E6412">
        <w:rPr>
          <w:rFonts w:ascii="Times New Roman" w:hAnsi="Times New Roman"/>
        </w:rPr>
        <w:t xml:space="preserve">porasle </w:t>
      </w:r>
      <w:r w:rsidR="00E42F31" w:rsidRPr="004E6412">
        <w:rPr>
          <w:rFonts w:ascii="Times New Roman" w:hAnsi="Times New Roman"/>
        </w:rPr>
        <w:t xml:space="preserve">su </w:t>
      </w:r>
      <w:r w:rsidRPr="004E6412">
        <w:rPr>
          <w:rFonts w:ascii="Times New Roman" w:hAnsi="Times New Roman"/>
        </w:rPr>
        <w:t xml:space="preserve">za 5% 2012. u odnosu na 2010., a u travnju 2013. za 4,4 % u odnosu na 2010. </w:t>
      </w:r>
    </w:p>
    <w:p w:rsidR="001B41B0" w:rsidRPr="004E6412" w:rsidRDefault="001B41B0" w:rsidP="001B41B0">
      <w:pPr>
        <w:pStyle w:val="ListParagraph"/>
        <w:spacing w:after="0"/>
        <w:jc w:val="bot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Proizvodnja kože i srodnih proizvoda prema obračunu sati rada zapošljavala je ukupno 8.257, 7.882 i 8.362 zaposlenih </w:t>
      </w:r>
      <w:r w:rsidRPr="004E6412">
        <w:rPr>
          <w:rFonts w:ascii="Times New Roman" w:eastAsia="HelveticaNeueLTPro-BdCn" w:hAnsi="Times New Roman"/>
        </w:rPr>
        <w:t>u razdoblju 2010.</w:t>
      </w:r>
      <w:r w:rsidR="00E42F31"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Broj poduzeća u djelat</w:t>
      </w:r>
      <w:r w:rsidR="00E42F31" w:rsidRPr="004E6412">
        <w:rPr>
          <w:rFonts w:ascii="Times New Roman" w:hAnsi="Times New Roman"/>
        </w:rPr>
        <w:t xml:space="preserve">nosti iznosio je 134 u 2011. i </w:t>
      </w:r>
      <w:r w:rsidRPr="004E6412">
        <w:rPr>
          <w:rFonts w:ascii="Times New Roman" w:hAnsi="Times New Roman"/>
        </w:rPr>
        <w:t>133 u 2012., š</w:t>
      </w:r>
      <w:r w:rsidR="00E42F31" w:rsidRPr="004E6412">
        <w:rPr>
          <w:rFonts w:ascii="Times New Roman" w:hAnsi="Times New Roman"/>
        </w:rPr>
        <w:t>to znači da je prema obračunu sati rada</w:t>
      </w:r>
      <w:r w:rsidRPr="004E6412">
        <w:rPr>
          <w:rFonts w:ascii="Times New Roman" w:hAnsi="Times New Roman"/>
        </w:rPr>
        <w:t xml:space="preserve"> jedno poduzeće u prosjeku zapošljavalo 58,82</w:t>
      </w:r>
      <w:r w:rsidR="00E42F31" w:rsidRPr="004E6412">
        <w:rPr>
          <w:rFonts w:ascii="Times New Roman" w:hAnsi="Times New Roman"/>
        </w:rPr>
        <w:t>,</w:t>
      </w:r>
      <w:r w:rsidRPr="004E6412">
        <w:rPr>
          <w:rFonts w:ascii="Times New Roman" w:hAnsi="Times New Roman"/>
        </w:rPr>
        <w:t xml:space="preserve"> odnosno 62,87 radnika.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Prema analizi najvećih 100 poduzeća po prihodima i metodi ponderirane vrijednosti udjela u kapit</w:t>
      </w:r>
      <w:r w:rsidR="00E42F31" w:rsidRPr="004E6412">
        <w:rPr>
          <w:rFonts w:ascii="Times New Roman" w:hAnsi="Times New Roman"/>
        </w:rPr>
        <w:t>alu, 73% kapitala djelatnosti inozemnog</w:t>
      </w:r>
      <w:r w:rsidRPr="004E6412">
        <w:rPr>
          <w:rFonts w:ascii="Times New Roman" w:hAnsi="Times New Roman"/>
        </w:rPr>
        <w:t>, dok je 26% domaćeg</w:t>
      </w:r>
      <w:r w:rsidR="00E42F31" w:rsidRPr="004E6412">
        <w:rPr>
          <w:rFonts w:ascii="Times New Roman" w:hAnsi="Times New Roman"/>
        </w:rPr>
        <w:t xml:space="preserve"> porijekla</w:t>
      </w:r>
      <w:r w:rsidRPr="004E6412">
        <w:rPr>
          <w:rFonts w:ascii="Times New Roman" w:hAnsi="Times New Roman"/>
        </w:rPr>
        <w:t xml:space="preserve">, a najveći dio inozemnog kapitala nalazi se u 11 najvećih poduzeća. Oko 80% ukupnih prihoda djelatnosti ostvaruje šest poduzeća što ukazuje na snažnu koncentraciju ove djelatnosti.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Ukupna aktiva djelatnosti se u tri promatrane godine sma</w:t>
      </w:r>
      <w:r w:rsidR="00E42F31" w:rsidRPr="004E6412">
        <w:rPr>
          <w:rFonts w:ascii="Times New Roman" w:hAnsi="Times New Roman"/>
        </w:rPr>
        <w:t>njila za gotovo 200 milijuna kuna</w:t>
      </w:r>
      <w:r w:rsidRPr="004E6412">
        <w:rPr>
          <w:rFonts w:ascii="Times New Roman" w:hAnsi="Times New Roman"/>
        </w:rPr>
        <w:t>, uz izuzetak 2011. kada je došlo do malog povećanja u odn</w:t>
      </w:r>
      <w:r w:rsidR="00E42F31" w:rsidRPr="004E6412">
        <w:rPr>
          <w:rFonts w:ascii="Times New Roman" w:hAnsi="Times New Roman"/>
        </w:rPr>
        <w:t>osu na 2010. (oko 21 milijun kuna</w:t>
      </w:r>
      <w:r w:rsidRPr="004E6412">
        <w:rPr>
          <w:rFonts w:ascii="Times New Roman" w:hAnsi="Times New Roman"/>
        </w:rPr>
        <w:t>). U strukturi pasive</w:t>
      </w:r>
      <w:r w:rsidR="00E42F31" w:rsidRPr="004E6412">
        <w:rPr>
          <w:rFonts w:ascii="Times New Roman" w:hAnsi="Times New Roman"/>
        </w:rPr>
        <w:t>,</w:t>
      </w:r>
      <w:r w:rsidRPr="004E6412">
        <w:rPr>
          <w:rFonts w:ascii="Times New Roman" w:hAnsi="Times New Roman"/>
        </w:rPr>
        <w:t xml:space="preserve"> kratkoročne obveze su u sve tri promatrane godine četiri puta veće od dugoročnih obveza. Poduzeća u ovoj djelatnosti najvećim se dijelom financiraju iz kapitala i rezervi, potom kratkoročnim obvezama, a najmanjim dijelom dugoročnim obvezama (dugoročna zaduženost nije izražena). Djelatnost je od pozitivne dobiti 2010., u 2012. završila s gubitkom od 70.470.2</w:t>
      </w:r>
      <w:r w:rsidR="008F46E6" w:rsidRPr="004E6412">
        <w:rPr>
          <w:rFonts w:ascii="Times New Roman" w:hAnsi="Times New Roman"/>
        </w:rPr>
        <w:t>44 kune</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Obujam poslovanja je </w:t>
      </w:r>
      <w:r w:rsidRPr="004E6412">
        <w:rPr>
          <w:rFonts w:ascii="Times New Roman" w:eastAsia="HelveticaNeueLTPro-BdCn" w:hAnsi="Times New Roman"/>
        </w:rPr>
        <w:t>u razdoblju 2010.</w:t>
      </w:r>
      <w:r w:rsidR="008F46E6"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mjeren promjenom poslovnih prihoda i rashoda, povećan za 17,13% (poslovni prihodi) i 15,77% (poslovni rashodi). Oni su činili preko 98% ukupnih prihoda i rashoda. Iako je došlo do povećanog obujma djelatnosti, rashodi su rasli više nego prihodi zbog čega je smanjena profitabilnost. Zarade prije kamata, poreza i amortizacije (EBITDA) su naglo smanjene unatoč visokoj vrijednosti ostvarenoj u </w:t>
      </w:r>
      <w:smartTag w:uri="urn:schemas-microsoft-com:office:smarttags" w:element="metricconverter">
        <w:smartTagPr>
          <w:attr w:name="ProductID" w:val="2011. Stope"/>
        </w:smartTagPr>
        <w:r w:rsidRPr="004E6412">
          <w:rPr>
            <w:rFonts w:ascii="Times New Roman" w:hAnsi="Times New Roman"/>
          </w:rPr>
          <w:t>2011. Stope</w:t>
        </w:r>
      </w:smartTag>
      <w:r w:rsidR="008F46E6" w:rsidRPr="004E6412">
        <w:rPr>
          <w:rFonts w:ascii="Times New Roman" w:hAnsi="Times New Roman"/>
        </w:rPr>
        <w:t xml:space="preserve"> profitabilnosti </w:t>
      </w:r>
      <w:r w:rsidRPr="004E6412">
        <w:rPr>
          <w:rFonts w:ascii="Times New Roman" w:hAnsi="Times New Roman"/>
        </w:rPr>
        <w:t xml:space="preserve">postale </w:t>
      </w:r>
      <w:r w:rsidR="008F46E6" w:rsidRPr="004E6412">
        <w:rPr>
          <w:rFonts w:ascii="Times New Roman" w:hAnsi="Times New Roman"/>
        </w:rPr>
        <w:t xml:space="preserve">su </w:t>
      </w:r>
      <w:r w:rsidRPr="004E6412">
        <w:rPr>
          <w:rFonts w:ascii="Times New Roman" w:hAnsi="Times New Roman"/>
        </w:rPr>
        <w:t>negativne u 2012., uključujući operativnu maržu profita, ROA, ROE i ROI. Stvorena dodana vrijednost i s</w:t>
      </w:r>
      <w:r w:rsidR="008F46E6" w:rsidRPr="004E6412">
        <w:rPr>
          <w:rFonts w:ascii="Times New Roman" w:hAnsi="Times New Roman"/>
        </w:rPr>
        <w:t xml:space="preserve">topa bruto operativnog viška </w:t>
      </w:r>
      <w:r w:rsidRPr="004E6412">
        <w:rPr>
          <w:rFonts w:ascii="Times New Roman" w:hAnsi="Times New Roman"/>
        </w:rPr>
        <w:t xml:space="preserve">također </w:t>
      </w:r>
      <w:r w:rsidR="008F46E6" w:rsidRPr="004E6412">
        <w:rPr>
          <w:rFonts w:ascii="Times New Roman" w:hAnsi="Times New Roman"/>
        </w:rPr>
        <w:t xml:space="preserve">su </w:t>
      </w:r>
      <w:r w:rsidRPr="004E6412">
        <w:rPr>
          <w:rFonts w:ascii="Times New Roman" w:hAnsi="Times New Roman"/>
        </w:rPr>
        <w:t>postale negativne u 2012.</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je strogo izvozna djelatnost jer joj se udio izvoza u ukupnom prihodu kretao od 78,76% u 2010., preko 79,43% u 2011. do 81</w:t>
      </w:r>
      <w:r w:rsidR="008F46E6" w:rsidRPr="004E6412">
        <w:rPr>
          <w:rFonts w:ascii="Times New Roman" w:hAnsi="Times New Roman"/>
        </w:rPr>
        <w:t xml:space="preserve">% 2012. Odnos izvoza i uvoza </w:t>
      </w:r>
      <w:r w:rsidRPr="004E6412">
        <w:rPr>
          <w:rFonts w:ascii="Times New Roman" w:hAnsi="Times New Roman"/>
        </w:rPr>
        <w:t>pozitivan</w:t>
      </w:r>
      <w:r w:rsidR="008F46E6" w:rsidRPr="004E6412">
        <w:rPr>
          <w:rFonts w:ascii="Times New Roman" w:hAnsi="Times New Roman"/>
        </w:rPr>
        <w:t xml:space="preserve"> je</w:t>
      </w:r>
      <w:r w:rsidRPr="004E6412">
        <w:rPr>
          <w:rFonts w:ascii="Times New Roman" w:hAnsi="Times New Roman"/>
        </w:rPr>
        <w:t xml:space="preserve"> u sve tri godine, ali je smanjen prema kraju pro</w:t>
      </w:r>
      <w:r w:rsidR="008F46E6" w:rsidRPr="004E6412">
        <w:rPr>
          <w:rFonts w:ascii="Times New Roman" w:hAnsi="Times New Roman"/>
        </w:rPr>
        <w:t>matranog razdoblja. Usporedne su se</w:t>
      </w:r>
      <w:r w:rsidRPr="004E6412">
        <w:rPr>
          <w:rFonts w:ascii="Times New Roman" w:hAnsi="Times New Roman"/>
        </w:rPr>
        <w:t xml:space="preserve"> prednosti </w:t>
      </w:r>
      <w:r w:rsidRPr="004E6412">
        <w:rPr>
          <w:rFonts w:ascii="Times New Roman" w:hAnsi="Times New Roman"/>
        </w:rPr>
        <w:lastRenderedPageBreak/>
        <w:t>smanjile, no ukupno gledajući</w:t>
      </w:r>
      <w:r w:rsidR="008F46E6" w:rsidRPr="004E6412">
        <w:rPr>
          <w:rFonts w:ascii="Times New Roman" w:hAnsi="Times New Roman"/>
        </w:rPr>
        <w:t xml:space="preserve">, obujam inozemnog trgovanja </w:t>
      </w:r>
      <w:r w:rsidRPr="004E6412">
        <w:rPr>
          <w:rFonts w:ascii="Times New Roman" w:hAnsi="Times New Roman"/>
        </w:rPr>
        <w:t>povećao</w:t>
      </w:r>
      <w:r w:rsidR="008F46E6" w:rsidRPr="004E6412">
        <w:rPr>
          <w:rFonts w:ascii="Times New Roman" w:hAnsi="Times New Roman"/>
        </w:rPr>
        <w:t xml:space="preserve"> se</w:t>
      </w:r>
      <w:r w:rsidRPr="004E6412">
        <w:rPr>
          <w:rFonts w:ascii="Times New Roman" w:hAnsi="Times New Roman"/>
        </w:rPr>
        <w:t xml:space="preserve"> i jasno je da se ova poduzeća sve više okreću inozemnim tržištima.</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BDV je u </w:t>
      </w:r>
      <w:r w:rsidRPr="004E6412">
        <w:rPr>
          <w:rFonts w:ascii="Times New Roman" w:eastAsia="HelveticaNeueLTPro-BdCn" w:hAnsi="Times New Roman"/>
        </w:rPr>
        <w:t>razdoblju 2010.</w:t>
      </w:r>
      <w:r w:rsidR="008F46E6" w:rsidRPr="004E6412">
        <w:rPr>
          <w:rFonts w:ascii="Times New Roman" w:eastAsia="HelveticaNeueLTPro-BdCn" w:hAnsi="Times New Roman"/>
        </w:rPr>
        <w:t xml:space="preserve"> – </w:t>
      </w:r>
      <w:smartTag w:uri="urn:schemas-microsoft-com:office:smarttags" w:element="metricconverter">
        <w:smartTagPr>
          <w:attr w:name="ProductID" w:val="2012. pao"/>
        </w:smartTagPr>
        <w:r w:rsidRPr="004E6412">
          <w:rPr>
            <w:rFonts w:ascii="Times New Roman" w:eastAsia="HelveticaNeueLTPro-BdCn" w:hAnsi="Times New Roman"/>
          </w:rPr>
          <w:t xml:space="preserve">2012. </w:t>
        </w:r>
        <w:r w:rsidR="008F46E6" w:rsidRPr="004E6412">
          <w:rPr>
            <w:rFonts w:ascii="Times New Roman" w:hAnsi="Times New Roman"/>
          </w:rPr>
          <w:t>pao</w:t>
        </w:r>
      </w:smartTag>
      <w:r w:rsidRPr="004E6412">
        <w:rPr>
          <w:rFonts w:ascii="Times New Roman" w:hAnsi="Times New Roman"/>
        </w:rPr>
        <w:t xml:space="preserve"> za 9,36%, unatoč povećanju obujma poslovanja. Razlog se nalazi u vrije</w:t>
      </w:r>
      <w:r w:rsidR="008F46E6" w:rsidRPr="004E6412">
        <w:rPr>
          <w:rFonts w:ascii="Times New Roman" w:hAnsi="Times New Roman"/>
        </w:rPr>
        <w:t>dnosti kumulativnog, objedinjenog</w:t>
      </w:r>
      <w:r w:rsidRPr="004E6412">
        <w:rPr>
          <w:rFonts w:ascii="Times New Roman" w:hAnsi="Times New Roman"/>
        </w:rPr>
        <w:t xml:space="preserve"> gubitka. Udio državnih subvencija i potpora je zanemariv. Prema pokazatelju specijalizacije, ova djelatnost ostvaruje visoku intraindustrijsku razmjenu.</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Proizvodnost rada</w:t>
      </w:r>
      <w:r w:rsidR="008F46E6" w:rsidRPr="004E6412">
        <w:rPr>
          <w:rFonts w:ascii="Times New Roman" w:hAnsi="Times New Roman"/>
        </w:rPr>
        <w:t xml:space="preserve"> </w:t>
      </w:r>
      <w:r w:rsidR="00383A13" w:rsidRPr="004E6412">
        <w:rPr>
          <w:rFonts w:ascii="Times New Roman" w:hAnsi="Times New Roman"/>
        </w:rPr>
        <w:t xml:space="preserve">smanjena </w:t>
      </w:r>
      <w:r w:rsidR="008F46E6" w:rsidRPr="004E6412">
        <w:rPr>
          <w:rFonts w:ascii="Times New Roman" w:hAnsi="Times New Roman"/>
        </w:rPr>
        <w:t xml:space="preserve">je </w:t>
      </w:r>
      <w:r w:rsidR="00383A13" w:rsidRPr="004E6412">
        <w:rPr>
          <w:rFonts w:ascii="Times New Roman" w:hAnsi="Times New Roman"/>
        </w:rPr>
        <w:t xml:space="preserve">u </w:t>
      </w:r>
      <w:r w:rsidR="008F46E6" w:rsidRPr="004E6412">
        <w:rPr>
          <w:rFonts w:ascii="Times New Roman" w:hAnsi="Times New Roman"/>
        </w:rPr>
        <w:t>promatranom trogodišnjem razdoblju</w:t>
      </w:r>
      <w:r w:rsidR="00383A13" w:rsidRPr="004E6412">
        <w:rPr>
          <w:rFonts w:ascii="Times New Roman" w:hAnsi="Times New Roman"/>
        </w:rPr>
        <w:t xml:space="preserve"> </w:t>
      </w:r>
      <w:r w:rsidRPr="004E6412">
        <w:rPr>
          <w:rFonts w:ascii="Times New Roman" w:eastAsia="HelveticaNeueLTPro-BdCn" w:hAnsi="Times New Roman"/>
        </w:rPr>
        <w:t xml:space="preserve">jer se </w:t>
      </w:r>
      <w:r w:rsidR="00383A13" w:rsidRPr="004E6412">
        <w:rPr>
          <w:rFonts w:ascii="Times New Roman" w:eastAsia="HelveticaNeueLTPro-BdCn" w:hAnsi="Times New Roman"/>
        </w:rPr>
        <w:t>povećao</w:t>
      </w:r>
      <w:r w:rsidRPr="004E6412">
        <w:rPr>
          <w:rFonts w:ascii="Times New Roman" w:eastAsia="HelveticaNeueLTPro-BdCn" w:hAnsi="Times New Roman"/>
        </w:rPr>
        <w:t xml:space="preserve"> broj zaposlenih</w:t>
      </w:r>
      <w:r w:rsidR="008F46E6" w:rsidRPr="004E6412">
        <w:rPr>
          <w:rFonts w:ascii="Times New Roman" w:eastAsia="HelveticaNeueLTPro-BdCn" w:hAnsi="Times New Roman"/>
        </w:rPr>
        <w:t xml:space="preserve">, a </w:t>
      </w:r>
      <w:r w:rsidRPr="004E6412">
        <w:rPr>
          <w:rFonts w:ascii="Times New Roman" w:eastAsia="HelveticaNeueLTPro-BdCn" w:hAnsi="Times New Roman"/>
        </w:rPr>
        <w:t xml:space="preserve">istovremeno </w:t>
      </w:r>
      <w:r w:rsidR="008F46E6" w:rsidRPr="004E6412">
        <w:rPr>
          <w:rFonts w:ascii="Times New Roman" w:eastAsia="HelveticaNeueLTPro-BdCn" w:hAnsi="Times New Roman"/>
        </w:rPr>
        <w:t xml:space="preserve">se </w:t>
      </w:r>
      <w:r w:rsidR="00383A13" w:rsidRPr="004E6412">
        <w:rPr>
          <w:rFonts w:ascii="Times New Roman" w:eastAsia="HelveticaNeueLTPro-BdCn" w:hAnsi="Times New Roman"/>
        </w:rPr>
        <w:t>smanjila ostvarena bruto dodana vrijednost</w:t>
      </w:r>
      <w:r w:rsidR="00383A13" w:rsidRPr="004E6412">
        <w:rPr>
          <w:rFonts w:ascii="Times New Roman" w:hAnsi="Times New Roman"/>
        </w:rPr>
        <w:t>.</w:t>
      </w:r>
      <w:r w:rsidR="005A2279" w:rsidRPr="004E6412">
        <w:rPr>
          <w:rFonts w:ascii="Times New Roman" w:hAnsi="Times New Roman"/>
        </w:rPr>
        <w:t xml:space="preserve"> Unatoč padu broja zaposlenih, smanjen</w:t>
      </w:r>
      <w:r w:rsidR="008F46E6" w:rsidRPr="004E6412">
        <w:rPr>
          <w:rFonts w:ascii="Times New Roman" w:hAnsi="Times New Roman"/>
        </w:rPr>
        <w:t xml:space="preserve">e su plaće (odnosno </w:t>
      </w:r>
      <w:r w:rsidR="005A2279" w:rsidRPr="004E6412">
        <w:rPr>
          <w:rFonts w:ascii="Times New Roman" w:hAnsi="Times New Roman"/>
        </w:rPr>
        <w:t>troškovi rada). Jedinični trošak rada ipak nije povećan jer je bruto dodana vrijednost smanjena znatno više od smanjenja troška zaposlenih. Proizvodnost kapitala je pak povećana jer je djelatnost smanjila vrijednost kapitalne imovine za 31,36%, odnosno za proporcionalno veću vrijednost od smanjenja ostva</w:t>
      </w:r>
      <w:r w:rsidR="008F46E6" w:rsidRPr="004E6412">
        <w:rPr>
          <w:rFonts w:ascii="Times New Roman" w:hAnsi="Times New Roman"/>
        </w:rPr>
        <w:t xml:space="preserve">rene bruto dodane vrijednosti. </w:t>
      </w:r>
      <w:r w:rsidR="005A2279" w:rsidRPr="004E6412">
        <w:rPr>
          <w:rFonts w:ascii="Times New Roman" w:hAnsi="Times New Roman"/>
        </w:rPr>
        <w:t>Time je proizvodnost kapitala umjetno povećana.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Analiza likvidnosti pokazuje dobru likvidnost ove djelatnosti. Primjetan je i rast sposobnosti podmirenja obveza. Ko</w:t>
      </w:r>
      <w:r w:rsidR="008F46E6" w:rsidRPr="004E6412">
        <w:rPr>
          <w:rFonts w:ascii="Times New Roman" w:hAnsi="Times New Roman"/>
        </w:rPr>
        <w:t xml:space="preserve">eficijent tekuće likvidnosti </w:t>
      </w:r>
      <w:r w:rsidRPr="004E6412">
        <w:rPr>
          <w:rFonts w:ascii="Times New Roman" w:hAnsi="Times New Roman"/>
        </w:rPr>
        <w:t xml:space="preserve">porastao </w:t>
      </w:r>
      <w:r w:rsidR="008F46E6" w:rsidRPr="004E6412">
        <w:rPr>
          <w:rFonts w:ascii="Times New Roman" w:hAnsi="Times New Roman"/>
        </w:rPr>
        <w:t xml:space="preserve">je </w:t>
      </w:r>
      <w:r w:rsidRPr="004E6412">
        <w:rPr>
          <w:rFonts w:ascii="Times New Roman" w:hAnsi="Times New Roman"/>
        </w:rPr>
        <w:t xml:space="preserve">s razine od 1,45 (2010.) na razinu od 1,79 (2012.), dok je koeficijent ubrzane likvidnosti porastao s 1,04 (2010.) na konačnu razinu od 1,08 u 2012. </w:t>
      </w:r>
      <w:r w:rsidR="008F46E6" w:rsidRPr="004E6412">
        <w:rPr>
          <w:rFonts w:ascii="Times New Roman" w:hAnsi="Times New Roman"/>
        </w:rPr>
        <w:t>Na temelju analize</w:t>
      </w:r>
      <w:r w:rsidRPr="004E6412">
        <w:rPr>
          <w:rFonts w:ascii="Times New Roman" w:hAnsi="Times New Roman"/>
        </w:rPr>
        <w:t xml:space="preserve"> zaduženosti zaključuje se kako ova djelatnost nije prezadužena.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Uz zadržavanje</w:t>
      </w:r>
      <w:r w:rsidR="008F46E6" w:rsidRPr="004E6412">
        <w:rPr>
          <w:rFonts w:ascii="Times New Roman" w:hAnsi="Times New Roman"/>
        </w:rPr>
        <w:t xml:space="preserve"> gotovo jednakog broja poduzeća</w:t>
      </w:r>
      <w:r w:rsidRPr="004E6412">
        <w:rPr>
          <w:rFonts w:ascii="Times New Roman" w:hAnsi="Times New Roman"/>
        </w:rPr>
        <w:t xml:space="preserve"> porastao je broj zaposlenih</w:t>
      </w:r>
      <w:r w:rsidR="008F46E6" w:rsidRPr="004E6412">
        <w:rPr>
          <w:rFonts w:ascii="Times New Roman" w:hAnsi="Times New Roman"/>
        </w:rPr>
        <w:t>,</w:t>
      </w:r>
      <w:r w:rsidRPr="004E6412">
        <w:rPr>
          <w:rFonts w:ascii="Times New Roman" w:hAnsi="Times New Roman"/>
        </w:rPr>
        <w:t xml:space="preserve"> što znači da je u djelatnosti došlo do dodatnog zapošljavanja kadra. U razdoblju 2010. </w:t>
      </w:r>
      <w:r w:rsidR="008F46E6" w:rsidRPr="004E6412">
        <w:rPr>
          <w:rFonts w:ascii="Times New Roman" w:hAnsi="Times New Roman"/>
        </w:rPr>
        <w:t xml:space="preserve">– </w:t>
      </w:r>
      <w:r w:rsidRPr="004E6412">
        <w:rPr>
          <w:rFonts w:ascii="Times New Roman" w:hAnsi="Times New Roman"/>
        </w:rPr>
        <w:t xml:space="preserve">2012. dolazi do pada neto plaća od 6,79%, dok su u prosjeku bruto plaće pale za 5,77%. Najveći udio zaposlenih ima srednju stručnu spremu (47,04% u 2012.), </w:t>
      </w:r>
      <w:r w:rsidR="008F46E6" w:rsidRPr="004E6412">
        <w:rPr>
          <w:rFonts w:ascii="Times New Roman" w:hAnsi="Times New Roman"/>
        </w:rPr>
        <w:t xml:space="preserve">a </w:t>
      </w:r>
      <w:r w:rsidRPr="004E6412">
        <w:rPr>
          <w:rFonts w:ascii="Times New Roman" w:hAnsi="Times New Roman"/>
        </w:rPr>
        <w:t>zatim udio NKV radnika (26,13% u 2012.). 96,41% zaposlenih u ovoj djelatnosti ima razinu obrazovanja srednje stručne spreme ili niže.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 ukupno</w:t>
      </w:r>
      <w:r w:rsidR="008F46E6" w:rsidRPr="004E6412">
        <w:rPr>
          <w:rFonts w:ascii="Times New Roman" w:hAnsi="Times New Roman"/>
        </w:rPr>
        <w:t>j aktivi (pasivi) poddjelatnost</w:t>
      </w:r>
      <w:r w:rsidRPr="004E6412">
        <w:rPr>
          <w:rFonts w:ascii="Times New Roman" w:hAnsi="Times New Roman"/>
        </w:rPr>
        <w:t xml:space="preserve"> štavljenja i obrada kože; proizvodnja putnih i ručnih torba, sedlarskih i remenarskih proizvoda; dorada i bojenje krzna te proizvodnja obuće,  sudjeluju s gotovo jednakim udjelom: 48:</w:t>
      </w:r>
      <w:r w:rsidR="008F46E6" w:rsidRPr="004E6412">
        <w:rPr>
          <w:rFonts w:ascii="Times New Roman" w:hAnsi="Times New Roman"/>
        </w:rPr>
        <w:t xml:space="preserve">52. Štavljenje i obrada kože </w:t>
      </w:r>
      <w:r w:rsidRPr="004E6412">
        <w:rPr>
          <w:rFonts w:ascii="Times New Roman" w:hAnsi="Times New Roman"/>
        </w:rPr>
        <w:t xml:space="preserve">puno </w:t>
      </w:r>
      <w:r w:rsidR="008F46E6" w:rsidRPr="004E6412">
        <w:rPr>
          <w:rFonts w:ascii="Times New Roman" w:hAnsi="Times New Roman"/>
        </w:rPr>
        <w:t xml:space="preserve">je </w:t>
      </w:r>
      <w:r w:rsidRPr="004E6412">
        <w:rPr>
          <w:rFonts w:ascii="Times New Roman" w:hAnsi="Times New Roman"/>
        </w:rPr>
        <w:t>produktivnija i profitabilnija poddjelatnost koja čini preko 70% ukupnih prihoda, rashoda i ukupnog izvoza i uvoza djelatn</w:t>
      </w:r>
      <w:r w:rsidR="008F46E6" w:rsidRPr="004E6412">
        <w:rPr>
          <w:rFonts w:ascii="Times New Roman" w:hAnsi="Times New Roman"/>
        </w:rPr>
        <w:t>osti. Nasuprot tome, proizvodnja</w:t>
      </w:r>
      <w:r w:rsidRPr="004E6412">
        <w:rPr>
          <w:rFonts w:ascii="Times New Roman" w:hAnsi="Times New Roman"/>
        </w:rPr>
        <w:t xml:space="preserve"> obuće je veća po broju poduzeća i broju zaposlenih (obuhvaća 60% poduzeća i zapošljava 59,49% zaposlenika ukupne djelatnosti), no istovremeno je odgovorna za gotovo cjelokupno povećanje gubitaka djelatnosti u 2012.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rPr>
      </w:pPr>
      <w:r w:rsidRPr="004E6412">
        <w:rPr>
          <w:rFonts w:ascii="Times New Roman" w:hAnsi="Times New Roman"/>
        </w:rPr>
        <w:t xml:space="preserve">Ograničavajući čimbenici djelatnosti ogledaju se u vrlo nesigurnom tržištu, podložnom stalnom utjecaju mode i kratkom životnom ciklusu proizvoda, nerazvijenim poslovnim/proizvodnim procesima, malim ulaganjima u tehnologiju, nedovoljno poznatim </w:t>
      </w:r>
      <w:r w:rsidRPr="004E6412">
        <w:rPr>
          <w:rFonts w:ascii="Times New Roman" w:hAnsi="Times New Roman"/>
          <w:i/>
        </w:rPr>
        <w:t xml:space="preserve">brendovima </w:t>
      </w:r>
      <w:r w:rsidRPr="004E6412">
        <w:rPr>
          <w:rFonts w:ascii="Times New Roman" w:hAnsi="Times New Roman"/>
        </w:rPr>
        <w:t>(osobito kada se uzme u obzir šire tržište EU</w:t>
      </w:r>
      <w:r w:rsidR="008F46E6" w:rsidRPr="004E6412">
        <w:rPr>
          <w:rFonts w:ascii="Times New Roman" w:hAnsi="Times New Roman"/>
        </w:rPr>
        <w:t>-a</w:t>
      </w:r>
      <w:r w:rsidRPr="004E6412">
        <w:rPr>
          <w:rFonts w:ascii="Times New Roman" w:hAnsi="Times New Roman"/>
        </w:rPr>
        <w:t xml:space="preserve"> i svjetsko tržište),</w:t>
      </w:r>
      <w:r w:rsidR="008F46E6" w:rsidRPr="004E6412">
        <w:rPr>
          <w:rFonts w:ascii="Times New Roman" w:hAnsi="Times New Roman"/>
        </w:rPr>
        <w:t xml:space="preserve"> te</w:t>
      </w:r>
      <w:r w:rsidRPr="004E6412">
        <w:rPr>
          <w:rFonts w:ascii="Times New Roman" w:hAnsi="Times New Roman"/>
        </w:rPr>
        <w:t xml:space="preserve"> slaboj konkurentnosti po</w:t>
      </w:r>
      <w:r w:rsidR="008F46E6" w:rsidRPr="004E6412">
        <w:rPr>
          <w:rFonts w:ascii="Times New Roman" w:hAnsi="Times New Roman"/>
        </w:rPr>
        <w:t>duzeća. Kao dodatna ograničenja</w:t>
      </w:r>
      <w:r w:rsidRPr="004E6412">
        <w:rPr>
          <w:rFonts w:ascii="Times New Roman" w:hAnsi="Times New Roman"/>
        </w:rPr>
        <w:t xml:space="preserve"> proizvodnje kože i srodnih proizvoda u Hrvatskoj</w:t>
      </w:r>
      <w:r w:rsidR="008F46E6" w:rsidRPr="004E6412">
        <w:rPr>
          <w:rFonts w:ascii="Times New Roman" w:hAnsi="Times New Roman"/>
        </w:rPr>
        <w:t>,</w:t>
      </w:r>
      <w:r w:rsidRPr="004E6412">
        <w:rPr>
          <w:rFonts w:ascii="Times New Roman" w:hAnsi="Times New Roman"/>
        </w:rPr>
        <w:t xml:space="preserve"> mogu se izdvojiti nedovoljno razvijena distribucijska mreža, </w:t>
      </w:r>
      <w:r w:rsidR="008F46E6" w:rsidRPr="004E6412">
        <w:rPr>
          <w:rFonts w:ascii="Times New Roman" w:hAnsi="Times New Roman"/>
        </w:rPr>
        <w:t>starosna struktura radne snage,</w:t>
      </w:r>
      <w:r w:rsidRPr="004E6412">
        <w:rPr>
          <w:rFonts w:ascii="Times New Roman" w:hAnsi="Times New Roman"/>
        </w:rPr>
        <w:t xml:space="preserve"> nedovoljno razrađeni kriteriji za dodjelu poticaja, nesklonost bankarskog sektora, prijetnja povećanja konkurencije nakon ulaska u EU, uz očekivan porast troškova (primjerice, porast troškova uvoza iz trećih zemalja), </w:t>
      </w:r>
      <w:r w:rsidR="008F46E6" w:rsidRPr="004E6412">
        <w:rPr>
          <w:rFonts w:ascii="Times New Roman" w:hAnsi="Times New Roman"/>
        </w:rPr>
        <w:t xml:space="preserve">te </w:t>
      </w:r>
      <w:r w:rsidRPr="004E6412">
        <w:rPr>
          <w:rFonts w:ascii="Times New Roman" w:hAnsi="Times New Roman"/>
        </w:rPr>
        <w:t xml:space="preserve">mali broj velikih, snažnih i konkurentnih poduzeća u industrijskoj djelatnosti. Problemi ove industrijske djelatnosti uključuju i visoke troškove zbrinjavanja otpada, mulja te primjena ekoloških standarda u proizvodnji.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lang w:eastAsia="hr-HR"/>
        </w:rPr>
      </w:pPr>
      <w:r w:rsidRPr="004E6412">
        <w:rPr>
          <w:rFonts w:ascii="Times New Roman" w:hAnsi="Times New Roman"/>
        </w:rPr>
        <w:lastRenderedPageBreak/>
        <w:t>Potencijali razvoja i snage hrvatske proizvodnje kože i srodnih proizvoda pronalaze se u raspoloživosti kvalitetnim sirovinama, poput kvalitetne sirove goveđe kože (iako</w:t>
      </w:r>
      <w:r w:rsidR="008F46E6" w:rsidRPr="004E6412">
        <w:rPr>
          <w:rFonts w:ascii="Times New Roman" w:hAnsi="Times New Roman"/>
        </w:rPr>
        <w:t xml:space="preserve"> se zbog nedovoljne</w:t>
      </w:r>
      <w:r w:rsidRPr="004E6412">
        <w:rPr>
          <w:rFonts w:ascii="Times New Roman" w:hAnsi="Times New Roman"/>
        </w:rPr>
        <w:t xml:space="preserve"> raspoloživosti</w:t>
      </w:r>
      <w:r w:rsidR="008F46E6" w:rsidRPr="004E6412">
        <w:rPr>
          <w:rFonts w:ascii="Times New Roman" w:hAnsi="Times New Roman"/>
        </w:rPr>
        <w:t xml:space="preserve"> velik dio sirove kože uvozi)</w:t>
      </w:r>
      <w:r w:rsidRPr="004E6412">
        <w:rPr>
          <w:rFonts w:ascii="Times New Roman" w:hAnsi="Times New Roman"/>
        </w:rPr>
        <w:t>; tradiciji poslovanja i razv</w:t>
      </w:r>
      <w:r w:rsidR="008F46E6" w:rsidRPr="004E6412">
        <w:rPr>
          <w:rFonts w:ascii="Times New Roman" w:hAnsi="Times New Roman"/>
        </w:rPr>
        <w:t>ijenoj recepturi; te blizini drugim</w:t>
      </w:r>
      <w:r w:rsidRPr="004E6412">
        <w:rPr>
          <w:rFonts w:ascii="Times New Roman" w:hAnsi="Times New Roman"/>
        </w:rPr>
        <w:t xml:space="preserve"> europskim tržištima što olakšava i omogućuje brzinu isporuke. </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79" w:name="_Toc372087996"/>
      <w:bookmarkStart w:id="480" w:name="_Toc378069057"/>
      <w:r w:rsidRPr="004E6412">
        <w:rPr>
          <w:rFonts w:eastAsia="Calibri"/>
        </w:rPr>
        <w:lastRenderedPageBreak/>
        <w:t>Zaključni prikaz pokazatelja</w:t>
      </w:r>
      <w:bookmarkEnd w:id="479"/>
      <w:bookmarkEnd w:id="480"/>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81" w:name="_Toc372088143"/>
      <w:bookmarkStart w:id="482" w:name="_Toc377551078"/>
      <w:bookmarkStart w:id="483" w:name="_Toc377635267"/>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66</w:t>
      </w:r>
      <w:r w:rsidRPr="007D0CFD">
        <w:rPr>
          <w:rStyle w:val="IntenseEmphasis"/>
          <w:b/>
          <w:bCs w:val="0"/>
          <w:iCs w:val="0"/>
          <w:color w:val="548DD4" w:themeColor="text2" w:themeTint="99"/>
          <w:sz w:val="20"/>
        </w:rPr>
        <w:t>. Kvantitativni pokazatelji (C15)</w:t>
      </w:r>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06"/>
        <w:gridCol w:w="2677"/>
        <w:gridCol w:w="2677"/>
        <w:gridCol w:w="3056"/>
      </w:tblGrid>
      <w:tr w:rsidR="001B41B0" w:rsidRPr="004E6412" w:rsidTr="0097195F">
        <w:trPr>
          <w:trHeight w:val="20"/>
        </w:trPr>
        <w:tc>
          <w:tcPr>
            <w:tcW w:w="198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93"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97,40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101,50</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103,45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129,4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103,4</w:t>
            </w:r>
          </w:p>
        </w:tc>
        <w:tc>
          <w:tcPr>
            <w:tcW w:w="1093" w:type="pct"/>
            <w:shd w:val="clear" w:color="auto" w:fill="auto"/>
            <w:noWrap/>
          </w:tcPr>
          <w:p w:rsidR="001B41B0" w:rsidRPr="004E6412" w:rsidRDefault="00212386" w:rsidP="0097195F">
            <w:pPr>
              <w:spacing w:line="240" w:lineRule="auto"/>
              <w:jc w:val="right"/>
              <w:rPr>
                <w:sz w:val="22"/>
              </w:rPr>
            </w:pPr>
            <w:r w:rsidRPr="004E6412">
              <w:rPr>
                <w:sz w:val="22"/>
              </w:rPr>
              <w:t>85,7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8.257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7.882</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8.362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2.631.575.160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2.931.639.623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3.005.533.627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51.415.424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163.638.477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21.826.530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4,03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318.708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371.941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359.428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584.992.952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671.261.225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530.253.848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4.437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13.635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17.690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3.312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2.876</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26.117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2,119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1,342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1.094.434.736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730.783.469</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619.810.512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78,76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79,43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81,00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RCA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0,661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0,532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BDV</w:t>
            </w:r>
            <w:r w:rsidR="00E81038" w:rsidRPr="004E6412">
              <w:rPr>
                <w:b/>
                <w:sz w:val="22"/>
              </w:rPr>
              <w:t>-a</w:t>
            </w:r>
            <w:r w:rsidRPr="004E6412">
              <w:rPr>
                <w:b/>
                <w:sz w:val="22"/>
              </w:rPr>
              <w:t xml:space="preserve"> djelatnosti u BDV prerađivačke industrije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1,16</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0,641</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0,814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0,854</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73.781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80.237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74.713</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0,51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0,77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0,45</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484" w:name="_Toc372088144"/>
      <w:bookmarkStart w:id="485" w:name="_Toc377551079"/>
      <w:bookmarkStart w:id="486" w:name="_Toc377635268"/>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67</w:t>
      </w:r>
      <w:r w:rsidRPr="007D0CFD">
        <w:rPr>
          <w:rStyle w:val="IntenseEmphasis"/>
          <w:b/>
          <w:bCs w:val="0"/>
          <w:iCs w:val="0"/>
          <w:color w:val="548DD4" w:themeColor="text2" w:themeTint="99"/>
          <w:sz w:val="20"/>
        </w:rPr>
        <w:t>. Kvalitativni pokazatelji (C15)</w:t>
      </w:r>
      <w:bookmarkEnd w:id="484"/>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8103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6D12FE" w:rsidRPr="004E6412">
              <w:rPr>
                <w:sz w:val="22"/>
              </w:rPr>
              <w:t xml:space="preserve"> kapitalu. Dostupna je prikladna</w:t>
            </w:r>
            <w:r w:rsidRPr="004E6412">
              <w:rPr>
                <w:sz w:val="22"/>
              </w:rPr>
              <w:t xml:space="preserve"> radna snaga. Djelatnost zapošljava SSS i NKV radnu snagu. Nedovoljna dostupnost domaćih sirovina za proizvodnju.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Proizvodnja uglavnom intermedijarnih proiz</w:t>
            </w:r>
            <w:r w:rsidR="006D12FE" w:rsidRPr="004E6412">
              <w:rPr>
                <w:sz w:val="22"/>
              </w:rPr>
              <w:t>voda. Nesigurno tržište krajnjih</w:t>
            </w:r>
            <w:r w:rsidRPr="004E6412">
              <w:rPr>
                <w:sz w:val="22"/>
              </w:rPr>
              <w:t xml:space="preserve"> proizvoda, podložno stalnom utjecaju mode i kratkom životnom ciklusu proizvoda.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Visoki ekološki standardi proizvodnje. 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djelatnosti. 1 poduzeće, Boxmark Leather d.o.o. ostvaruje 93% ukupnog uvoza djelatnosti, oko 80% ukupnog izvoza djelatnosti i oko 68% svih prihoda. S još 20 poduzeća zapošljava oko 77% svih zaposlenih u djelatnosti (od ukupno 133 poduzeća). 6 najvećih poduzeća ostvaruje oko 80% ukupnih prihoda djelatnosti. Visoka koncentracija s obzirom na zapošljavanje: 21 poduzeće zapošljava 77% od ukupno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u poddjelatnosti C15.1 Štavljenje i obrada kože; proizvodnja putnih i ručnih torba, sedlarskih i remenarskih proizvoda; dorada i bojenje krzna. Izvoz je izr</w:t>
            </w:r>
            <w:r w:rsidR="006D12FE" w:rsidRPr="004E6412">
              <w:rPr>
                <w:sz w:val="22"/>
              </w:rPr>
              <w:t>azito koncentriran. Usporedne</w:t>
            </w:r>
            <w:r w:rsidRPr="004E6412">
              <w:rPr>
                <w:sz w:val="22"/>
              </w:rPr>
              <w:t xml:space="preserve"> prednosti se smanjuju.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Djelatnost ima 700%</w:t>
            </w:r>
            <w:r w:rsidR="006D12FE" w:rsidRPr="004E6412">
              <w:rPr>
                <w:sz w:val="22"/>
              </w:rPr>
              <w:t>-tni</w:t>
            </w:r>
            <w:r w:rsidRPr="004E6412">
              <w:rPr>
                <w:sz w:val="22"/>
              </w:rPr>
              <w:t xml:space="preserve"> rast gubitka 2012. u odnosu na 2011. od čega 99,57% otpada na poddjelatnost Proizvodnje obuće. Poddjelatnost C15.1 Štavljenje i obrada kože; proizvodnja putnih i ručnih torba, sedlarskih i remenarskih proizvoda; dorada i bojenje krzna ostvaruje preko 70% ukupnih prihoda i rashoda djelatnosti te preko 70% udjela u ukupnoj dobiti, te ima potencijal rasta i zapošljavanja za razliku od poddjelatnosti C15.2.</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87" w:name="_Toc365992538"/>
      <w:bookmarkStart w:id="488" w:name="_Toc366152982"/>
      <w:bookmarkStart w:id="489" w:name="_Toc366154276"/>
      <w:bookmarkStart w:id="490" w:name="_Toc366154396"/>
      <w:bookmarkStart w:id="491" w:name="_Toc366409939"/>
      <w:bookmarkStart w:id="492" w:name="_Toc372087997"/>
      <w:bookmarkStart w:id="493" w:name="_Toc378069058"/>
      <w:r w:rsidRPr="004E6412">
        <w:rPr>
          <w:rFonts w:eastAsia="Calibri"/>
        </w:rPr>
        <w:lastRenderedPageBreak/>
        <w:t>C</w:t>
      </w:r>
      <w:r w:rsidRPr="004E6412">
        <w:t>16 Prerada drva i proizvoda od drva i pluta, osim namještaja; proizvodnja proizvoda od slame i pletarskih materijala</w:t>
      </w:r>
      <w:bookmarkEnd w:id="487"/>
      <w:bookmarkEnd w:id="488"/>
      <w:bookmarkEnd w:id="489"/>
      <w:bookmarkEnd w:id="490"/>
      <w:bookmarkEnd w:id="491"/>
      <w:bookmarkEnd w:id="492"/>
      <w:bookmarkEnd w:id="493"/>
    </w:p>
    <w:p w:rsidR="001B41B0" w:rsidRPr="004E6412" w:rsidRDefault="001B41B0" w:rsidP="001B41B0">
      <w:pPr>
        <w:rPr>
          <w:lang w:eastAsia="hr-HR"/>
        </w:rPr>
      </w:pPr>
    </w:p>
    <w:p w:rsidR="001B41B0" w:rsidRPr="004E6412" w:rsidRDefault="001B41B0" w:rsidP="001B41B0">
      <w:pPr>
        <w:rPr>
          <w:bCs/>
          <w:sz w:val="22"/>
        </w:rPr>
      </w:pPr>
      <w:r w:rsidRPr="004E6412">
        <w:rPr>
          <w:sz w:val="22"/>
        </w:rPr>
        <w:t>Prerada drva i proizvoda od drva i pluta, osim namještaja; proizvodnja proizvoda od slame i pletarskih materijala (C16) obuhvaća poddjelatnosti p</w:t>
      </w:r>
      <w:r w:rsidRPr="004E6412">
        <w:rPr>
          <w:bCs/>
          <w:sz w:val="22"/>
        </w:rPr>
        <w:t>iljenja i blanjanja drva (C16.1) i proizvodnju proizvoda od drva, pluta, slame i pletarskih materijala (C16.2).</w:t>
      </w:r>
    </w:p>
    <w:p w:rsidR="001B41B0" w:rsidRPr="004E6412" w:rsidRDefault="001B41B0" w:rsidP="001B41B0">
      <w:pPr>
        <w:rPr>
          <w:bCs/>
        </w:rPr>
      </w:pPr>
    </w:p>
    <w:p w:rsidR="001B41B0" w:rsidRPr="004E6412" w:rsidRDefault="001B41B0" w:rsidP="00D001B9">
      <w:pPr>
        <w:pStyle w:val="Heading3"/>
        <w:rPr>
          <w:lang w:eastAsia="hr-HR"/>
        </w:rPr>
      </w:pPr>
      <w:bookmarkStart w:id="494" w:name="_Toc365992539"/>
      <w:bookmarkStart w:id="495" w:name="_Toc366154277"/>
      <w:bookmarkStart w:id="496" w:name="_Toc366154397"/>
      <w:bookmarkStart w:id="497" w:name="_Toc366409940"/>
      <w:bookmarkStart w:id="498" w:name="_Toc372087998"/>
      <w:bookmarkStart w:id="499" w:name="_Toc378069059"/>
      <w:r w:rsidRPr="004E6412">
        <w:rPr>
          <w:lang w:eastAsia="hr-HR"/>
        </w:rPr>
        <w:t>Globalni trendovi razvoja</w:t>
      </w:r>
      <w:bookmarkEnd w:id="494"/>
      <w:bookmarkEnd w:id="495"/>
      <w:bookmarkEnd w:id="496"/>
      <w:bookmarkEnd w:id="497"/>
      <w:bookmarkEnd w:id="498"/>
      <w:bookmarkEnd w:id="499"/>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Izrazito velika potražnja za drvom i d</w:t>
      </w:r>
      <w:r w:rsidR="006D12FE" w:rsidRPr="004E6412">
        <w:rPr>
          <w:rFonts w:ascii="Times New Roman" w:hAnsi="Times New Roman"/>
        </w:rPr>
        <w:t>rvnim proizvodima stalna je,</w:t>
      </w:r>
      <w:r w:rsidRPr="004E6412">
        <w:rPr>
          <w:rFonts w:ascii="Times New Roman" w:hAnsi="Times New Roman"/>
        </w:rPr>
        <w:t xml:space="preserve"> uz manje iznimke krizn</w:t>
      </w:r>
      <w:r w:rsidR="006D12FE" w:rsidRPr="004E6412">
        <w:rPr>
          <w:rFonts w:ascii="Times New Roman" w:hAnsi="Times New Roman"/>
        </w:rPr>
        <w:t>ih godina. Predviđa se da će</w:t>
      </w:r>
      <w:r w:rsidRPr="004E6412">
        <w:rPr>
          <w:rFonts w:ascii="Times New Roman" w:hAnsi="Times New Roman"/>
        </w:rPr>
        <w:t xml:space="preserve">, s rastom i razvojem svjetskog gospodarstva, i dalje rasti po stopi od oko 3% godišnje. </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Globalizacija je imala značajan utjecaj na ovo područje, posebno u vidu globalne trgovine svim drvnim proizvodima. Još jedan vrlo značajan trend je snažan porast proizvodnje i potrošnje drvenih peleta. Proizvodnja istih se na globalnoj razini </w:t>
      </w:r>
      <w:r w:rsidR="006D12FE" w:rsidRPr="004E6412">
        <w:rPr>
          <w:rFonts w:ascii="Times New Roman" w:hAnsi="Times New Roman"/>
        </w:rPr>
        <w:t xml:space="preserve">u razdoblju </w:t>
      </w:r>
      <w:r w:rsidRPr="004E6412">
        <w:rPr>
          <w:rFonts w:ascii="Times New Roman" w:hAnsi="Times New Roman"/>
        </w:rPr>
        <w:t>2000.</w:t>
      </w:r>
      <w:r w:rsidR="006D12FE" w:rsidRPr="004E6412">
        <w:rPr>
          <w:rFonts w:ascii="Times New Roman" w:hAnsi="Times New Roman"/>
        </w:rPr>
        <w:t xml:space="preserve"> – </w:t>
      </w:r>
      <w:r w:rsidRPr="004E6412">
        <w:rPr>
          <w:rFonts w:ascii="Times New Roman" w:hAnsi="Times New Roman"/>
        </w:rPr>
        <w:t>2010. gotovo upeterostručila. Od ukupne količine m</w:t>
      </w:r>
      <w:r w:rsidRPr="004E6412">
        <w:rPr>
          <w:rFonts w:ascii="Times New Roman" w:hAnsi="Times New Roman"/>
          <w:vertAlign w:val="superscript"/>
        </w:rPr>
        <w:t>3</w:t>
      </w:r>
      <w:r w:rsidRPr="004E6412">
        <w:rPr>
          <w:rFonts w:ascii="Times New Roman" w:hAnsi="Times New Roman"/>
        </w:rPr>
        <w:t xml:space="preserve"> drveta u svijetu, više od polovice koristi se kao drvo za energetske potrebe. Kako bi se zadovoljile potrebe koje je postavio koncept održive gradnje, proizvodi za primjenu u građevinskom sektoru također su postali važan segment u djelatnosti prerade drva i proizvoda od drva.</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Sjeverna Amerika je u razdoblju 2000. </w:t>
      </w:r>
      <w:r w:rsidR="006D12FE" w:rsidRPr="004E6412">
        <w:rPr>
          <w:rFonts w:ascii="Times New Roman" w:hAnsi="Times New Roman"/>
        </w:rPr>
        <w:t xml:space="preserve">– </w:t>
      </w:r>
      <w:r w:rsidRPr="004E6412">
        <w:rPr>
          <w:rFonts w:ascii="Times New Roman" w:hAnsi="Times New Roman"/>
        </w:rPr>
        <w:t xml:space="preserve">2008. bila kontinent s najvećom proizvodnjom i potrošnjom industrijske </w:t>
      </w:r>
      <w:r w:rsidR="006D12FE" w:rsidRPr="004E6412">
        <w:rPr>
          <w:rFonts w:ascii="Times New Roman" w:hAnsi="Times New Roman"/>
        </w:rPr>
        <w:t>oblovine, a slijedi je Europa s obzirom na</w:t>
      </w:r>
      <w:r w:rsidRPr="004E6412">
        <w:rPr>
          <w:rFonts w:ascii="Times New Roman" w:hAnsi="Times New Roman"/>
        </w:rPr>
        <w:t xml:space="preserve"> oba parametra. Amerika je također najveći proizvođač i potrošač piljene građe, dok je Azija 2002. i 2003. preuzela vodstvo u proizvodnji i potrošnji panela koje je zadržala i do danas. Kina je zemlja koja je postala najveći uvoznik industrijske oblovine i najveći izvoznik proizvoda sekundarne obrade.</w:t>
      </w:r>
    </w:p>
    <w:p w:rsidR="001B41B0" w:rsidRPr="004E6412" w:rsidRDefault="001B41B0" w:rsidP="001B41B0"/>
    <w:p w:rsidR="001B41B0" w:rsidRPr="004E6412" w:rsidRDefault="001B41B0" w:rsidP="00D001B9">
      <w:pPr>
        <w:pStyle w:val="Heading3"/>
      </w:pPr>
      <w:bookmarkStart w:id="500" w:name="_Toc365992540"/>
      <w:bookmarkStart w:id="501" w:name="_Toc366154278"/>
      <w:bookmarkStart w:id="502" w:name="_Toc366154398"/>
      <w:bookmarkStart w:id="503" w:name="_Toc366409941"/>
      <w:bookmarkStart w:id="504" w:name="_Toc372087999"/>
      <w:bookmarkStart w:id="505" w:name="_Toc378069060"/>
      <w:r w:rsidRPr="004E6412">
        <w:t>Trendovi razvoja u Europskoj uniji</w:t>
      </w:r>
      <w:bookmarkEnd w:id="500"/>
      <w:bookmarkEnd w:id="501"/>
      <w:bookmarkEnd w:id="502"/>
      <w:bookmarkEnd w:id="503"/>
      <w:bookmarkEnd w:id="504"/>
      <w:bookmarkEnd w:id="505"/>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nefinancijskom gospodarstvu EU27, djelatnost prerade drva i proizvoda od drva i pluta, osim namještaja; proizvodnja proizvoda od slame i pletarskih materijala obuhvaća 0,8 % svih poduzeća, 0,8% svih zaposlenika i 0,5% ukupno ostvarene dodane vrijednosti. Produktivnost rada ove djelatnosti nešto je niža od produktivnosti u drugim djelatnostima.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Unutar prerađivačke industrije EU27 sektor proiz</w:t>
      </w:r>
      <w:r w:rsidR="006D12FE" w:rsidRPr="004E6412">
        <w:rPr>
          <w:rFonts w:ascii="Times New Roman" w:hAnsi="Times New Roman"/>
        </w:rPr>
        <w:t>vodnje drva i proizvoda od drva</w:t>
      </w:r>
      <w:r w:rsidRPr="004E6412">
        <w:rPr>
          <w:rFonts w:ascii="Times New Roman" w:hAnsi="Times New Roman"/>
        </w:rPr>
        <w:t xml:space="preserve"> u 2010. zapošljavao je 3,5% zaposlenika i ostvario 2,0% dodane vrijednosti prerađivačke industrije.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Od ukupne dodane vrijednosti promatran</w:t>
      </w:r>
      <w:r w:rsidR="006D12FE" w:rsidRPr="004E6412">
        <w:rPr>
          <w:rFonts w:ascii="Times New Roman" w:hAnsi="Times New Roman"/>
        </w:rPr>
        <w:t xml:space="preserve">e djelatnosti u 2010., 76,9% </w:t>
      </w:r>
      <w:r w:rsidRPr="004E6412">
        <w:rPr>
          <w:rFonts w:ascii="Times New Roman" w:hAnsi="Times New Roman"/>
        </w:rPr>
        <w:t>realiziralo</w:t>
      </w:r>
      <w:r w:rsidR="006D12FE" w:rsidRPr="004E6412">
        <w:rPr>
          <w:rFonts w:ascii="Times New Roman" w:hAnsi="Times New Roman"/>
        </w:rPr>
        <w:t xml:space="preserve"> se</w:t>
      </w:r>
      <w:r w:rsidRPr="004E6412">
        <w:rPr>
          <w:rFonts w:ascii="Times New Roman" w:hAnsi="Times New Roman"/>
        </w:rPr>
        <w:t xml:space="preserve"> unutar poddjelatnosti proizvodnje proizvoda od drva, pluta, slame i pletarskih materijala, a preostalih 23,1% unutar poddjelatnosti piljenja i blanjanja drva. Ob</w:t>
      </w:r>
      <w:r w:rsidR="006D12FE" w:rsidRPr="004E6412">
        <w:rPr>
          <w:rFonts w:ascii="Times New Roman" w:hAnsi="Times New Roman"/>
        </w:rPr>
        <w:t>j</w:t>
      </w:r>
      <w:r w:rsidRPr="004E6412">
        <w:rPr>
          <w:rFonts w:ascii="Times New Roman" w:hAnsi="Times New Roman"/>
        </w:rPr>
        <w:t>e poddjelatnosti zabilježile su relativno nisku produktivnost rada i prosječne troškove zaposlenika u EU27 u 2010., posebno piljenje i blanjanje drva.</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Najveće udjele u dodanoj vrijednosti analizirane djelatnosti u okviru EU</w:t>
      </w:r>
      <w:r w:rsidR="006D12FE" w:rsidRPr="004E6412">
        <w:rPr>
          <w:rFonts w:ascii="Times New Roman" w:hAnsi="Times New Roman"/>
        </w:rPr>
        <w:t>27 2010. godine</w:t>
      </w:r>
      <w:r w:rsidRPr="004E6412">
        <w:rPr>
          <w:rFonts w:ascii="Times New Roman" w:hAnsi="Times New Roman"/>
        </w:rPr>
        <w:t xml:space="preserve"> imale su Njemačka i Italija.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EU27 vidljiv je snažan utjecaj malih i srednjih poduzeća u ovoj djelatnost. Naime, mala i srednja poduzeća (≤250 zaposlenika) su u 2010. </w:t>
      </w:r>
      <w:r w:rsidR="006D12FE" w:rsidRPr="004E6412">
        <w:rPr>
          <w:rFonts w:ascii="Times New Roman" w:hAnsi="Times New Roman"/>
        </w:rPr>
        <w:t>godini imala</w:t>
      </w:r>
      <w:r w:rsidRPr="004E6412">
        <w:rPr>
          <w:rFonts w:ascii="Times New Roman" w:hAnsi="Times New Roman"/>
        </w:rPr>
        <w:t xml:space="preserve"> udio od 84,6% u ukupnoj </w:t>
      </w:r>
      <w:r w:rsidRPr="004E6412">
        <w:rPr>
          <w:rFonts w:ascii="Times New Roman" w:hAnsi="Times New Roman"/>
        </w:rPr>
        <w:lastRenderedPageBreak/>
        <w:t>strukturi sektora (drugi najveći udio u strukturi prerađivačke industrije EU27)</w:t>
      </w:r>
      <w:r w:rsidR="006D12FE" w:rsidRPr="004E6412">
        <w:rPr>
          <w:rFonts w:ascii="Times New Roman" w:hAnsi="Times New Roman"/>
        </w:rPr>
        <w:t>,</w:t>
      </w:r>
      <w:r w:rsidRPr="004E6412">
        <w:rPr>
          <w:rFonts w:ascii="Times New Roman" w:hAnsi="Times New Roman"/>
        </w:rPr>
        <w:t xml:space="preserve"> te 77,3% u ukupno dodanoj vrijednosti.</w:t>
      </w:r>
    </w:p>
    <w:p w:rsidR="001B41B0" w:rsidRPr="004E6412" w:rsidRDefault="001B41B0" w:rsidP="001B41B0"/>
    <w:p w:rsidR="001B41B0" w:rsidRPr="004E6412" w:rsidRDefault="001B41B0" w:rsidP="00D001B9">
      <w:pPr>
        <w:pStyle w:val="Heading3"/>
      </w:pPr>
      <w:bookmarkStart w:id="506" w:name="_Toc365992541"/>
      <w:bookmarkStart w:id="507" w:name="_Toc366154279"/>
      <w:bookmarkStart w:id="508" w:name="_Toc366154399"/>
      <w:bookmarkStart w:id="509" w:name="_Toc366409942"/>
      <w:bookmarkStart w:id="510" w:name="_Toc372088000"/>
      <w:bookmarkStart w:id="511" w:name="_Toc378069061"/>
      <w:r w:rsidRPr="004E6412">
        <w:t>Stanje i perspektive razvoja u Republici Hrvatskoj</w:t>
      </w:r>
      <w:bookmarkEnd w:id="506"/>
      <w:bookmarkEnd w:id="507"/>
      <w:bookmarkEnd w:id="508"/>
      <w:bookmarkEnd w:id="509"/>
      <w:bookmarkEnd w:id="510"/>
      <w:bookmarkEnd w:id="511"/>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Djelatnost </w:t>
      </w:r>
      <w:r w:rsidR="006D12FE" w:rsidRPr="004E6412">
        <w:rPr>
          <w:rFonts w:ascii="Times New Roman" w:hAnsi="Times New Roman"/>
        </w:rPr>
        <w:t>je prema obračunu sati rada</w:t>
      </w:r>
      <w:r w:rsidRPr="004E6412">
        <w:rPr>
          <w:rFonts w:ascii="Times New Roman" w:hAnsi="Times New Roman"/>
        </w:rPr>
        <w:t xml:space="preserve"> zapošljavala ukupno 11.305, 11.247 i 11.930 zaposlenih u razdoblju 2010.</w:t>
      </w:r>
      <w:r w:rsidR="006D12FE" w:rsidRPr="004E6412">
        <w:rPr>
          <w:rFonts w:ascii="Times New Roman" w:hAnsi="Times New Roman"/>
        </w:rPr>
        <w:t xml:space="preserve"> – </w:t>
      </w:r>
      <w:r w:rsidRPr="004E6412">
        <w:rPr>
          <w:rFonts w:ascii="Times New Roman" w:hAnsi="Times New Roman"/>
        </w:rPr>
        <w:t>2012. Ukupna aktiva d</w:t>
      </w:r>
      <w:r w:rsidR="006D12FE" w:rsidRPr="004E6412">
        <w:rPr>
          <w:rFonts w:ascii="Times New Roman" w:hAnsi="Times New Roman"/>
        </w:rPr>
        <w:t>jelatnosti se</w:t>
      </w:r>
      <w:r w:rsidRPr="004E6412">
        <w:rPr>
          <w:rFonts w:ascii="Times New Roman" w:hAnsi="Times New Roman"/>
        </w:rPr>
        <w:t xml:space="preserve"> u razdoblju 2010.</w:t>
      </w:r>
      <w:r w:rsidR="006D12FE" w:rsidRPr="004E6412">
        <w:rPr>
          <w:rFonts w:ascii="Times New Roman" w:hAnsi="Times New Roman"/>
        </w:rPr>
        <w:t xml:space="preserve"> – </w:t>
      </w:r>
      <w:r w:rsidRPr="004E6412">
        <w:rPr>
          <w:rFonts w:ascii="Times New Roman" w:hAnsi="Times New Roman"/>
        </w:rPr>
        <w:t>2012</w:t>
      </w:r>
      <w:r w:rsidR="006D12FE" w:rsidRPr="004E6412">
        <w:rPr>
          <w:rFonts w:ascii="Times New Roman" w:hAnsi="Times New Roman"/>
        </w:rPr>
        <w:t>.</w:t>
      </w:r>
      <w:r w:rsidRPr="004E6412">
        <w:rPr>
          <w:rFonts w:ascii="Times New Roman" w:hAnsi="Times New Roman"/>
        </w:rPr>
        <w:t xml:space="preserve"> povećala. Omjer dugotrajne i kratkotrajne imovine je u svim godinama bio oko 55:45. Specifičnost djelatnosti je da fiksna imovina u sve tri promatrane godine čini preko 94% dugotrajne imovine (potreba za proizvodnim kapitalom). Ističe se veći iznos kratkoročnog od dugoročnog duga te relativno niži udio kapitala i rezervi, s udjelom od 25%. Kratkoročne obveze odnose se najviše na obveze prema dobavljačima, a dugoročne obveze većinom čine obveze prema bankama i drugim financijskim institucijama (zbog financiranja dugotrajne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Poslovni prihodi i rashodi čine više od 94% ukupnih prohoda i rashoda u razdoblju 2010.</w:t>
      </w:r>
      <w:r w:rsidR="006D12FE" w:rsidRPr="004E6412">
        <w:rPr>
          <w:rFonts w:ascii="Times New Roman" w:hAnsi="Times New Roman"/>
        </w:rPr>
        <w:t xml:space="preserve"> </w:t>
      </w:r>
      <w:r w:rsidRPr="004E6412">
        <w:rPr>
          <w:rFonts w:ascii="Times New Roman" w:hAnsi="Times New Roman"/>
        </w:rPr>
        <w:t xml:space="preserve">-2012. Ukupni prihodi su </w:t>
      </w:r>
      <w:r w:rsidR="006D12FE" w:rsidRPr="004E6412">
        <w:rPr>
          <w:rFonts w:ascii="Times New Roman" w:hAnsi="Times New Roman"/>
        </w:rPr>
        <w:t xml:space="preserve">u razdoblju </w:t>
      </w:r>
      <w:r w:rsidRPr="004E6412">
        <w:rPr>
          <w:rFonts w:ascii="Times New Roman" w:hAnsi="Times New Roman"/>
        </w:rPr>
        <w:t>2010.</w:t>
      </w:r>
      <w:r w:rsidR="006D12FE" w:rsidRPr="004E6412">
        <w:rPr>
          <w:rFonts w:ascii="Times New Roman" w:hAnsi="Times New Roman"/>
        </w:rPr>
        <w:t xml:space="preserve"> – </w:t>
      </w:r>
      <w:r w:rsidRPr="004E6412">
        <w:rPr>
          <w:rFonts w:ascii="Times New Roman" w:hAnsi="Times New Roman"/>
        </w:rPr>
        <w:t>2012. povećani za viso</w:t>
      </w:r>
      <w:r w:rsidR="006D12FE" w:rsidRPr="004E6412">
        <w:rPr>
          <w:rFonts w:ascii="Times New Roman" w:hAnsi="Times New Roman"/>
        </w:rPr>
        <w:t>kih 20,03% na 4,63 milijarde kuna</w:t>
      </w:r>
      <w:r w:rsidRPr="004E6412">
        <w:rPr>
          <w:rFonts w:ascii="Times New Roman" w:hAnsi="Times New Roman"/>
        </w:rPr>
        <w:t>, dok su ukupni rashodi povećani</w:t>
      </w:r>
      <w:r w:rsidR="006D12FE" w:rsidRPr="004E6412">
        <w:rPr>
          <w:rFonts w:ascii="Times New Roman" w:hAnsi="Times New Roman"/>
        </w:rPr>
        <w:t xml:space="preserve"> za 15,23% na 4,70 milijardi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Iz </w:t>
      </w:r>
      <w:r w:rsidR="006D12FE" w:rsidRPr="004E6412">
        <w:rPr>
          <w:rFonts w:ascii="Times New Roman" w:hAnsi="Times New Roman"/>
        </w:rPr>
        <w:t xml:space="preserve">računa dobiti i gubitka očito je </w:t>
      </w:r>
      <w:r w:rsidRPr="004E6412">
        <w:rPr>
          <w:rFonts w:ascii="Times New Roman" w:hAnsi="Times New Roman"/>
        </w:rPr>
        <w:t>da je profitabilnost u razdoblju 2010.</w:t>
      </w:r>
      <w:r w:rsidR="006D12FE" w:rsidRPr="004E6412">
        <w:rPr>
          <w:rFonts w:ascii="Times New Roman" w:hAnsi="Times New Roman"/>
        </w:rPr>
        <w:t xml:space="preserve"> – </w:t>
      </w:r>
      <w:r w:rsidRPr="004E6412">
        <w:rPr>
          <w:rFonts w:ascii="Times New Roman" w:hAnsi="Times New Roman"/>
        </w:rPr>
        <w:t xml:space="preserve">2012. bila negativna, iako su negativne stope smanjene do kraja 2012. Naglo povećanje obujma poslovanja nije bilo </w:t>
      </w:r>
      <w:r w:rsidR="006D12FE" w:rsidRPr="004E6412">
        <w:rPr>
          <w:rFonts w:ascii="Times New Roman" w:hAnsi="Times New Roman"/>
        </w:rPr>
        <w:t>po</w:t>
      </w:r>
      <w:r w:rsidRPr="004E6412">
        <w:rPr>
          <w:rFonts w:ascii="Times New Roman" w:hAnsi="Times New Roman"/>
        </w:rPr>
        <w:t>praćeno racionalizacijom troškova i povećanjem profitnih marži. Međutim, poprilično bolju sliku p</w:t>
      </w:r>
      <w:r w:rsidR="006D12FE" w:rsidRPr="004E6412">
        <w:rPr>
          <w:rFonts w:ascii="Times New Roman" w:hAnsi="Times New Roman"/>
        </w:rPr>
        <w:t xml:space="preserve">okazuje EBITDA. Takav profit </w:t>
      </w:r>
      <w:r w:rsidRPr="004E6412">
        <w:rPr>
          <w:rFonts w:ascii="Times New Roman" w:hAnsi="Times New Roman"/>
        </w:rPr>
        <w:t xml:space="preserve">osjetno </w:t>
      </w:r>
      <w:r w:rsidR="006D12FE" w:rsidRPr="004E6412">
        <w:rPr>
          <w:rFonts w:ascii="Times New Roman" w:hAnsi="Times New Roman"/>
        </w:rPr>
        <w:t>je povećan – sa 183,03 milijuna kuna</w:t>
      </w:r>
      <w:r w:rsidRPr="004E6412">
        <w:rPr>
          <w:rFonts w:ascii="Times New Roman" w:hAnsi="Times New Roman"/>
        </w:rPr>
        <w:t xml:space="preserve"> iz </w:t>
      </w:r>
      <w:r w:rsidR="006D12FE" w:rsidRPr="004E6412">
        <w:rPr>
          <w:rFonts w:ascii="Times New Roman" w:hAnsi="Times New Roman"/>
        </w:rPr>
        <w:t>2010. na čak 325,56 milijuna kuna</w:t>
      </w:r>
      <w:r w:rsidRPr="004E6412">
        <w:rPr>
          <w:rFonts w:ascii="Times New Roman" w:hAnsi="Times New Roman"/>
        </w:rPr>
        <w:t xml:space="preserve"> u 2011., da bi 201</w:t>
      </w:r>
      <w:r w:rsidR="006D12FE" w:rsidRPr="004E6412">
        <w:rPr>
          <w:rFonts w:ascii="Times New Roman" w:hAnsi="Times New Roman"/>
        </w:rPr>
        <w:t>2. završio na 266,61 milijun kuna</w:t>
      </w:r>
      <w:r w:rsidRPr="004E6412">
        <w:rPr>
          <w:rFonts w:ascii="Times New Roman" w:hAnsi="Times New Roman"/>
        </w:rPr>
        <w:t xml:space="preserve">. Djelatnost je izuzetno povećala iznos </w:t>
      </w:r>
      <w:r w:rsidR="006D12FE" w:rsidRPr="004E6412">
        <w:rPr>
          <w:rFonts w:ascii="Times New Roman" w:hAnsi="Times New Roman"/>
        </w:rPr>
        <w:t>stvorene dodane vrijednosti – s 22,78 milijuna kuna na 124.42 milijuna kuna</w:t>
      </w:r>
      <w:r w:rsidRPr="004E6412">
        <w:rPr>
          <w:rFonts w:ascii="Times New Roman" w:hAnsi="Times New Roman"/>
        </w:rPr>
        <w:t xml:space="preserve"> (2011. je </w:t>
      </w:r>
      <w:r w:rsidR="006D12FE" w:rsidRPr="004E6412">
        <w:rPr>
          <w:rFonts w:ascii="Times New Roman" w:hAnsi="Times New Roman"/>
        </w:rPr>
        <w:t>iznosila čak 176,88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Pokazatelji međunarodne razmjene govore o izvozno orijentiranoj djelatnosti s udjelom izvoza u ukupnom prihodu od </w:t>
      </w:r>
      <w:r w:rsidR="006D12FE" w:rsidRPr="004E6412">
        <w:rPr>
          <w:rFonts w:ascii="Times New Roman" w:hAnsi="Times New Roman"/>
        </w:rPr>
        <w:t xml:space="preserve">47,63% (2012.). Izvoz i uvoz </w:t>
      </w:r>
      <w:r w:rsidRPr="004E6412">
        <w:rPr>
          <w:rFonts w:ascii="Times New Roman" w:hAnsi="Times New Roman"/>
        </w:rPr>
        <w:t xml:space="preserve">povećavao </w:t>
      </w:r>
      <w:r w:rsidR="006D12FE" w:rsidRPr="004E6412">
        <w:rPr>
          <w:rFonts w:ascii="Times New Roman" w:hAnsi="Times New Roman"/>
        </w:rPr>
        <w:t xml:space="preserve">se </w:t>
      </w:r>
      <w:r w:rsidRPr="004E6412">
        <w:rPr>
          <w:rFonts w:ascii="Times New Roman" w:hAnsi="Times New Roman"/>
        </w:rPr>
        <w:t>u razdoblju 2010.</w:t>
      </w:r>
      <w:r w:rsidR="006D12FE" w:rsidRPr="004E6412">
        <w:rPr>
          <w:rFonts w:ascii="Times New Roman" w:hAnsi="Times New Roman"/>
        </w:rPr>
        <w:t xml:space="preserve"> – </w:t>
      </w:r>
      <w:r w:rsidRPr="004E6412">
        <w:rPr>
          <w:rFonts w:ascii="Times New Roman" w:hAnsi="Times New Roman"/>
        </w:rPr>
        <w:t>2012. te je djelatnost uspjela povećati i iznos</w:t>
      </w:r>
      <w:r w:rsidR="00D94502" w:rsidRPr="004E6412">
        <w:rPr>
          <w:rFonts w:ascii="Times New Roman" w:hAnsi="Times New Roman"/>
        </w:rPr>
        <w:t xml:space="preserve"> neto izvoza s 1,3 milijarde kuna (2010.) na 1,75 milijarde kuna (2012.). Usporedne prednosti (RCA)</w:t>
      </w:r>
      <w:r w:rsidRPr="004E6412">
        <w:rPr>
          <w:rFonts w:ascii="Times New Roman" w:hAnsi="Times New Roman"/>
        </w:rPr>
        <w:t xml:space="preserve"> vrlo </w:t>
      </w:r>
      <w:r w:rsidR="00D94502" w:rsidRPr="004E6412">
        <w:rPr>
          <w:rFonts w:ascii="Times New Roman" w:hAnsi="Times New Roman"/>
        </w:rPr>
        <w:t xml:space="preserve">su </w:t>
      </w:r>
      <w:r w:rsidRPr="004E6412">
        <w:rPr>
          <w:rFonts w:ascii="Times New Roman" w:hAnsi="Times New Roman"/>
        </w:rPr>
        <w:t>visoke te su</w:t>
      </w:r>
      <w:r w:rsidR="00D94502" w:rsidRPr="004E6412">
        <w:rPr>
          <w:rFonts w:ascii="Times New Roman" w:hAnsi="Times New Roman"/>
        </w:rPr>
        <w:t xml:space="preserve"> povećavane iz godine u godinu. </w:t>
      </w:r>
      <w:r w:rsidRPr="004E6412">
        <w:rPr>
          <w:rFonts w:ascii="Times New Roman" w:hAnsi="Times New Roman"/>
        </w:rPr>
        <w:t>Općenito gledajući, snaga ove</w:t>
      </w:r>
      <w:r w:rsidR="00D94502" w:rsidRPr="004E6412">
        <w:rPr>
          <w:rFonts w:ascii="Times New Roman" w:hAnsi="Times New Roman"/>
        </w:rPr>
        <w:t xml:space="preserve"> djelatnosti je u prodaji</w:t>
      </w:r>
      <w:r w:rsidRPr="004E6412">
        <w:rPr>
          <w:rFonts w:ascii="Times New Roman" w:hAnsi="Times New Roman"/>
        </w:rPr>
        <w:t xml:space="preserve"> proizvoda i usluga u inozemstvu.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Bruto dodana vrijednost djelatnosti raste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za 12,3% </w:t>
      </w:r>
      <w:r w:rsidRPr="004E6412">
        <w:rPr>
          <w:rFonts w:ascii="Times New Roman" w:hAnsi="Times New Roman"/>
        </w:rPr>
        <w:t>te se nje</w:t>
      </w:r>
      <w:r w:rsidR="00D94502" w:rsidRPr="004E6412">
        <w:rPr>
          <w:rFonts w:ascii="Times New Roman" w:hAnsi="Times New Roman"/>
        </w:rPr>
        <w:t>zi</w:t>
      </w:r>
      <w:r w:rsidRPr="004E6412">
        <w:rPr>
          <w:rFonts w:ascii="Times New Roman" w:hAnsi="Times New Roman"/>
        </w:rPr>
        <w:t xml:space="preserve">n udio povećao u udjelima bruto dodane vrijednosti gospodarstva (na 0,36% u 2011., </w:t>
      </w:r>
      <w:r w:rsidR="00D94502" w:rsidRPr="004E6412">
        <w:rPr>
          <w:rFonts w:ascii="Times New Roman" w:hAnsi="Times New Roman"/>
        </w:rPr>
        <w:t xml:space="preserve">dok </w:t>
      </w:r>
      <w:r w:rsidRPr="004E6412">
        <w:rPr>
          <w:rFonts w:ascii="Times New Roman" w:hAnsi="Times New Roman"/>
        </w:rPr>
        <w:t>za 2012. nema podataka), iako nje</w:t>
      </w:r>
      <w:r w:rsidR="00D94502" w:rsidRPr="004E6412">
        <w:rPr>
          <w:rFonts w:ascii="Times New Roman" w:hAnsi="Times New Roman"/>
        </w:rPr>
        <w:t>zi</w:t>
      </w:r>
      <w:r w:rsidRPr="004E6412">
        <w:rPr>
          <w:rFonts w:ascii="Times New Roman" w:hAnsi="Times New Roman"/>
        </w:rPr>
        <w:t>n udio pada u udjelu bruto dodane vrijednosti prerađivačke industr</w:t>
      </w:r>
      <w:r w:rsidR="00D94502" w:rsidRPr="004E6412">
        <w:rPr>
          <w:rFonts w:ascii="Times New Roman" w:hAnsi="Times New Roman"/>
        </w:rPr>
        <w:t>ije (BDV industrije raste brže).</w:t>
      </w:r>
      <w:r w:rsidRPr="004E6412">
        <w:rPr>
          <w:rFonts w:ascii="Times New Roman" w:hAnsi="Times New Roman"/>
        </w:rPr>
        <w:t xml:space="preserve"> Djelatnost iskazuje visoku interindustrijsku razmjenu.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Proizvodnost rada i kapitala djelatnosti u promatranom razdoblju raste zbog više nego proporcionalnog povećanja </w:t>
      </w:r>
      <w:r w:rsidR="005A2279" w:rsidRPr="004E6412">
        <w:rPr>
          <w:rFonts w:ascii="Times New Roman" w:hAnsi="Times New Roman"/>
        </w:rPr>
        <w:t>ostvarene bruto dodane vrijednosti</w:t>
      </w:r>
      <w:r w:rsidRPr="004E6412">
        <w:rPr>
          <w:rFonts w:ascii="Times New Roman" w:hAnsi="Times New Roman"/>
        </w:rPr>
        <w:t xml:space="preserve"> </w:t>
      </w:r>
      <w:r w:rsidR="00D94502" w:rsidRPr="004E6412">
        <w:rPr>
          <w:rFonts w:ascii="Times New Roman" w:hAnsi="Times New Roman"/>
        </w:rPr>
        <w:t xml:space="preserve">u </w:t>
      </w:r>
      <w:r w:rsidRPr="004E6412">
        <w:rPr>
          <w:rFonts w:ascii="Times New Roman" w:hAnsi="Times New Roman"/>
        </w:rPr>
        <w:t>odnosu na povećanje broja zaposlenih i fiksnog kapitala. Jedinični troša</w:t>
      </w:r>
      <w:r w:rsidR="00D94502" w:rsidRPr="004E6412">
        <w:rPr>
          <w:rFonts w:ascii="Times New Roman" w:hAnsi="Times New Roman"/>
        </w:rPr>
        <w:t>k rada je u trogodišnjem razdoblju</w:t>
      </w:r>
      <w:r w:rsidRPr="004E6412">
        <w:rPr>
          <w:rFonts w:ascii="Times New Roman" w:hAnsi="Times New Roman"/>
        </w:rPr>
        <w:t xml:space="preserve"> sman</w:t>
      </w:r>
      <w:r w:rsidR="00D94502" w:rsidRPr="004E6412">
        <w:rPr>
          <w:rFonts w:ascii="Times New Roman" w:hAnsi="Times New Roman"/>
        </w:rPr>
        <w:t>jen s 0,70 na 0,61 kunu</w:t>
      </w:r>
      <w:r w:rsidR="005A2279" w:rsidRPr="004E6412">
        <w:rPr>
          <w:rFonts w:ascii="Times New Roman" w:hAnsi="Times New Roman"/>
        </w:rPr>
        <w:t xml:space="preserve"> jer je ostvarena bru</w:t>
      </w:r>
      <w:r w:rsidR="00D94502" w:rsidRPr="004E6412">
        <w:rPr>
          <w:rFonts w:ascii="Times New Roman" w:hAnsi="Times New Roman"/>
        </w:rPr>
        <w:t xml:space="preserve">to dodana vrijednost povećana </w:t>
      </w:r>
      <w:r w:rsidR="005A2279" w:rsidRPr="004E6412">
        <w:rPr>
          <w:rFonts w:ascii="Times New Roman" w:hAnsi="Times New Roman"/>
        </w:rPr>
        <w:t>proporcionalno više od povećanja troška rada</w:t>
      </w:r>
      <w:r w:rsidRPr="004E6412">
        <w:rPr>
          <w:rFonts w:ascii="Times New Roman" w:hAnsi="Times New Roman"/>
        </w:rPr>
        <w:t>. Opremljenost rada kapitalo</w:t>
      </w:r>
      <w:r w:rsidR="00D94502" w:rsidRPr="004E6412">
        <w:rPr>
          <w:rFonts w:ascii="Times New Roman" w:hAnsi="Times New Roman"/>
        </w:rPr>
        <w:t>m je smanjena (više radnika po jedinici</w:t>
      </w:r>
      <w:r w:rsidRPr="004E6412">
        <w:rPr>
          <w:rFonts w:ascii="Times New Roman" w:hAnsi="Times New Roman"/>
        </w:rPr>
        <w:t xml:space="preserve"> dugotrajne materijalne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Ulaganja u istr</w:t>
      </w:r>
      <w:r w:rsidR="00D94502" w:rsidRPr="004E6412">
        <w:rPr>
          <w:rFonts w:ascii="Times New Roman" w:hAnsi="Times New Roman"/>
        </w:rPr>
        <w:t>aživanje i razvoj djelatnosti</w:t>
      </w:r>
      <w:r w:rsidRPr="004E6412">
        <w:rPr>
          <w:rFonts w:ascii="Times New Roman" w:hAnsi="Times New Roman"/>
        </w:rPr>
        <w:t xml:space="preserve"> zanemariva</w:t>
      </w:r>
      <w:r w:rsidR="00D94502" w:rsidRPr="004E6412">
        <w:rPr>
          <w:rFonts w:ascii="Times New Roman" w:hAnsi="Times New Roman"/>
        </w:rPr>
        <w:t xml:space="preserve"> su. U 2010. </w:t>
      </w:r>
      <w:r w:rsidRPr="004E6412">
        <w:rPr>
          <w:rFonts w:ascii="Times New Roman" w:hAnsi="Times New Roman"/>
        </w:rPr>
        <w:t xml:space="preserve">iznosila </w:t>
      </w:r>
      <w:r w:rsidR="00D94502" w:rsidRPr="004E6412">
        <w:rPr>
          <w:rFonts w:ascii="Times New Roman" w:hAnsi="Times New Roman"/>
        </w:rPr>
        <w:t>su tek 130.000 kuna</w:t>
      </w:r>
      <w:r w:rsidRPr="004E6412">
        <w:rPr>
          <w:rFonts w:ascii="Times New Roman" w:hAnsi="Times New Roman"/>
        </w:rPr>
        <w:t>. Za 2011. i 2012.</w:t>
      </w:r>
      <w:r w:rsidR="00D94502" w:rsidRPr="004E6412">
        <w:rPr>
          <w:rFonts w:ascii="Times New Roman" w:hAnsi="Times New Roman"/>
        </w:rPr>
        <w:t xml:space="preserve"> godinu</w:t>
      </w:r>
      <w:r w:rsidRPr="004E6412">
        <w:rPr>
          <w:rFonts w:ascii="Times New Roman" w:hAnsi="Times New Roman"/>
        </w:rPr>
        <w:t>, u vrijeme izrade ove analize, nije bilo podataka.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Likvidnost ove djelatnosti je vrlo niska i ostala je gotovo nepromijenjena u razdoblju 2010.</w:t>
      </w:r>
      <w:r w:rsidR="00D94502" w:rsidRPr="004E6412">
        <w:rPr>
          <w:rFonts w:ascii="Times New Roman" w:hAnsi="Times New Roman"/>
        </w:rPr>
        <w:t xml:space="preserve"> – </w:t>
      </w:r>
      <w:r w:rsidRPr="004E6412">
        <w:rPr>
          <w:rFonts w:ascii="Times New Roman" w:hAnsi="Times New Roman"/>
        </w:rPr>
        <w:t xml:space="preserve">2012. Kad se oduzmu </w:t>
      </w:r>
      <w:r w:rsidR="00D94502" w:rsidRPr="004E6412">
        <w:rPr>
          <w:rFonts w:ascii="Times New Roman" w:hAnsi="Times New Roman"/>
        </w:rPr>
        <w:t>zalihe, ova djelatnost imala je krajem svake godine</w:t>
      </w:r>
      <w:r w:rsidRPr="004E6412">
        <w:rPr>
          <w:rFonts w:ascii="Times New Roman" w:hAnsi="Times New Roman"/>
        </w:rPr>
        <w:t xml:space="preserve"> tek 55% potrebne likvidne imovine za pokriće kratkoročnih obveza. Udio gotovine u imovini je također iznosio vrlo niskih 2,46%. Analizom ukupne za</w:t>
      </w:r>
      <w:r w:rsidR="00D94502" w:rsidRPr="004E6412">
        <w:rPr>
          <w:rFonts w:ascii="Times New Roman" w:hAnsi="Times New Roman"/>
        </w:rPr>
        <w:t>duženosti i njezinom usporedbom s</w:t>
      </w:r>
      <w:r w:rsidRPr="004E6412">
        <w:rPr>
          <w:rFonts w:ascii="Times New Roman" w:hAnsi="Times New Roman"/>
        </w:rPr>
        <w:t xml:space="preserve"> likvidnosti uviđaju se temeljni problemi koji muče ovu djelatnost, a to su nedovoljna likvidnost i pretjerana zaduženost.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Broj zaposlenih po godinama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w:t>
      </w:r>
      <w:r w:rsidRPr="004E6412">
        <w:rPr>
          <w:rFonts w:ascii="Times New Roman" w:hAnsi="Times New Roman"/>
        </w:rPr>
        <w:t xml:space="preserve">kretao </w:t>
      </w:r>
      <w:r w:rsidR="00D94502" w:rsidRPr="004E6412">
        <w:rPr>
          <w:rFonts w:ascii="Times New Roman" w:hAnsi="Times New Roman"/>
        </w:rPr>
        <w:t xml:space="preserve">se </w:t>
      </w:r>
      <w:r w:rsidRPr="004E6412">
        <w:rPr>
          <w:rFonts w:ascii="Times New Roman" w:hAnsi="Times New Roman"/>
        </w:rPr>
        <w:t>redom 11.305, 11.247 i 11.930, što predstavlja rast od 5,53% u promatranom razdoblju</w:t>
      </w:r>
      <w:r w:rsidR="00D94502" w:rsidRPr="004E6412">
        <w:rPr>
          <w:rFonts w:ascii="Times New Roman" w:hAnsi="Times New Roman"/>
        </w:rPr>
        <w:t xml:space="preserve">. U prerađivačkoj industriji navedeno </w:t>
      </w:r>
      <w:r w:rsidRPr="004E6412">
        <w:rPr>
          <w:rFonts w:ascii="Times New Roman" w:hAnsi="Times New Roman"/>
        </w:rPr>
        <w:t xml:space="preserve">predstavlja udio od 5,32% ukupnog broja zaposlenih, a u ukupnom gospodarstvu 0,83%. U razdoblju 2010. </w:t>
      </w:r>
      <w:r w:rsidR="00D94502" w:rsidRPr="004E6412">
        <w:rPr>
          <w:rFonts w:ascii="Times New Roman" w:hAnsi="Times New Roman"/>
        </w:rPr>
        <w:t xml:space="preserve">– </w:t>
      </w:r>
      <w:r w:rsidRPr="004E6412">
        <w:rPr>
          <w:rFonts w:ascii="Times New Roman" w:hAnsi="Times New Roman"/>
        </w:rPr>
        <w:t xml:space="preserve">2012. dolazi do rasta neto plaća od 1,98%, dok su u prosjeku bruto plaće pale zanemarivih 0,01%. Najveći udio zaposlenih ima srednju stručnu spremu (47,55% u </w:t>
      </w:r>
      <w:r w:rsidR="00D94502" w:rsidRPr="004E6412">
        <w:rPr>
          <w:rFonts w:ascii="Times New Roman" w:hAnsi="Times New Roman"/>
        </w:rPr>
        <w:t>2012.), a slijede NKV radnici s</w:t>
      </w:r>
      <w:r w:rsidRPr="004E6412">
        <w:rPr>
          <w:rFonts w:ascii="Times New Roman" w:hAnsi="Times New Roman"/>
        </w:rPr>
        <w:t xml:space="preserve"> udjelom od 21,13% u 2012.</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 ovoj djelatnosti veći udio, po svim kategorijama bilance, čini poddjelatnost Proizvodnja proizvoda od drva, pluta, slame i pletarsk</w:t>
      </w:r>
      <w:r w:rsidR="00D94502" w:rsidRPr="004E6412">
        <w:rPr>
          <w:rFonts w:ascii="Times New Roman" w:hAnsi="Times New Roman"/>
        </w:rPr>
        <w:t>ih materijala (C16.2). Omjer navedene djelatnosti</w:t>
      </w:r>
      <w:r w:rsidRPr="004E6412">
        <w:rPr>
          <w:rFonts w:ascii="Times New Roman" w:hAnsi="Times New Roman"/>
        </w:rPr>
        <w:t xml:space="preserve"> i poddjelatnosti Pilj</w:t>
      </w:r>
      <w:r w:rsidR="00D94502" w:rsidRPr="004E6412">
        <w:rPr>
          <w:rFonts w:ascii="Times New Roman" w:hAnsi="Times New Roman"/>
        </w:rPr>
        <w:t>enje i blanjanje drva (C16.1) iznosi</w:t>
      </w:r>
      <w:r w:rsidRPr="004E6412">
        <w:rPr>
          <w:rFonts w:ascii="Times New Roman" w:hAnsi="Times New Roman"/>
        </w:rPr>
        <w:t xml:space="preserve"> oko 60:40 po stavkama aktive u sve tri promatrane godine. Isti omjer zabilježen je kod ostvarenih ukupnih prihoda poddjelatnosti. Međutim, profitabilnost se uvelike razlikuje. Kumulativna ostvarena dobit obje poddjelatnosti je u 2012. bila gotovo podjednaka, ali je kumulativni gubitak poddjelatnosti C16.2 u 2012. bio gotovo četiri puta veći od gubitka poddjelatnosti C16.1. Unatoč manjoj profitabilnosti iz redovitog poslovanja, poddjelatnost C16.2 ostvaruje veći udio bruto do</w:t>
      </w:r>
      <w:r w:rsidR="00D94502" w:rsidRPr="004E6412">
        <w:rPr>
          <w:rFonts w:ascii="Times New Roman" w:hAnsi="Times New Roman"/>
        </w:rPr>
        <w:t xml:space="preserve">dane vrijednosti u djelatnosti. </w:t>
      </w:r>
      <w:r w:rsidRPr="004E6412">
        <w:rPr>
          <w:rFonts w:ascii="Times New Roman" w:hAnsi="Times New Roman"/>
        </w:rPr>
        <w:t>Vanjskotrgovinska bilanca pokazuje izuzetno visok izvozni karakter obje poddjelatnosti. Broj zaposlenih u poddjelatnostima odgovara omjeru njihovih veličina po aktivi i p</w:t>
      </w:r>
      <w:r w:rsidR="00D94502" w:rsidRPr="004E6412">
        <w:rPr>
          <w:rFonts w:ascii="Times New Roman" w:hAnsi="Times New Roman"/>
        </w:rPr>
        <w:t xml:space="preserve">rihodima. Neto i bruto plaće </w:t>
      </w:r>
      <w:r w:rsidRPr="004E6412">
        <w:rPr>
          <w:rFonts w:ascii="Times New Roman" w:hAnsi="Times New Roman"/>
        </w:rPr>
        <w:t xml:space="preserve">slične </w:t>
      </w:r>
      <w:r w:rsidR="00D94502" w:rsidRPr="004E6412">
        <w:rPr>
          <w:rFonts w:ascii="Times New Roman" w:hAnsi="Times New Roman"/>
        </w:rPr>
        <w:t xml:space="preserve">su </w:t>
      </w:r>
      <w:r w:rsidRPr="004E6412">
        <w:rPr>
          <w:rFonts w:ascii="Times New Roman" w:hAnsi="Times New Roman"/>
        </w:rPr>
        <w:t>u obje poddjelatnosti.</w:t>
      </w:r>
    </w:p>
    <w:p w:rsidR="001B41B0" w:rsidRPr="004E6412" w:rsidRDefault="001B41B0" w:rsidP="001B41B0">
      <w:pPr>
        <w:rPr>
          <w:sz w:val="22"/>
          <w:lang w:eastAsia="hr-HR"/>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Drvna industrija u Hrvatskoj ima dugogodišnju tradiciju, visok potencijal domaće sirovine, pote</w:t>
      </w:r>
      <w:r w:rsidR="00D94502" w:rsidRPr="004E6412">
        <w:rPr>
          <w:rFonts w:ascii="Times New Roman" w:hAnsi="Times New Roman"/>
        </w:rPr>
        <w:t>ncijal lokacije, a obilježava</w:t>
      </w:r>
      <w:r w:rsidRPr="004E6412">
        <w:rPr>
          <w:rFonts w:ascii="Times New Roman" w:hAnsi="Times New Roman"/>
        </w:rPr>
        <w:t xml:space="preserve"> je i disperzija gospodarskih subjekata te relativno niska ulaganja u poslovne procese i programe.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Glavno obilježje promatrane industrijske djelatnosti je visoka ovisnost o raspoloživosti i do</w:t>
      </w:r>
      <w:r w:rsidR="00D94502" w:rsidRPr="004E6412">
        <w:rPr>
          <w:rFonts w:ascii="Times New Roman" w:hAnsi="Times New Roman"/>
        </w:rPr>
        <w:t>stupnosti sirovine. U Hrvatskoj se</w:t>
      </w:r>
      <w:r w:rsidRPr="004E6412">
        <w:rPr>
          <w:rFonts w:ascii="Times New Roman" w:hAnsi="Times New Roman"/>
        </w:rPr>
        <w:t xml:space="preserve"> 4</w:t>
      </w:r>
      <w:r w:rsidR="00D94502" w:rsidRPr="004E6412">
        <w:rPr>
          <w:rFonts w:ascii="Times New Roman" w:hAnsi="Times New Roman"/>
        </w:rPr>
        <w:t xml:space="preserve">8% ukupnog teritorija nalazi </w:t>
      </w:r>
      <w:r w:rsidRPr="004E6412">
        <w:rPr>
          <w:rFonts w:ascii="Times New Roman" w:hAnsi="Times New Roman"/>
        </w:rPr>
        <w:t>pod šum</w:t>
      </w:r>
      <w:r w:rsidR="00D94502" w:rsidRPr="004E6412">
        <w:rPr>
          <w:rFonts w:ascii="Times New Roman" w:hAnsi="Times New Roman"/>
        </w:rPr>
        <w:t>ama.  Od ukupnog teritorija koji</w:t>
      </w:r>
      <w:r w:rsidRPr="004E6412">
        <w:rPr>
          <w:rFonts w:ascii="Times New Roman" w:hAnsi="Times New Roman"/>
        </w:rPr>
        <w:t xml:space="preserve"> se nalazi pod šumom, 75% je u vlasništvu države i njime upravljaju Hrvatske šume d.o.</w:t>
      </w:r>
      <w:r w:rsidR="00D94502" w:rsidRPr="004E6412">
        <w:rPr>
          <w:rFonts w:ascii="Times New Roman" w:hAnsi="Times New Roman"/>
        </w:rPr>
        <w:t>o., dok je preostali manjinski</w:t>
      </w:r>
      <w:r w:rsidRPr="004E6412">
        <w:rPr>
          <w:rFonts w:ascii="Times New Roman" w:hAnsi="Times New Roman"/>
        </w:rPr>
        <w:t xml:space="preserve"> dio u vlasništvu privatnih šumopos</w:t>
      </w:r>
      <w:r w:rsidR="00D94502" w:rsidRPr="004E6412">
        <w:rPr>
          <w:rFonts w:ascii="Times New Roman" w:hAnsi="Times New Roman"/>
        </w:rPr>
        <w:t xml:space="preserve">jednika. Ulazak u industriju </w:t>
      </w:r>
      <w:r w:rsidRPr="004E6412">
        <w:rPr>
          <w:rFonts w:ascii="Times New Roman" w:hAnsi="Times New Roman"/>
        </w:rPr>
        <w:t>relativno</w:t>
      </w:r>
      <w:r w:rsidR="00D94502" w:rsidRPr="004E6412">
        <w:rPr>
          <w:rFonts w:ascii="Times New Roman" w:hAnsi="Times New Roman"/>
        </w:rPr>
        <w:t xml:space="preserve"> je</w:t>
      </w:r>
      <w:r w:rsidRPr="004E6412">
        <w:rPr>
          <w:rFonts w:ascii="Times New Roman" w:hAnsi="Times New Roman"/>
        </w:rPr>
        <w:t xml:space="preserve"> jednostavan, no nužno je imati po</w:t>
      </w:r>
      <w:r w:rsidR="00D94502" w:rsidRPr="004E6412">
        <w:rPr>
          <w:rFonts w:ascii="Times New Roman" w:hAnsi="Times New Roman"/>
        </w:rPr>
        <w:t>uzdanog dobavljača i stalan</w:t>
      </w:r>
      <w:r w:rsidRPr="004E6412">
        <w:rPr>
          <w:rFonts w:ascii="Times New Roman" w:hAnsi="Times New Roman"/>
        </w:rPr>
        <w:t xml:space="preserve"> izvor sirovine. Oko 95% sirovine za potrebe djelatnosti dolazi iz Hrvatske, a glavni </w:t>
      </w:r>
      <w:r w:rsidR="00D94502" w:rsidRPr="004E6412">
        <w:rPr>
          <w:rFonts w:ascii="Times New Roman" w:hAnsi="Times New Roman"/>
        </w:rPr>
        <w:t>su dobavljač</w:t>
      </w:r>
      <w:r w:rsidR="00526EAC" w:rsidRPr="004E6412">
        <w:rPr>
          <w:rFonts w:ascii="Times New Roman" w:hAnsi="Times New Roman"/>
        </w:rPr>
        <w:t xml:space="preserve"> Hrvatske šume d.o.o.</w:t>
      </w:r>
      <w:r w:rsidRPr="004E6412">
        <w:rPr>
          <w:rFonts w:ascii="Times New Roman" w:hAnsi="Times New Roman"/>
        </w:rPr>
        <w:t xml:space="preserve"> Također, radi se o radno intenzivnoj i izvozno orijentiranoj industrijskoj djelatnosti s udjelom izvoza u ukupnom prihodu od 47,63% (</w:t>
      </w:r>
      <w:r w:rsidR="00526EAC" w:rsidRPr="004E6412">
        <w:rPr>
          <w:rFonts w:ascii="Times New Roman" w:hAnsi="Times New Roman"/>
        </w:rPr>
        <w:t xml:space="preserve">za </w:t>
      </w:r>
      <w:r w:rsidRPr="004E6412">
        <w:rPr>
          <w:rFonts w:ascii="Times New Roman" w:hAnsi="Times New Roman"/>
        </w:rPr>
        <w:t>2012.</w:t>
      </w:r>
      <w:r w:rsidR="00526EAC" w:rsidRPr="004E6412">
        <w:rPr>
          <w:rFonts w:ascii="Times New Roman" w:hAnsi="Times New Roman"/>
        </w:rPr>
        <w:t xml:space="preserve"> godinu</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Glavni problemi djelatnosti su: nepostojanje dugoročnih ugovora za opskrbu sirovinom;  nedostupnost kapitala; malo domaće tržište (stoga </w:t>
      </w:r>
      <w:r w:rsidR="00526EAC" w:rsidRPr="004E6412">
        <w:rPr>
          <w:rFonts w:ascii="Times New Roman" w:hAnsi="Times New Roman"/>
        </w:rPr>
        <w:t xml:space="preserve">je </w:t>
      </w:r>
      <w:r w:rsidRPr="004E6412">
        <w:rPr>
          <w:rFonts w:ascii="Times New Roman" w:hAnsi="Times New Roman"/>
        </w:rPr>
        <w:t>nužna orijentacija na inozemno u kojem vlada znatno jača konkurencija); razvijeno neformalno gospodarstvo (siva ekonomija); slaba povezanost obrazovnih institucija i gospodarstva; niska razina obrade proizvoda;</w:t>
      </w:r>
      <w:r w:rsidR="00526EAC" w:rsidRPr="004E6412">
        <w:rPr>
          <w:rFonts w:ascii="Times New Roman" w:hAnsi="Times New Roman"/>
        </w:rPr>
        <w:t xml:space="preserve"> odnosno nizak stupanj dovršenosti</w:t>
      </w:r>
      <w:r w:rsidRPr="004E6412">
        <w:rPr>
          <w:rFonts w:ascii="Times New Roman" w:hAnsi="Times New Roman"/>
        </w:rPr>
        <w:t xml:space="preserve"> proizvoda; velike razlike</w:t>
      </w:r>
      <w:r w:rsidR="00526EAC" w:rsidRPr="004E6412">
        <w:rPr>
          <w:rFonts w:ascii="Times New Roman" w:hAnsi="Times New Roman"/>
        </w:rPr>
        <w:t xml:space="preserve"> među regijama; nužnost uvođenja</w:t>
      </w:r>
      <w:r w:rsidRPr="004E6412">
        <w:rPr>
          <w:rFonts w:ascii="Times New Roman" w:hAnsi="Times New Roman"/>
        </w:rPr>
        <w:t xml:space="preserve"> standardizacije proizvoda.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lastRenderedPageBreak/>
        <w:t>Izvozni potencijal ove djelatnosti je visok, ali ponajprije zahvaljujući relativno velikoj raspoloživosti sirovine. Međutim, osn</w:t>
      </w:r>
      <w:r w:rsidR="00526EAC" w:rsidRPr="004E6412">
        <w:rPr>
          <w:rFonts w:ascii="Times New Roman" w:hAnsi="Times New Roman"/>
        </w:rPr>
        <w:t xml:space="preserve">ovni i prvi cilj djelatnosti </w:t>
      </w:r>
      <w:r w:rsidRPr="004E6412">
        <w:rPr>
          <w:rFonts w:ascii="Times New Roman" w:hAnsi="Times New Roman"/>
        </w:rPr>
        <w:t xml:space="preserve">trebao </w:t>
      </w:r>
      <w:r w:rsidR="00526EAC" w:rsidRPr="004E6412">
        <w:rPr>
          <w:rFonts w:ascii="Times New Roman" w:hAnsi="Times New Roman"/>
        </w:rPr>
        <w:t>bi biti što viši stupanj dovršenosti</w:t>
      </w:r>
      <w:r w:rsidRPr="004E6412">
        <w:rPr>
          <w:rFonts w:ascii="Times New Roman" w:hAnsi="Times New Roman"/>
        </w:rPr>
        <w:t xml:space="preserve"> proizvoda i novostvorene vrijednosti, a tek onda povećanje izvoza.</w:t>
      </w:r>
    </w:p>
    <w:p w:rsidR="001B41B0" w:rsidRPr="004E6412" w:rsidRDefault="001B41B0" w:rsidP="001B41B0">
      <w:pPr>
        <w:rPr>
          <w:sz w:val="22"/>
        </w:rPr>
      </w:pPr>
    </w:p>
    <w:p w:rsidR="001B41B0" w:rsidRPr="004E6412" w:rsidRDefault="001B41B0" w:rsidP="00D001B9">
      <w:pPr>
        <w:pStyle w:val="Heading3"/>
        <w:rPr>
          <w:rFonts w:eastAsia="Calibri"/>
        </w:rPr>
        <w:sectPr w:rsidR="001B41B0" w:rsidRPr="004E6412" w:rsidSect="00FF74A7">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512" w:name="_Toc372088001"/>
      <w:bookmarkStart w:id="513" w:name="_Toc378069062"/>
      <w:r w:rsidRPr="004E6412">
        <w:rPr>
          <w:rFonts w:eastAsia="Calibri"/>
        </w:rPr>
        <w:lastRenderedPageBreak/>
        <w:t>Zaključni prikaz pokazatelja</w:t>
      </w:r>
      <w:bookmarkEnd w:id="512"/>
      <w:bookmarkEnd w:id="513"/>
      <w:r w:rsidRPr="004E6412">
        <w:rPr>
          <w:rFonts w:eastAsia="Calibri"/>
        </w:rPr>
        <w:t xml:space="preserve"> </w:t>
      </w: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4" w:name="_Toc372088145"/>
      <w:bookmarkStart w:id="515" w:name="_Toc377551080"/>
      <w:bookmarkStart w:id="516" w:name="_Toc37763526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68</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(C16)</w:t>
      </w:r>
      <w:bookmarkEnd w:id="514"/>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2"/>
        <w:gridCol w:w="2612"/>
        <w:gridCol w:w="2990"/>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81"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100,40</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101,40</w:t>
            </w:r>
          </w:p>
        </w:tc>
        <w:tc>
          <w:tcPr>
            <w:tcW w:w="1081"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101,68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86,2</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101,1</w:t>
            </w:r>
          </w:p>
        </w:tc>
        <w:tc>
          <w:tcPr>
            <w:tcW w:w="1081" w:type="pct"/>
            <w:shd w:val="clear" w:color="auto" w:fill="auto"/>
            <w:noWrap/>
            <w:vAlign w:val="center"/>
          </w:tcPr>
          <w:p w:rsidR="001B41B0" w:rsidRPr="004E6412" w:rsidRDefault="00212386" w:rsidP="0097195F">
            <w:pPr>
              <w:spacing w:line="240" w:lineRule="auto"/>
              <w:jc w:val="right"/>
              <w:rPr>
                <w:color w:val="000000"/>
                <w:sz w:val="22"/>
                <w:lang w:eastAsia="hr-HR"/>
              </w:rPr>
            </w:pPr>
            <w:r w:rsidRPr="004E6412">
              <w:rPr>
                <w:color w:val="000000"/>
                <w:sz w:val="22"/>
                <w:lang w:eastAsia="hr-HR"/>
              </w:rPr>
              <w:t>85,1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11.305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11.247</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11.930</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3.918.761.663</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4.251.655.482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4.631.094.146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183.031.107</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325.559.432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266.606.408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-0,76</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3,35</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346.640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378.026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388.189</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47"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948.312.502</w:t>
            </w:r>
          </w:p>
        </w:tc>
        <w:tc>
          <w:tcPr>
            <w:tcW w:w="947"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1.066.515.393</w:t>
            </w:r>
          </w:p>
        </w:tc>
        <w:tc>
          <w:tcPr>
            <w:tcW w:w="1081"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1.064.899.693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10.180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11.956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16.605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26.819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13.163</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24.435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5,01</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4,91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1.304.410.002</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1.533.157.168</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1.756.738.034</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43,39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45,04</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47,63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RCA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2,45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2,83</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2,88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BDV</w:t>
            </w:r>
            <w:r w:rsidR="00526EAC" w:rsidRPr="004E6412">
              <w:rPr>
                <w:b/>
                <w:sz w:val="22"/>
              </w:rPr>
              <w:t>-a</w:t>
            </w:r>
            <w:r w:rsidRPr="004E6412">
              <w:rPr>
                <w:b/>
                <w:sz w:val="22"/>
              </w:rPr>
              <w:t xml:space="preserve"> djelatnosti u BDV-u prerađivačke industrije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2.39</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2.30</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2.33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0,378</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0,333</w:t>
            </w:r>
          </w:p>
        </w:tc>
        <w:tc>
          <w:tcPr>
            <w:tcW w:w="1081"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0,338</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83.884</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94.827</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89.262</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0,32</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0,41</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0,70</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0,61</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0,65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0,75</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7" w:name="_Toc372088146"/>
      <w:bookmarkStart w:id="518" w:name="_Toc377551081"/>
      <w:bookmarkStart w:id="519" w:name="_Toc37763527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69</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(C16)</w:t>
      </w:r>
      <w:bookmarkEnd w:id="517"/>
      <w:bookmarkEnd w:id="518"/>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26EAC"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w:t>
            </w:r>
            <w:r w:rsidR="00526EAC" w:rsidRPr="004E6412">
              <w:rPr>
                <w:sz w:val="22"/>
              </w:rPr>
              <w:t xml:space="preserve">ma. Potražnja za proizvodima </w:t>
            </w:r>
            <w:r w:rsidRPr="004E6412">
              <w:rPr>
                <w:sz w:val="22"/>
              </w:rPr>
              <w:t xml:space="preserve">relativno </w:t>
            </w:r>
            <w:r w:rsidR="00526EAC" w:rsidRPr="004E6412">
              <w:rPr>
                <w:sz w:val="22"/>
              </w:rPr>
              <w:t xml:space="preserve">je </w:t>
            </w:r>
            <w:r w:rsidRPr="004E6412">
              <w:rPr>
                <w:sz w:val="22"/>
              </w:rPr>
              <w:t>visoka, ali radi se većinom o inozemnoj potražnji.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Dobavljač sirovine </w:t>
            </w:r>
            <w:r w:rsidR="00526EAC" w:rsidRPr="004E6412">
              <w:rPr>
                <w:sz w:val="22"/>
              </w:rPr>
              <w:t xml:space="preserve">je </w:t>
            </w:r>
            <w:r w:rsidRPr="004E6412">
              <w:rPr>
                <w:sz w:val="22"/>
              </w:rPr>
              <w:t>državno poduzeće koje ima monopol na tržištu. Propisi u području nabave sirovine znatno utječu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76% prihoda djelatnosti. 100 poduzeća zapošljava 65%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visok, posebno u poddjelatnosti C16.2 Proizvodnja proizvoda od drva, pluta, slame i pletarskih materijala.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526EAC" w:rsidP="0097195F">
            <w:pPr>
              <w:spacing w:line="240" w:lineRule="auto"/>
              <w:rPr>
                <w:sz w:val="22"/>
              </w:rPr>
            </w:pPr>
            <w:r w:rsidRPr="004E6412">
              <w:rPr>
                <w:sz w:val="22"/>
              </w:rPr>
              <w:t>Potencijal rasta je prilično</w:t>
            </w:r>
            <w:r w:rsidR="001B41B0" w:rsidRPr="004E6412">
              <w:rPr>
                <w:sz w:val="22"/>
              </w:rPr>
              <w:t xml:space="preserve"> visok, posebno u poddjelatnosti C16.2 Proizvodnja proizvoda od drva, pluta, slame i pletarskih materijala. Nužnija su ulaganja u tehnološku opremljenost. Relativno je visok potencijal zapošljavanja djelatnika u području istraživanja i razvoja.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Mala ovisnost o uvo</w:t>
            </w:r>
            <w:r w:rsidR="00526EAC" w:rsidRPr="004E6412">
              <w:rPr>
                <w:sz w:val="22"/>
              </w:rPr>
              <w:t>zu. Sirovina većinom domaćeg porijek</w:t>
            </w:r>
            <w:r w:rsidRPr="004E6412">
              <w:rPr>
                <w:sz w:val="22"/>
              </w:rPr>
              <w:t>la.</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661B08" w:rsidRDefault="001B41B0" w:rsidP="001B41B0">
      <w:pPr>
        <w:pStyle w:val="Heading2"/>
        <w:rPr>
          <w:highlight w:val="cyan"/>
        </w:rPr>
      </w:pPr>
      <w:bookmarkStart w:id="520" w:name="_Toc365992542"/>
      <w:bookmarkStart w:id="521" w:name="_Toc366152983"/>
      <w:bookmarkStart w:id="522" w:name="_Toc366154280"/>
      <w:bookmarkStart w:id="523" w:name="_Toc366154400"/>
      <w:bookmarkStart w:id="524" w:name="_Toc366409943"/>
      <w:bookmarkStart w:id="525" w:name="_Toc372088002"/>
      <w:bookmarkStart w:id="526" w:name="_Toc378069063"/>
      <w:r w:rsidRPr="00661B08">
        <w:rPr>
          <w:highlight w:val="cyan"/>
        </w:rPr>
        <w:lastRenderedPageBreak/>
        <w:t>C17 Proizvodnja papira i proizvoda od papira</w:t>
      </w:r>
      <w:bookmarkEnd w:id="520"/>
      <w:bookmarkEnd w:id="521"/>
      <w:bookmarkEnd w:id="522"/>
      <w:bookmarkEnd w:id="523"/>
      <w:bookmarkEnd w:id="524"/>
      <w:bookmarkEnd w:id="525"/>
      <w:bookmarkEnd w:id="526"/>
    </w:p>
    <w:p w:rsidR="001B41B0" w:rsidRPr="00661B08" w:rsidRDefault="001B41B0" w:rsidP="001B41B0">
      <w:pPr>
        <w:rPr>
          <w:sz w:val="22"/>
          <w:highlight w:val="cyan"/>
          <w:lang w:eastAsia="hr-HR"/>
        </w:rPr>
      </w:pPr>
    </w:p>
    <w:p w:rsidR="001B41B0" w:rsidRPr="00661B08" w:rsidRDefault="001B41B0" w:rsidP="001B41B0">
      <w:pPr>
        <w:rPr>
          <w:sz w:val="22"/>
          <w:highlight w:val="cyan"/>
        </w:rPr>
      </w:pPr>
      <w:r w:rsidRPr="00661B08">
        <w:rPr>
          <w:sz w:val="22"/>
          <w:highlight w:val="cyan"/>
        </w:rPr>
        <w:t>Djelatnost Proizvodnja papira i proizvoda od papira (C17) uključuje proizvodnju celuloze, papira i kartona (C17.1) i proizvodnju papira i kartona (C17.2).</w:t>
      </w:r>
    </w:p>
    <w:p w:rsidR="001B41B0" w:rsidRPr="00661B08" w:rsidRDefault="001B41B0" w:rsidP="001B41B0">
      <w:pPr>
        <w:rPr>
          <w:szCs w:val="24"/>
          <w:highlight w:val="cyan"/>
        </w:rPr>
      </w:pPr>
    </w:p>
    <w:p w:rsidR="001B41B0" w:rsidRPr="00661B08" w:rsidRDefault="001B41B0" w:rsidP="00D001B9">
      <w:pPr>
        <w:pStyle w:val="Heading3"/>
        <w:rPr>
          <w:highlight w:val="cyan"/>
        </w:rPr>
      </w:pPr>
      <w:bookmarkStart w:id="527" w:name="_Toc365386981"/>
      <w:bookmarkStart w:id="528" w:name="_Toc365992543"/>
      <w:bookmarkStart w:id="529" w:name="_Toc366154281"/>
      <w:bookmarkStart w:id="530" w:name="_Toc366154401"/>
      <w:bookmarkStart w:id="531" w:name="_Toc366409944"/>
      <w:bookmarkStart w:id="532" w:name="_Toc372088003"/>
      <w:bookmarkStart w:id="533" w:name="_Toc378069064"/>
      <w:r w:rsidRPr="00661B08">
        <w:rPr>
          <w:highlight w:val="cyan"/>
        </w:rPr>
        <w:t>Globalni trendovi razvoja</w:t>
      </w:r>
      <w:bookmarkEnd w:id="527"/>
      <w:bookmarkEnd w:id="528"/>
      <w:bookmarkEnd w:id="529"/>
      <w:bookmarkEnd w:id="530"/>
      <w:bookmarkEnd w:id="531"/>
      <w:bookmarkEnd w:id="532"/>
      <w:bookmarkEnd w:id="533"/>
    </w:p>
    <w:p w:rsidR="001B41B0" w:rsidRPr="00661B08" w:rsidRDefault="001B41B0" w:rsidP="001B41B0">
      <w:pPr>
        <w:pStyle w:val="ListParagraph"/>
        <w:numPr>
          <w:ilvl w:val="0"/>
          <w:numId w:val="22"/>
        </w:numPr>
        <w:spacing w:after="0"/>
        <w:jc w:val="both"/>
        <w:rPr>
          <w:rFonts w:ascii="Times New Roman" w:hAnsi="Times New Roman"/>
          <w:highlight w:val="cyan"/>
        </w:rPr>
      </w:pPr>
      <w:r w:rsidRPr="00661B08">
        <w:rPr>
          <w:rFonts w:ascii="Times New Roman" w:hAnsi="Times New Roman"/>
          <w:highlight w:val="cyan"/>
        </w:rPr>
        <w:t>Posljednjih 10 godina svjetska proizvodnja papira i kartona bilježi rast od gotovo 30%, te je vidljiv porast proizvodnje ambalaže koja trenutno predstavlja najjači segment grafičke indus</w:t>
      </w:r>
      <w:r w:rsidR="00526EAC" w:rsidRPr="00661B08">
        <w:rPr>
          <w:rFonts w:ascii="Times New Roman" w:hAnsi="Times New Roman"/>
          <w:highlight w:val="cyan"/>
        </w:rPr>
        <w:t>trije. Navedeno se očituje i iz činjenice da</w:t>
      </w:r>
      <w:r w:rsidRPr="00661B08">
        <w:rPr>
          <w:rFonts w:ascii="Times New Roman" w:hAnsi="Times New Roman"/>
          <w:highlight w:val="cyan"/>
        </w:rPr>
        <w:t xml:space="preserve"> se 40-50% ukupno proizvedenog papira i kartona koristi upravo za izradu ambalaže. </w:t>
      </w:r>
    </w:p>
    <w:p w:rsidR="001B41B0" w:rsidRPr="00661B08" w:rsidRDefault="001B41B0" w:rsidP="001B41B0">
      <w:pPr>
        <w:rPr>
          <w:sz w:val="22"/>
          <w:highlight w:val="cyan"/>
        </w:rPr>
      </w:pPr>
    </w:p>
    <w:p w:rsidR="001B41B0" w:rsidRPr="00661B08" w:rsidRDefault="001B41B0" w:rsidP="001B41B0">
      <w:pPr>
        <w:pStyle w:val="ListParagraph"/>
        <w:numPr>
          <w:ilvl w:val="0"/>
          <w:numId w:val="22"/>
        </w:numPr>
        <w:spacing w:after="0"/>
        <w:jc w:val="both"/>
        <w:rPr>
          <w:rFonts w:ascii="Times New Roman" w:hAnsi="Times New Roman"/>
          <w:highlight w:val="cyan"/>
        </w:rPr>
      </w:pPr>
      <w:r w:rsidRPr="00661B08">
        <w:rPr>
          <w:rFonts w:ascii="Times New Roman" w:hAnsi="Times New Roman"/>
          <w:highlight w:val="cyan"/>
        </w:rPr>
        <w:t xml:space="preserve">Najveći svjetski proizvođači celuloze su Sjeverna Amerika (36,8%), Europa (24,5%) i Azija (23,7%), dok su </w:t>
      </w:r>
      <w:r w:rsidR="00526EAC" w:rsidRPr="00661B08">
        <w:rPr>
          <w:rFonts w:ascii="Times New Roman" w:hAnsi="Times New Roman"/>
          <w:highlight w:val="cyan"/>
        </w:rPr>
        <w:t xml:space="preserve">njezini </w:t>
      </w:r>
      <w:r w:rsidRPr="00661B08">
        <w:rPr>
          <w:rFonts w:ascii="Times New Roman" w:hAnsi="Times New Roman"/>
          <w:highlight w:val="cyan"/>
        </w:rPr>
        <w:t>najveći svjetski potroša</w:t>
      </w:r>
      <w:r w:rsidR="00526EAC" w:rsidRPr="00661B08">
        <w:rPr>
          <w:rFonts w:ascii="Times New Roman" w:hAnsi="Times New Roman"/>
          <w:highlight w:val="cyan"/>
        </w:rPr>
        <w:t>či</w:t>
      </w:r>
      <w:r w:rsidRPr="00661B08">
        <w:rPr>
          <w:rFonts w:ascii="Times New Roman" w:hAnsi="Times New Roman"/>
          <w:highlight w:val="cyan"/>
        </w:rPr>
        <w:t xml:space="preserve"> Azija (33%), Sjeverna Amerika (31,1%) i Europa (27,3%). Iako pokazatelji ukazuju na trend rasta proizvodnje celuloze, </w:t>
      </w:r>
      <w:r w:rsidR="00526EAC" w:rsidRPr="00661B08">
        <w:rPr>
          <w:rFonts w:ascii="Times New Roman" w:hAnsi="Times New Roman"/>
          <w:highlight w:val="cyan"/>
        </w:rPr>
        <w:t>po</w:t>
      </w:r>
      <w:r w:rsidRPr="00661B08">
        <w:rPr>
          <w:rFonts w:ascii="Times New Roman" w:hAnsi="Times New Roman"/>
          <w:highlight w:val="cyan"/>
        </w:rPr>
        <w:t>rast se ipak ostvaruje po nižoj stopi od prosječne stope porasta ukupne industrije.</w:t>
      </w:r>
    </w:p>
    <w:p w:rsidR="001B41B0" w:rsidRPr="00661B08" w:rsidRDefault="001B41B0" w:rsidP="001B41B0">
      <w:pPr>
        <w:rPr>
          <w:i/>
          <w:szCs w:val="24"/>
          <w:highlight w:val="cyan"/>
        </w:rPr>
      </w:pPr>
    </w:p>
    <w:p w:rsidR="001B41B0" w:rsidRPr="00661B08" w:rsidRDefault="001B41B0" w:rsidP="00D001B9">
      <w:pPr>
        <w:pStyle w:val="Heading3"/>
        <w:rPr>
          <w:highlight w:val="cyan"/>
        </w:rPr>
      </w:pPr>
      <w:bookmarkStart w:id="534" w:name="_Toc365386982"/>
      <w:bookmarkStart w:id="535" w:name="_Toc365992544"/>
      <w:bookmarkStart w:id="536" w:name="_Toc366154282"/>
      <w:bookmarkStart w:id="537" w:name="_Toc366154402"/>
      <w:bookmarkStart w:id="538" w:name="_Toc366409945"/>
      <w:bookmarkStart w:id="539" w:name="_Toc372088004"/>
      <w:bookmarkStart w:id="540" w:name="_Toc378069065"/>
      <w:r w:rsidRPr="00661B08">
        <w:rPr>
          <w:highlight w:val="cyan"/>
        </w:rPr>
        <w:t>Trendovi razvoja u Europskoj uniji</w:t>
      </w:r>
      <w:bookmarkEnd w:id="534"/>
      <w:bookmarkEnd w:id="535"/>
      <w:bookmarkEnd w:id="536"/>
      <w:bookmarkEnd w:id="537"/>
      <w:bookmarkEnd w:id="538"/>
      <w:bookmarkEnd w:id="539"/>
      <w:bookmarkEnd w:id="540"/>
    </w:p>
    <w:p w:rsidR="001B41B0" w:rsidRPr="00661B08" w:rsidRDefault="001B41B0" w:rsidP="001B41B0">
      <w:pPr>
        <w:pStyle w:val="ListParagraph"/>
        <w:numPr>
          <w:ilvl w:val="0"/>
          <w:numId w:val="23"/>
        </w:numPr>
        <w:spacing w:after="0"/>
        <w:jc w:val="both"/>
        <w:rPr>
          <w:rFonts w:ascii="Times New Roman" w:hAnsi="Times New Roman"/>
          <w:highlight w:val="cyan"/>
        </w:rPr>
      </w:pPr>
      <w:r w:rsidRPr="00661B08">
        <w:rPr>
          <w:rFonts w:ascii="Times New Roman" w:hAnsi="Times New Roman"/>
          <w:highlight w:val="cyan"/>
        </w:rPr>
        <w:t>Papirna industrija EU</w:t>
      </w:r>
      <w:r w:rsidR="00526EAC" w:rsidRPr="00661B08">
        <w:rPr>
          <w:rFonts w:ascii="Times New Roman" w:hAnsi="Times New Roman"/>
          <w:highlight w:val="cyan"/>
        </w:rPr>
        <w:t>-a</w:t>
      </w:r>
      <w:r w:rsidRPr="00661B08">
        <w:rPr>
          <w:rFonts w:ascii="Times New Roman" w:hAnsi="Times New Roman"/>
          <w:highlight w:val="cyan"/>
        </w:rPr>
        <w:t xml:space="preserve"> suočava se s nekoliko najvažnijih izazova posljednjih godina: zahtjevi za bržim isporukama i nižim cijenama te suočavanje s višim troškovima proizvodnje u odnosu na istočna tržišta i tržišta u nastajanju. Možda </w:t>
      </w:r>
      <w:r w:rsidR="00526EAC" w:rsidRPr="00661B08">
        <w:rPr>
          <w:rFonts w:ascii="Times New Roman" w:hAnsi="Times New Roman"/>
          <w:highlight w:val="cyan"/>
        </w:rPr>
        <w:t xml:space="preserve">je najveći izazov </w:t>
      </w:r>
      <w:r w:rsidRPr="00661B08">
        <w:rPr>
          <w:rFonts w:ascii="Times New Roman" w:hAnsi="Times New Roman"/>
          <w:highlight w:val="cyan"/>
        </w:rPr>
        <w:t>upravo pitanje kako odgovoriti n</w:t>
      </w:r>
      <w:r w:rsidR="00526EAC" w:rsidRPr="00661B08">
        <w:rPr>
          <w:rFonts w:ascii="Times New Roman" w:hAnsi="Times New Roman"/>
          <w:highlight w:val="cyan"/>
        </w:rPr>
        <w:t>a sve strože zahtjeve propisa</w:t>
      </w:r>
      <w:r w:rsidRPr="00661B08">
        <w:rPr>
          <w:rFonts w:ascii="Times New Roman" w:hAnsi="Times New Roman"/>
          <w:highlight w:val="cyan"/>
        </w:rPr>
        <w:t xml:space="preserve"> o zaštiti okoliš</w:t>
      </w:r>
      <w:r w:rsidR="00526EAC" w:rsidRPr="00661B08">
        <w:rPr>
          <w:rFonts w:ascii="Times New Roman" w:hAnsi="Times New Roman"/>
          <w:highlight w:val="cyan"/>
        </w:rPr>
        <w:t>a. U Europi je danas čak polovica svih šuma zaštićeno</w:t>
      </w:r>
      <w:r w:rsidRPr="00661B08">
        <w:rPr>
          <w:rFonts w:ascii="Times New Roman" w:hAnsi="Times New Roman"/>
          <w:highlight w:val="cyan"/>
        </w:rPr>
        <w:t xml:space="preserve"> FSC certifikatom, dok sve ostale svjetske regije značajno zaostaju za tom brojkom. Najviše celuloze u Europi proizvode Švedska i Finska, a slijede ih Njemačka i Portugal. Najviše papir</w:t>
      </w:r>
      <w:r w:rsidR="00526EAC" w:rsidRPr="00661B08">
        <w:rPr>
          <w:rFonts w:ascii="Times New Roman" w:hAnsi="Times New Roman"/>
          <w:highlight w:val="cyan"/>
        </w:rPr>
        <w:t xml:space="preserve">a i kartona po toni najviše </w:t>
      </w:r>
      <w:r w:rsidRPr="00661B08">
        <w:rPr>
          <w:rFonts w:ascii="Times New Roman" w:hAnsi="Times New Roman"/>
          <w:highlight w:val="cyan"/>
        </w:rPr>
        <w:t>proizvode Švedska, Finska, Njemačka, Francuska, Španjolska, Austrija i U</w:t>
      </w:r>
      <w:r w:rsidR="00526EAC" w:rsidRPr="00661B08">
        <w:rPr>
          <w:rFonts w:ascii="Times New Roman" w:hAnsi="Times New Roman"/>
          <w:highlight w:val="cyan"/>
        </w:rPr>
        <w:t xml:space="preserve">jedinjeno </w:t>
      </w:r>
      <w:r w:rsidRPr="00661B08">
        <w:rPr>
          <w:rFonts w:ascii="Times New Roman" w:hAnsi="Times New Roman"/>
          <w:highlight w:val="cyan"/>
        </w:rPr>
        <w:t>K</w:t>
      </w:r>
      <w:r w:rsidR="00526EAC" w:rsidRPr="00661B08">
        <w:rPr>
          <w:rFonts w:ascii="Times New Roman" w:hAnsi="Times New Roman"/>
          <w:highlight w:val="cyan"/>
        </w:rPr>
        <w:t>raljevstvo</w:t>
      </w:r>
      <w:r w:rsidRPr="00661B08">
        <w:rPr>
          <w:rFonts w:ascii="Times New Roman" w:hAnsi="Times New Roman"/>
          <w:highlight w:val="cyan"/>
        </w:rPr>
        <w:t>.</w:t>
      </w:r>
    </w:p>
    <w:p w:rsidR="001B41B0" w:rsidRPr="00661B08" w:rsidRDefault="001B41B0" w:rsidP="001B41B0">
      <w:pPr>
        <w:rPr>
          <w:szCs w:val="24"/>
          <w:highlight w:val="cyan"/>
        </w:rPr>
      </w:pPr>
    </w:p>
    <w:p w:rsidR="001B41B0" w:rsidRPr="00661B08" w:rsidRDefault="001B41B0" w:rsidP="00D001B9">
      <w:pPr>
        <w:pStyle w:val="Heading3"/>
        <w:rPr>
          <w:highlight w:val="cyan"/>
        </w:rPr>
      </w:pPr>
      <w:bookmarkStart w:id="541" w:name="_Toc365386983"/>
      <w:bookmarkStart w:id="542" w:name="_Toc365992545"/>
      <w:bookmarkStart w:id="543" w:name="_Toc366154283"/>
      <w:bookmarkStart w:id="544" w:name="_Toc366154403"/>
      <w:bookmarkStart w:id="545" w:name="_Toc366409946"/>
      <w:bookmarkStart w:id="546" w:name="_Toc372088005"/>
      <w:bookmarkStart w:id="547" w:name="_Toc378069066"/>
      <w:r w:rsidRPr="00661B08">
        <w:rPr>
          <w:highlight w:val="cyan"/>
        </w:rPr>
        <w:t>Stanje i perspektive razvoja u Republici Hrvatskoj</w:t>
      </w:r>
      <w:bookmarkEnd w:id="541"/>
      <w:bookmarkEnd w:id="542"/>
      <w:bookmarkEnd w:id="543"/>
      <w:bookmarkEnd w:id="544"/>
      <w:bookmarkEnd w:id="545"/>
      <w:bookmarkEnd w:id="546"/>
      <w:bookmarkEnd w:id="547"/>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 xml:space="preserve">Proizvodnja papira i proizvoda od papira prema obračunu sati rada, zapošljavala je ukupno 4.113, 3.691 i 3.562 </w:t>
      </w:r>
      <w:r w:rsidR="00856A93" w:rsidRPr="00661B08">
        <w:rPr>
          <w:rFonts w:ascii="Times New Roman" w:hAnsi="Times New Roman"/>
          <w:highlight w:val="cyan"/>
        </w:rPr>
        <w:t xml:space="preserve">u razdoblju </w:t>
      </w:r>
      <w:r w:rsidRPr="00661B08">
        <w:rPr>
          <w:rFonts w:ascii="Times New Roman" w:hAnsi="Times New Roman"/>
          <w:highlight w:val="cyan"/>
        </w:rPr>
        <w:t>2010.</w:t>
      </w:r>
      <w:r w:rsidR="00856A93" w:rsidRPr="00661B08">
        <w:rPr>
          <w:rFonts w:ascii="Times New Roman" w:hAnsi="Times New Roman"/>
          <w:highlight w:val="cyan"/>
        </w:rPr>
        <w:t xml:space="preserve"> – </w:t>
      </w:r>
      <w:r w:rsidRPr="00661B08">
        <w:rPr>
          <w:rFonts w:ascii="Times New Roman" w:hAnsi="Times New Roman"/>
          <w:highlight w:val="cyan"/>
        </w:rPr>
        <w:t xml:space="preserve">2012. U 2012. </w:t>
      </w:r>
      <w:r w:rsidR="00856A93" w:rsidRPr="00661B08">
        <w:rPr>
          <w:rFonts w:ascii="Times New Roman" w:hAnsi="Times New Roman"/>
          <w:highlight w:val="cyan"/>
        </w:rPr>
        <w:t xml:space="preserve">godini </w:t>
      </w:r>
      <w:r w:rsidRPr="00661B08">
        <w:rPr>
          <w:rFonts w:ascii="Times New Roman" w:hAnsi="Times New Roman"/>
          <w:highlight w:val="cyan"/>
        </w:rPr>
        <w:t>je u odnosu na 2011. smanjen broj poduzeća, sa 178 na 173. Poddjelatnost Proizvodnja proizvoda od papira i kartona zapošljava preko 70% zaposlenika djelatnosti (</w:t>
      </w:r>
      <w:r w:rsidR="00856A93" w:rsidRPr="00661B08">
        <w:rPr>
          <w:rFonts w:ascii="Times New Roman" w:hAnsi="Times New Roman"/>
          <w:highlight w:val="cyan"/>
        </w:rPr>
        <w:t xml:space="preserve">u </w:t>
      </w:r>
      <w:r w:rsidRPr="00661B08">
        <w:rPr>
          <w:rFonts w:ascii="Times New Roman" w:hAnsi="Times New Roman"/>
          <w:highlight w:val="cyan"/>
        </w:rPr>
        <w:t>2012.</w:t>
      </w:r>
      <w:r w:rsidR="00856A93" w:rsidRPr="00661B08">
        <w:rPr>
          <w:rFonts w:ascii="Times New Roman" w:hAnsi="Times New Roman"/>
          <w:highlight w:val="cyan"/>
        </w:rPr>
        <w:t xml:space="preserve"> godini</w:t>
      </w:r>
      <w:r w:rsidRPr="00661B08">
        <w:rPr>
          <w:rFonts w:ascii="Times New Roman" w:hAnsi="Times New Roman"/>
          <w:highlight w:val="cyan"/>
        </w:rPr>
        <w:t xml:space="preserve">). </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Prema ponderiranom vlasništvu kapitala (ponder je ukupni prihod), čak 77% se nalazi u domaćem vlasništvu, d</w:t>
      </w:r>
      <w:r w:rsidR="00856A93" w:rsidRPr="00661B08">
        <w:rPr>
          <w:rFonts w:ascii="Times New Roman" w:hAnsi="Times New Roman"/>
          <w:highlight w:val="cyan"/>
        </w:rPr>
        <w:t>ok je 22% kapitala inozemnog porijek</w:t>
      </w:r>
      <w:r w:rsidRPr="00661B08">
        <w:rPr>
          <w:rFonts w:ascii="Times New Roman" w:hAnsi="Times New Roman"/>
          <w:highlight w:val="cyan"/>
        </w:rPr>
        <w:t>la. 18 najvećih poduzeća ostvaruje oko 80% ukupnih prihoda ove djelatnosti. 80% aktive drži 25 poduzeća, a 80% zaposlenika radi u 27 poduzeća.  Ja</w:t>
      </w:r>
      <w:r w:rsidR="00856A93" w:rsidRPr="00661B08">
        <w:rPr>
          <w:rFonts w:ascii="Times New Roman" w:hAnsi="Times New Roman"/>
          <w:highlight w:val="cyan"/>
        </w:rPr>
        <w:t xml:space="preserve">ča koncentracija djelatnosti </w:t>
      </w:r>
      <w:r w:rsidRPr="00661B08">
        <w:rPr>
          <w:rFonts w:ascii="Times New Roman" w:hAnsi="Times New Roman"/>
          <w:highlight w:val="cyan"/>
        </w:rPr>
        <w:t xml:space="preserve">može </w:t>
      </w:r>
      <w:r w:rsidR="00856A93" w:rsidRPr="00661B08">
        <w:rPr>
          <w:rFonts w:ascii="Times New Roman" w:hAnsi="Times New Roman"/>
          <w:highlight w:val="cyan"/>
        </w:rPr>
        <w:t xml:space="preserve">se </w:t>
      </w:r>
      <w:r w:rsidRPr="00661B08">
        <w:rPr>
          <w:rFonts w:ascii="Times New Roman" w:hAnsi="Times New Roman"/>
          <w:highlight w:val="cyan"/>
        </w:rPr>
        <w:t xml:space="preserve">vidjeti u razini uvoza i izvoza. 9 poduzeća izvozi oko 77% ukupnog izvoza djelatnosti, dok 11 poduzeća uvozi gotovo 79% ukupnog uvoza promatrane djelatnosti. </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Ukupna imovina (aktiva) djelat</w:t>
      </w:r>
      <w:r w:rsidR="00856A93" w:rsidRPr="00661B08">
        <w:rPr>
          <w:rFonts w:ascii="Times New Roman" w:hAnsi="Times New Roman"/>
          <w:highlight w:val="cyan"/>
        </w:rPr>
        <w:t xml:space="preserve">nosti </w:t>
      </w:r>
      <w:r w:rsidRPr="00661B08">
        <w:rPr>
          <w:rFonts w:ascii="Times New Roman" w:hAnsi="Times New Roman"/>
          <w:highlight w:val="cyan"/>
        </w:rPr>
        <w:t xml:space="preserve">smanjena </w:t>
      </w:r>
      <w:r w:rsidR="00856A93" w:rsidRPr="00661B08">
        <w:rPr>
          <w:rFonts w:ascii="Times New Roman" w:hAnsi="Times New Roman"/>
          <w:highlight w:val="cyan"/>
        </w:rPr>
        <w:t xml:space="preserve">je </w:t>
      </w:r>
      <w:r w:rsidRPr="00661B08">
        <w:rPr>
          <w:rFonts w:ascii="Times New Roman" w:hAnsi="Times New Roman"/>
          <w:highlight w:val="cyan"/>
        </w:rPr>
        <w:t>za visokih 33,09% u razdoblju 2010.</w:t>
      </w:r>
      <w:r w:rsidR="00856A93" w:rsidRPr="00661B08">
        <w:rPr>
          <w:rFonts w:ascii="Times New Roman" w:hAnsi="Times New Roman"/>
          <w:highlight w:val="cyan"/>
        </w:rPr>
        <w:t xml:space="preserve"> – </w:t>
      </w:r>
      <w:r w:rsidRPr="00661B08">
        <w:rPr>
          <w:rFonts w:ascii="Times New Roman" w:hAnsi="Times New Roman"/>
          <w:highlight w:val="cyan"/>
        </w:rPr>
        <w:t xml:space="preserve">2012. Omjer dugotrajne i kratkotrajne imovine </w:t>
      </w:r>
      <w:r w:rsidR="00856A93" w:rsidRPr="00661B08">
        <w:rPr>
          <w:rFonts w:ascii="Times New Roman" w:hAnsi="Times New Roman"/>
          <w:highlight w:val="cyan"/>
        </w:rPr>
        <w:t xml:space="preserve">kretao se u promatrane tri godine </w:t>
      </w:r>
      <w:r w:rsidRPr="00661B08">
        <w:rPr>
          <w:rFonts w:ascii="Times New Roman" w:hAnsi="Times New Roman"/>
          <w:highlight w:val="cyan"/>
        </w:rPr>
        <w:t>oko 55:45. U strukturi pasive najmanji udio činile su dugoročne obveze, nakon kojih slijede kratkoročne, a najveći udio činile su stavke kapitala i</w:t>
      </w:r>
      <w:r w:rsidR="00856A93" w:rsidRPr="00661B08">
        <w:rPr>
          <w:rFonts w:ascii="Times New Roman" w:hAnsi="Times New Roman"/>
          <w:highlight w:val="cyan"/>
        </w:rPr>
        <w:t xml:space="preserve"> rezervi. U ovoj djelatnosti </w:t>
      </w:r>
      <w:r w:rsidRPr="00661B08">
        <w:rPr>
          <w:rFonts w:ascii="Times New Roman" w:hAnsi="Times New Roman"/>
          <w:highlight w:val="cyan"/>
        </w:rPr>
        <w:t xml:space="preserve">zamjetno </w:t>
      </w:r>
      <w:r w:rsidR="00856A93" w:rsidRPr="00661B08">
        <w:rPr>
          <w:rFonts w:ascii="Times New Roman" w:hAnsi="Times New Roman"/>
          <w:highlight w:val="cyan"/>
        </w:rPr>
        <w:t xml:space="preserve">je </w:t>
      </w:r>
      <w:r w:rsidRPr="00661B08">
        <w:rPr>
          <w:rFonts w:ascii="Times New Roman" w:hAnsi="Times New Roman"/>
          <w:highlight w:val="cyan"/>
        </w:rPr>
        <w:t xml:space="preserve">financiranje pretežito iz vlastitih sredstava. U udjelu duga u sve tri promatrane godine ističu se dugoročne obveze prema bankama i drugim financijskim institucijama. U kratkoročnim obvezama najveći udio činile su obveze prema dobavljačima. Na smanjenje aktive i pasive najviše utječe </w:t>
      </w:r>
      <w:r w:rsidRPr="00661B08">
        <w:rPr>
          <w:rFonts w:ascii="Times New Roman" w:hAnsi="Times New Roman"/>
          <w:highlight w:val="cyan"/>
        </w:rPr>
        <w:lastRenderedPageBreak/>
        <w:t xml:space="preserve">poddjelatnost Proizvodnja celuloze, papira i kartona. Nasuprot smanjenju imovine i obveza, u ovoj </w:t>
      </w:r>
      <w:r w:rsidR="00977561" w:rsidRPr="00661B08">
        <w:rPr>
          <w:rFonts w:ascii="Times New Roman" w:hAnsi="Times New Roman"/>
          <w:highlight w:val="cyan"/>
        </w:rPr>
        <w:t xml:space="preserve">su </w:t>
      </w:r>
      <w:r w:rsidRPr="00661B08">
        <w:rPr>
          <w:rFonts w:ascii="Times New Roman" w:hAnsi="Times New Roman"/>
          <w:highlight w:val="cyan"/>
        </w:rPr>
        <w:t>dje</w:t>
      </w:r>
      <w:r w:rsidR="00977561" w:rsidRPr="00661B08">
        <w:rPr>
          <w:rFonts w:ascii="Times New Roman" w:hAnsi="Times New Roman"/>
          <w:highlight w:val="cyan"/>
        </w:rPr>
        <w:t xml:space="preserve">latnosti poduzeća </w:t>
      </w:r>
      <w:r w:rsidRPr="00661B08">
        <w:rPr>
          <w:rFonts w:ascii="Times New Roman" w:hAnsi="Times New Roman"/>
          <w:highlight w:val="cyan"/>
        </w:rPr>
        <w:t>uspjela zadržati približno isti iznos ukupnih prihoda u razdoblju 2010.</w:t>
      </w:r>
      <w:r w:rsidR="00977561" w:rsidRPr="00661B08">
        <w:rPr>
          <w:rFonts w:ascii="Times New Roman" w:hAnsi="Times New Roman"/>
          <w:highlight w:val="cyan"/>
        </w:rPr>
        <w:t xml:space="preserve"> – </w:t>
      </w:r>
      <w:r w:rsidRPr="00661B08">
        <w:rPr>
          <w:rFonts w:ascii="Times New Roman" w:hAnsi="Times New Roman"/>
          <w:highlight w:val="cyan"/>
        </w:rPr>
        <w:t>2012</w:t>
      </w:r>
      <w:r w:rsidR="00977561" w:rsidRPr="00661B08">
        <w:rPr>
          <w:rFonts w:ascii="Times New Roman" w:hAnsi="Times New Roman"/>
          <w:highlight w:val="cyan"/>
        </w:rPr>
        <w:t xml:space="preserve">. Međutim, poslovni rashodi </w:t>
      </w:r>
      <w:r w:rsidRPr="00661B08">
        <w:rPr>
          <w:rFonts w:ascii="Times New Roman" w:hAnsi="Times New Roman"/>
          <w:highlight w:val="cyan"/>
        </w:rPr>
        <w:t xml:space="preserve">osjetno </w:t>
      </w:r>
      <w:r w:rsidR="00977561" w:rsidRPr="00661B08">
        <w:rPr>
          <w:rFonts w:ascii="Times New Roman" w:hAnsi="Times New Roman"/>
          <w:highlight w:val="cyan"/>
        </w:rPr>
        <w:t>su povećani u 2012. (s 2,46 milijardi</w:t>
      </w:r>
      <w:r w:rsidRPr="00661B08">
        <w:rPr>
          <w:rFonts w:ascii="Times New Roman" w:hAnsi="Times New Roman"/>
          <w:highlight w:val="cyan"/>
        </w:rPr>
        <w:t xml:space="preserve"> i</w:t>
      </w:r>
      <w:r w:rsidR="00977561" w:rsidRPr="00661B08">
        <w:rPr>
          <w:rFonts w:ascii="Times New Roman" w:hAnsi="Times New Roman"/>
          <w:highlight w:val="cyan"/>
        </w:rPr>
        <w:t xml:space="preserve">z 2011. na 2,81 milijardu kuna). </w:t>
      </w:r>
      <w:r w:rsidRPr="00661B08">
        <w:rPr>
          <w:rFonts w:ascii="Times New Roman" w:hAnsi="Times New Roman"/>
          <w:highlight w:val="cyan"/>
        </w:rPr>
        <w:t xml:space="preserve">Analizom poddjelatnosti utvrđeno je da je </w:t>
      </w:r>
      <w:r w:rsidR="00977561" w:rsidRPr="00661B08">
        <w:rPr>
          <w:rFonts w:ascii="Times New Roman" w:hAnsi="Times New Roman"/>
          <w:highlight w:val="cyan"/>
        </w:rPr>
        <w:t xml:space="preserve">djelatnost </w:t>
      </w:r>
      <w:r w:rsidRPr="00661B08">
        <w:rPr>
          <w:rFonts w:ascii="Times New Roman" w:hAnsi="Times New Roman"/>
          <w:highlight w:val="cyan"/>
        </w:rPr>
        <w:t>C17.1 značajno smanjila ukupne prihode i povećala ukupne rashode, dok je C17.2 osjetno povećala ukupne prihode i tek neznatno povećala ukupne rashode.</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Profitabilnost djelatnosti je prema svim analiziranim pokazateljima bila negativna u sve tri promatrane godine, uz vrlo velik pad u 2012. kada je i EBITDA postala negativna. I u ovom</w:t>
      </w:r>
      <w:r w:rsidR="00977561" w:rsidRPr="00661B08">
        <w:rPr>
          <w:rFonts w:ascii="Times New Roman" w:hAnsi="Times New Roman"/>
          <w:highlight w:val="cyan"/>
        </w:rPr>
        <w:t xml:space="preserve"> slučaju pad profitabilnosti </w:t>
      </w:r>
      <w:r w:rsidRPr="00661B08">
        <w:rPr>
          <w:rFonts w:ascii="Times New Roman" w:hAnsi="Times New Roman"/>
          <w:highlight w:val="cyan"/>
        </w:rPr>
        <w:t xml:space="preserve">isključivo </w:t>
      </w:r>
      <w:r w:rsidR="00977561" w:rsidRPr="00661B08">
        <w:rPr>
          <w:rFonts w:ascii="Times New Roman" w:hAnsi="Times New Roman"/>
          <w:highlight w:val="cyan"/>
        </w:rPr>
        <w:t xml:space="preserve">je </w:t>
      </w:r>
      <w:r w:rsidRPr="00661B08">
        <w:rPr>
          <w:rFonts w:ascii="Times New Roman" w:hAnsi="Times New Roman"/>
          <w:highlight w:val="cyan"/>
        </w:rPr>
        <w:t>rezultat poslovanja poduzeća iz poddjelatnosti C17.1., jer je profitabilnost poddjelatnosti C17.2 povećana u promatranom razdoblju. Ukupni prihod po zaposlenom</w:t>
      </w:r>
      <w:r w:rsidR="00977561" w:rsidRPr="00661B08">
        <w:rPr>
          <w:rFonts w:ascii="Times New Roman" w:hAnsi="Times New Roman"/>
          <w:highlight w:val="cyan"/>
        </w:rPr>
        <w:t>e</w:t>
      </w:r>
      <w:r w:rsidRPr="00661B08">
        <w:rPr>
          <w:rFonts w:ascii="Times New Roman" w:hAnsi="Times New Roman"/>
          <w:highlight w:val="cyan"/>
        </w:rPr>
        <w:t xml:space="preserve"> i kumulativna dobit po zaposlenom</w:t>
      </w:r>
      <w:r w:rsidR="00977561" w:rsidRPr="00661B08">
        <w:rPr>
          <w:rFonts w:ascii="Times New Roman" w:hAnsi="Times New Roman"/>
          <w:highlight w:val="cyan"/>
        </w:rPr>
        <w:t>e</w:t>
      </w:r>
      <w:r w:rsidRPr="00661B08">
        <w:rPr>
          <w:rFonts w:ascii="Times New Roman" w:hAnsi="Times New Roman"/>
          <w:highlight w:val="cyan"/>
        </w:rPr>
        <w:t xml:space="preserve"> povećali su se u promatranom razdoblju (zahvaljujući poddjelatnosti C17.2), međutim kumulativni gubitak po zaposlenom</w:t>
      </w:r>
      <w:r w:rsidR="00977561" w:rsidRPr="00661B08">
        <w:rPr>
          <w:rFonts w:ascii="Times New Roman" w:hAnsi="Times New Roman"/>
          <w:highlight w:val="cyan"/>
        </w:rPr>
        <w:t>e</w:t>
      </w:r>
      <w:r w:rsidRPr="00661B08">
        <w:rPr>
          <w:rFonts w:ascii="Times New Roman" w:hAnsi="Times New Roman"/>
          <w:highlight w:val="cyan"/>
        </w:rPr>
        <w:t xml:space="preserve"> se i više nego udvostručio.</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Tr</w:t>
      </w:r>
      <w:r w:rsidR="00977561" w:rsidRPr="00661B08">
        <w:rPr>
          <w:rFonts w:ascii="Times New Roman" w:hAnsi="Times New Roman"/>
          <w:highlight w:val="cyan"/>
        </w:rPr>
        <w:t xml:space="preserve">govinska bilanca djelatnosti </w:t>
      </w:r>
      <w:r w:rsidRPr="00661B08">
        <w:rPr>
          <w:rFonts w:ascii="Times New Roman" w:hAnsi="Times New Roman"/>
          <w:highlight w:val="cyan"/>
        </w:rPr>
        <w:t xml:space="preserve">smanjena </w:t>
      </w:r>
      <w:r w:rsidR="00977561" w:rsidRPr="00661B08">
        <w:rPr>
          <w:rFonts w:ascii="Times New Roman" w:hAnsi="Times New Roman"/>
          <w:highlight w:val="cyan"/>
        </w:rPr>
        <w:t xml:space="preserve">je </w:t>
      </w:r>
      <w:r w:rsidRPr="00661B08">
        <w:rPr>
          <w:rFonts w:ascii="Times New Roman" w:hAnsi="Times New Roman"/>
          <w:highlight w:val="cyan"/>
        </w:rPr>
        <w:t>u razdoblju 2010.</w:t>
      </w:r>
      <w:r w:rsidR="00977561" w:rsidRPr="00661B08">
        <w:rPr>
          <w:rFonts w:ascii="Times New Roman" w:hAnsi="Times New Roman"/>
          <w:highlight w:val="cyan"/>
        </w:rPr>
        <w:t xml:space="preserve"> – </w:t>
      </w:r>
      <w:r w:rsidRPr="00661B08">
        <w:rPr>
          <w:rFonts w:ascii="Times New Roman" w:hAnsi="Times New Roman"/>
          <w:highlight w:val="cyan"/>
        </w:rPr>
        <w:t>2012. iako je i dalje ostala pozitivna</w:t>
      </w:r>
      <w:r w:rsidR="00977561" w:rsidRPr="00661B08">
        <w:rPr>
          <w:rFonts w:ascii="Times New Roman" w:hAnsi="Times New Roman"/>
          <w:highlight w:val="cyan"/>
        </w:rPr>
        <w:t>. Uvozna zavisnost i prodor uvoza u djelatnosti povećani su</w:t>
      </w:r>
      <w:r w:rsidRPr="00661B08">
        <w:rPr>
          <w:rFonts w:ascii="Times New Roman" w:hAnsi="Times New Roman"/>
          <w:highlight w:val="cyan"/>
        </w:rPr>
        <w:t>. Istovremeno dolazi do pada ukupne vrijednosti izvoza, pada udjela izvoza u ukupnom prihodu, ali rasta izvoza po zaposlenom</w:t>
      </w:r>
      <w:r w:rsidR="00977561" w:rsidRPr="00661B08">
        <w:rPr>
          <w:rFonts w:ascii="Times New Roman" w:hAnsi="Times New Roman"/>
          <w:highlight w:val="cyan"/>
        </w:rPr>
        <w:t>e</w:t>
      </w:r>
      <w:r w:rsidRPr="00661B08">
        <w:rPr>
          <w:rFonts w:ascii="Times New Roman" w:hAnsi="Times New Roman"/>
          <w:highlight w:val="cyan"/>
        </w:rPr>
        <w:t xml:space="preserve"> (uzrok u smanjenju broja za</w:t>
      </w:r>
      <w:r w:rsidR="00977561" w:rsidRPr="00661B08">
        <w:rPr>
          <w:rFonts w:ascii="Times New Roman" w:hAnsi="Times New Roman"/>
          <w:highlight w:val="cyan"/>
        </w:rPr>
        <w:t>poslenih). Usporedne prednosti (RCA) smanjivale su se</w:t>
      </w:r>
      <w:r w:rsidRPr="00661B08">
        <w:rPr>
          <w:rFonts w:ascii="Times New Roman" w:hAnsi="Times New Roman"/>
          <w:highlight w:val="cyan"/>
        </w:rPr>
        <w:t xml:space="preserve"> iz godine u godinu. Unatoč padu poslovne aktivnosti, poddjelatnost C17.1 najviše doprinosi pozitivnoj vrijednosti vanjskot</w:t>
      </w:r>
      <w:r w:rsidR="009479B7" w:rsidRPr="00661B08">
        <w:rPr>
          <w:rFonts w:ascii="Times New Roman" w:hAnsi="Times New Roman"/>
          <w:highlight w:val="cyan"/>
        </w:rPr>
        <w:t xml:space="preserve">rgovinske bilance djelatnosti, dok je uvoz </w:t>
      </w:r>
      <w:r w:rsidRPr="00661B08">
        <w:rPr>
          <w:rFonts w:ascii="Times New Roman" w:hAnsi="Times New Roman"/>
          <w:highlight w:val="cyan"/>
        </w:rPr>
        <w:t>izražen kod poddjelatnosti C17.2.</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Bruto dodana vrijednost djelatnosti čini vrlo mali udio u bruto dodanoj vrijednosti industrije (0,74% u 2012.). Pokazatelj specijalizacije govori o kretanju prema visokoj intraindustrijskoj razmjeni. Državne potpore i subvencije činile su mali udio u ukupnim prihodima djelatnosti.</w:t>
      </w:r>
    </w:p>
    <w:p w:rsidR="001B41B0" w:rsidRPr="00661B08" w:rsidRDefault="001B41B0" w:rsidP="001B41B0">
      <w:pPr>
        <w:rPr>
          <w:sz w:val="22"/>
          <w:highlight w:val="cyan"/>
        </w:rPr>
      </w:pPr>
    </w:p>
    <w:p w:rsidR="001B41B0" w:rsidRPr="00661B08" w:rsidRDefault="001D72D0" w:rsidP="00C930F9">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Proizvodnost rada</w:t>
      </w:r>
      <w:r w:rsidR="001B41B0" w:rsidRPr="00661B08">
        <w:rPr>
          <w:rFonts w:ascii="Times New Roman" w:hAnsi="Times New Roman"/>
          <w:highlight w:val="cyan"/>
        </w:rPr>
        <w:t xml:space="preserve"> raste od 2010. </w:t>
      </w:r>
      <w:r w:rsidR="00597F1E" w:rsidRPr="00661B08">
        <w:rPr>
          <w:rFonts w:ascii="Times New Roman" w:hAnsi="Times New Roman"/>
          <w:highlight w:val="cyan"/>
        </w:rPr>
        <w:t>do 2011.,</w:t>
      </w:r>
      <w:r w:rsidRPr="00661B08">
        <w:rPr>
          <w:rFonts w:ascii="Times New Roman" w:hAnsi="Times New Roman"/>
          <w:highlight w:val="cyan"/>
        </w:rPr>
        <w:t xml:space="preserve"> nakon čeg</w:t>
      </w:r>
      <w:r w:rsidR="00472508" w:rsidRPr="00661B08">
        <w:rPr>
          <w:rFonts w:ascii="Times New Roman" w:hAnsi="Times New Roman"/>
          <w:highlight w:val="cyan"/>
        </w:rPr>
        <w:t>a slijedi oštar pad</w:t>
      </w:r>
      <w:r w:rsidR="007403E8" w:rsidRPr="00661B08">
        <w:rPr>
          <w:rFonts w:ascii="Times New Roman" w:hAnsi="Times New Roman"/>
          <w:highlight w:val="cyan"/>
        </w:rPr>
        <w:t>, što je u skladu s</w:t>
      </w:r>
      <w:r w:rsidRPr="00661B08">
        <w:rPr>
          <w:rFonts w:ascii="Times New Roman" w:hAnsi="Times New Roman"/>
          <w:highlight w:val="cyan"/>
        </w:rPr>
        <w:t xml:space="preserve"> promjenama u ostvarenoj bruto dodanoj </w:t>
      </w:r>
      <w:r w:rsidR="007403E8" w:rsidRPr="00661B08">
        <w:rPr>
          <w:rFonts w:ascii="Times New Roman" w:hAnsi="Times New Roman"/>
          <w:highlight w:val="cyan"/>
        </w:rPr>
        <w:t xml:space="preserve">vrijednosti. Broj zaposlenih </w:t>
      </w:r>
      <w:r w:rsidRPr="00661B08">
        <w:rPr>
          <w:rFonts w:ascii="Times New Roman" w:hAnsi="Times New Roman"/>
          <w:highlight w:val="cyan"/>
        </w:rPr>
        <w:t>smanjuje</w:t>
      </w:r>
      <w:r w:rsidR="007403E8" w:rsidRPr="00661B08">
        <w:rPr>
          <w:rFonts w:ascii="Times New Roman" w:hAnsi="Times New Roman"/>
          <w:highlight w:val="cyan"/>
        </w:rPr>
        <w:t xml:space="preserve"> se</w:t>
      </w:r>
      <w:r w:rsidRPr="00661B08">
        <w:rPr>
          <w:rFonts w:ascii="Times New Roman" w:hAnsi="Times New Roman"/>
          <w:highlight w:val="cyan"/>
        </w:rPr>
        <w:t xml:space="preserve">, ali za proporcionalno manju stopu od pada bruto dodane vrijednosti. S druge strane, </w:t>
      </w:r>
      <w:r w:rsidR="007403E8" w:rsidRPr="00661B08">
        <w:rPr>
          <w:rFonts w:ascii="Times New Roman" w:hAnsi="Times New Roman"/>
          <w:highlight w:val="cyan"/>
        </w:rPr>
        <w:t xml:space="preserve">kapitalna imovina </w:t>
      </w:r>
      <w:r w:rsidR="00C930F9" w:rsidRPr="00661B08">
        <w:rPr>
          <w:rFonts w:ascii="Times New Roman" w:hAnsi="Times New Roman"/>
          <w:highlight w:val="cyan"/>
        </w:rPr>
        <w:t xml:space="preserve">smanjuje </w:t>
      </w:r>
      <w:r w:rsidR="007403E8" w:rsidRPr="00661B08">
        <w:rPr>
          <w:rFonts w:ascii="Times New Roman" w:hAnsi="Times New Roman"/>
          <w:highlight w:val="cyan"/>
        </w:rPr>
        <w:t xml:space="preserve">se </w:t>
      </w:r>
      <w:r w:rsidR="00C930F9" w:rsidRPr="00661B08">
        <w:rPr>
          <w:rFonts w:ascii="Times New Roman" w:hAnsi="Times New Roman"/>
          <w:highlight w:val="cyan"/>
        </w:rPr>
        <w:t>za čak 34,02% od 2010.</w:t>
      </w:r>
      <w:r w:rsidR="007403E8" w:rsidRPr="00661B08">
        <w:rPr>
          <w:rFonts w:ascii="Times New Roman" w:hAnsi="Times New Roman"/>
          <w:highlight w:val="cyan"/>
        </w:rPr>
        <w:t xml:space="preserve"> </w:t>
      </w:r>
      <w:r w:rsidR="00597F1E" w:rsidRPr="00661B08">
        <w:rPr>
          <w:rFonts w:ascii="Times New Roman" w:hAnsi="Times New Roman"/>
          <w:highlight w:val="cyan"/>
        </w:rPr>
        <w:t>do</w:t>
      </w:r>
      <w:r w:rsidR="007403E8" w:rsidRPr="00661B08">
        <w:rPr>
          <w:rFonts w:ascii="Times New Roman" w:hAnsi="Times New Roman"/>
          <w:highlight w:val="cyan"/>
        </w:rPr>
        <w:t xml:space="preserve"> </w:t>
      </w:r>
      <w:r w:rsidR="00C930F9" w:rsidRPr="00661B08">
        <w:rPr>
          <w:rFonts w:ascii="Times New Roman" w:hAnsi="Times New Roman"/>
          <w:highlight w:val="cyan"/>
        </w:rPr>
        <w:t>2012</w:t>
      </w:r>
      <w:r w:rsidR="007403E8" w:rsidRPr="00661B08">
        <w:rPr>
          <w:rFonts w:ascii="Times New Roman" w:hAnsi="Times New Roman"/>
          <w:highlight w:val="cyan"/>
        </w:rPr>
        <w:t>.</w:t>
      </w:r>
      <w:r w:rsidR="00C930F9" w:rsidRPr="00661B08">
        <w:rPr>
          <w:rFonts w:ascii="Times New Roman" w:hAnsi="Times New Roman"/>
          <w:highlight w:val="cyan"/>
        </w:rPr>
        <w:t xml:space="preserve">, uslijed čega proizvodnost kapitala raste. </w:t>
      </w:r>
      <w:r w:rsidR="001B41B0" w:rsidRPr="00661B08">
        <w:rPr>
          <w:rFonts w:ascii="Times New Roman" w:hAnsi="Times New Roman"/>
          <w:highlight w:val="cyan"/>
        </w:rPr>
        <w:t xml:space="preserve">Jedinični trošak </w:t>
      </w:r>
      <w:r w:rsidR="00597F1E" w:rsidRPr="00661B08">
        <w:rPr>
          <w:rFonts w:ascii="Times New Roman" w:hAnsi="Times New Roman"/>
          <w:highlight w:val="cyan"/>
        </w:rPr>
        <w:t xml:space="preserve">rada </w:t>
      </w:r>
      <w:r w:rsidR="001B41B0" w:rsidRPr="00661B08">
        <w:rPr>
          <w:rFonts w:ascii="Times New Roman" w:hAnsi="Times New Roman"/>
          <w:highlight w:val="cyan"/>
        </w:rPr>
        <w:t xml:space="preserve">povećan </w:t>
      </w:r>
      <w:r w:rsidR="00597F1E" w:rsidRPr="00661B08">
        <w:rPr>
          <w:rFonts w:ascii="Times New Roman" w:hAnsi="Times New Roman"/>
          <w:highlight w:val="cyan"/>
        </w:rPr>
        <w:t>je sa 0,67 kuna na 0,92 kune</w:t>
      </w:r>
      <w:r w:rsidR="001B41B0" w:rsidRPr="00661B08">
        <w:rPr>
          <w:rFonts w:ascii="Times New Roman" w:hAnsi="Times New Roman"/>
          <w:highlight w:val="cyan"/>
        </w:rPr>
        <w:t xml:space="preserve"> zbog više nego proporcionalnog smanjenja ostvarene bruto dodane vrijednosti u odnosu na smanjenje troška rada. </w:t>
      </w:r>
      <w:r w:rsidR="00C930F9" w:rsidRPr="00661B08">
        <w:rPr>
          <w:rFonts w:ascii="Times New Roman" w:hAnsi="Times New Roman"/>
          <w:highlight w:val="cyan"/>
        </w:rPr>
        <w:t>P</w:t>
      </w:r>
      <w:r w:rsidR="001B41B0" w:rsidRPr="00661B08">
        <w:rPr>
          <w:rFonts w:ascii="Times New Roman" w:hAnsi="Times New Roman"/>
          <w:highlight w:val="cyan"/>
        </w:rPr>
        <w:t xml:space="preserve">ad bruto dodane vrijednosti </w:t>
      </w:r>
      <w:r w:rsidR="00C930F9" w:rsidRPr="00661B08">
        <w:rPr>
          <w:rFonts w:ascii="Times New Roman" w:hAnsi="Times New Roman"/>
          <w:highlight w:val="cyan"/>
        </w:rPr>
        <w:t>i gotov</w:t>
      </w:r>
      <w:r w:rsidR="00597F1E" w:rsidRPr="00661B08">
        <w:rPr>
          <w:rFonts w:ascii="Times New Roman" w:hAnsi="Times New Roman"/>
          <w:highlight w:val="cyan"/>
        </w:rPr>
        <w:t>o</w:t>
      </w:r>
      <w:r w:rsidR="00C930F9" w:rsidRPr="00661B08">
        <w:rPr>
          <w:rFonts w:ascii="Times New Roman" w:hAnsi="Times New Roman"/>
          <w:highlight w:val="cyan"/>
        </w:rPr>
        <w:t xml:space="preserve"> stagnirajući prihodi </w:t>
      </w:r>
      <w:r w:rsidR="00597F1E" w:rsidRPr="00661B08">
        <w:rPr>
          <w:rFonts w:ascii="Times New Roman" w:hAnsi="Times New Roman"/>
          <w:highlight w:val="cyan"/>
        </w:rPr>
        <w:t>govore</w:t>
      </w:r>
      <w:r w:rsidR="001B41B0" w:rsidRPr="00661B08">
        <w:rPr>
          <w:rFonts w:ascii="Times New Roman" w:hAnsi="Times New Roman"/>
          <w:highlight w:val="cyan"/>
        </w:rPr>
        <w:t xml:space="preserve"> o tome da je smanjenje broja zaposlenih i posljedičn</w:t>
      </w:r>
      <w:r w:rsidR="00597F1E" w:rsidRPr="00661B08">
        <w:rPr>
          <w:rFonts w:ascii="Times New Roman" w:hAnsi="Times New Roman"/>
          <w:highlight w:val="cyan"/>
        </w:rPr>
        <w:t>o smanjenje troška rada nastalo</w:t>
      </w:r>
      <w:r w:rsidR="001B41B0" w:rsidRPr="00661B08">
        <w:rPr>
          <w:rFonts w:ascii="Times New Roman" w:hAnsi="Times New Roman"/>
          <w:highlight w:val="cyan"/>
        </w:rPr>
        <w:t xml:space="preserve"> prvenstveno zbog smanjenja pritiska na troškove te da nije provedeno uz racionalizaciju poslovanja koja bi dovela do povećanja prihoda i ostvarene bruto dodane vrijednosti</w:t>
      </w:r>
      <w:r w:rsidR="00906BF2" w:rsidRPr="00661B08">
        <w:rPr>
          <w:rFonts w:ascii="Times New Roman" w:hAnsi="Times New Roman"/>
          <w:highlight w:val="cyan"/>
        </w:rPr>
        <w:t>.</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Vrijednosti pokazatelja likvidnost</w:t>
      </w:r>
      <w:r w:rsidR="00597F1E" w:rsidRPr="00661B08">
        <w:rPr>
          <w:rFonts w:ascii="Times New Roman" w:hAnsi="Times New Roman"/>
          <w:highlight w:val="cyan"/>
        </w:rPr>
        <w:t>i nisu se značajnije promijenile</w:t>
      </w:r>
      <w:r w:rsidRPr="00661B08">
        <w:rPr>
          <w:rFonts w:ascii="Times New Roman" w:hAnsi="Times New Roman"/>
          <w:highlight w:val="cyan"/>
        </w:rPr>
        <w:t xml:space="preserve"> u razdoblju 2010.</w:t>
      </w:r>
      <w:r w:rsidR="00597F1E" w:rsidRPr="00661B08">
        <w:rPr>
          <w:rFonts w:ascii="Times New Roman" w:hAnsi="Times New Roman"/>
          <w:highlight w:val="cyan"/>
        </w:rPr>
        <w:t xml:space="preserve"> – </w:t>
      </w:r>
      <w:r w:rsidRPr="00661B08">
        <w:rPr>
          <w:rFonts w:ascii="Times New Roman" w:hAnsi="Times New Roman"/>
          <w:highlight w:val="cyan"/>
        </w:rPr>
        <w:t xml:space="preserve">2012. Analizom je utvrđeno kako je likvidnost ove djelatnosti bila nedovoljna, s time da poddjelatnost C17.2 u svakom slučaju iskazuje bolje stanje likvidnosti od poddjelatnosti C17.1., a razlog se primarno nalazi u relativno manjoj vrijednosti dugoročnog duga u odnosu na kapital. </w:t>
      </w:r>
    </w:p>
    <w:p w:rsidR="001B41B0" w:rsidRPr="00661B08" w:rsidRDefault="001B41B0" w:rsidP="001B41B0">
      <w:pPr>
        <w:rPr>
          <w:sz w:val="22"/>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Broj zaposlenih u djelatnosti je u razdoblju 2010.</w:t>
      </w:r>
      <w:r w:rsidR="00597F1E" w:rsidRPr="00661B08">
        <w:rPr>
          <w:rFonts w:ascii="Times New Roman" w:hAnsi="Times New Roman"/>
          <w:highlight w:val="cyan"/>
        </w:rPr>
        <w:t xml:space="preserve"> – </w:t>
      </w:r>
      <w:r w:rsidRPr="00661B08">
        <w:rPr>
          <w:rFonts w:ascii="Times New Roman" w:hAnsi="Times New Roman"/>
          <w:highlight w:val="cyan"/>
        </w:rPr>
        <w:t xml:space="preserve">2012. smanjen za 13,4%. U poddjelatnosti C17.2 došlo </w:t>
      </w:r>
      <w:r w:rsidR="00597F1E" w:rsidRPr="00661B08">
        <w:rPr>
          <w:rFonts w:ascii="Times New Roman" w:hAnsi="Times New Roman"/>
          <w:highlight w:val="cyan"/>
        </w:rPr>
        <w:t xml:space="preserve">je </w:t>
      </w:r>
      <w:r w:rsidRPr="00661B08">
        <w:rPr>
          <w:rFonts w:ascii="Times New Roman" w:hAnsi="Times New Roman"/>
          <w:highlight w:val="cyan"/>
        </w:rPr>
        <w:t xml:space="preserve">do zapošljavanja, a u poddjelatnosti C17.1 do otpuštanja radnika (pad od visokih 42%). U razdoblju 2010. </w:t>
      </w:r>
      <w:r w:rsidR="00597F1E" w:rsidRPr="00661B08">
        <w:rPr>
          <w:rFonts w:ascii="Times New Roman" w:hAnsi="Times New Roman"/>
          <w:highlight w:val="cyan"/>
        </w:rPr>
        <w:t xml:space="preserve">– </w:t>
      </w:r>
      <w:r w:rsidRPr="00661B08">
        <w:rPr>
          <w:rFonts w:ascii="Times New Roman" w:hAnsi="Times New Roman"/>
          <w:highlight w:val="cyan"/>
        </w:rPr>
        <w:t xml:space="preserve">2012. na razini djelatnosti dolazi do rasta neto plaća od </w:t>
      </w:r>
      <w:r w:rsidRPr="00661B08">
        <w:rPr>
          <w:rFonts w:ascii="Times New Roman" w:hAnsi="Times New Roman"/>
          <w:highlight w:val="cyan"/>
        </w:rPr>
        <w:lastRenderedPageBreak/>
        <w:t>8,16%, dok su u prosjeku bruto plaće porasle za 6,93%. Najveći udio zaposlenih ima srednju stručnu spremu (56,36% u 2012.).</w:t>
      </w:r>
    </w:p>
    <w:p w:rsidR="001B41B0" w:rsidRPr="00661B08" w:rsidRDefault="001B41B0" w:rsidP="001B41B0">
      <w:pPr>
        <w:pStyle w:val="ListParagraph"/>
        <w:rPr>
          <w:rFonts w:ascii="Times New Roman" w:hAnsi="Times New Roman"/>
          <w:highlight w:val="cyan"/>
        </w:rPr>
      </w:pPr>
    </w:p>
    <w:p w:rsidR="001B41B0" w:rsidRPr="00661B08" w:rsidRDefault="001B41B0" w:rsidP="001B41B0">
      <w:pPr>
        <w:pStyle w:val="ListParagraph"/>
        <w:numPr>
          <w:ilvl w:val="0"/>
          <w:numId w:val="24"/>
        </w:numPr>
        <w:spacing w:after="0"/>
        <w:jc w:val="both"/>
        <w:rPr>
          <w:rFonts w:ascii="Times New Roman" w:hAnsi="Times New Roman"/>
          <w:highlight w:val="cyan"/>
        </w:rPr>
      </w:pPr>
      <w:r w:rsidRPr="00661B08">
        <w:rPr>
          <w:rFonts w:ascii="Times New Roman" w:hAnsi="Times New Roman"/>
          <w:highlight w:val="cyan"/>
        </w:rPr>
        <w:t>Neki od važnijih ograničavajućih čimbenika ove industrije u nje</w:t>
      </w:r>
      <w:r w:rsidR="00597F1E" w:rsidRPr="00661B08">
        <w:rPr>
          <w:rFonts w:ascii="Times New Roman" w:hAnsi="Times New Roman"/>
          <w:highlight w:val="cyan"/>
        </w:rPr>
        <w:t>zinom rastu su ne</w:t>
      </w:r>
      <w:r w:rsidRPr="00661B08">
        <w:rPr>
          <w:rFonts w:ascii="Times New Roman" w:hAnsi="Times New Roman"/>
          <w:highlight w:val="cyan"/>
        </w:rPr>
        <w:t>postojanje raspoloživ</w:t>
      </w:r>
      <w:r w:rsidR="00597F1E" w:rsidRPr="00661B08">
        <w:rPr>
          <w:rFonts w:ascii="Times New Roman" w:hAnsi="Times New Roman"/>
          <w:highlight w:val="cyan"/>
        </w:rPr>
        <w:t>osti sirovina u Hrvatskoj, a cijeli se</w:t>
      </w:r>
      <w:r w:rsidRPr="00661B08">
        <w:rPr>
          <w:rFonts w:ascii="Times New Roman" w:hAnsi="Times New Roman"/>
          <w:highlight w:val="cyan"/>
        </w:rPr>
        <w:t xml:space="preserve"> repromaterijal (prvenstveno papir) uvozi kao i prekapacitiranost hrvatskih tiskara, osobito kod proizvodnje valovite transportne ambalaže.</w:t>
      </w:r>
    </w:p>
    <w:p w:rsidR="001B41B0" w:rsidRPr="00661B08" w:rsidRDefault="001B41B0" w:rsidP="00D001B9">
      <w:pPr>
        <w:pStyle w:val="Heading3"/>
        <w:rPr>
          <w:highlight w:val="cyan"/>
        </w:rPr>
        <w:sectPr w:rsidR="001B41B0" w:rsidRPr="00661B08" w:rsidSect="00F81C4C">
          <w:pgSz w:w="11906" w:h="16838"/>
          <w:pgMar w:top="1418" w:right="1418" w:bottom="1418" w:left="1418" w:header="709" w:footer="709" w:gutter="0"/>
          <w:cols w:space="708"/>
          <w:docGrid w:linePitch="360"/>
        </w:sectPr>
      </w:pPr>
    </w:p>
    <w:p w:rsidR="001B41B0" w:rsidRPr="00661B08" w:rsidRDefault="001B41B0" w:rsidP="00D001B9">
      <w:pPr>
        <w:pStyle w:val="Heading3"/>
        <w:rPr>
          <w:highlight w:val="cyan"/>
        </w:rPr>
      </w:pPr>
      <w:bookmarkStart w:id="548" w:name="_Toc372088006"/>
      <w:bookmarkStart w:id="549" w:name="_Toc378069067"/>
      <w:r w:rsidRPr="00661B08">
        <w:rPr>
          <w:highlight w:val="cyan"/>
        </w:rPr>
        <w:lastRenderedPageBreak/>
        <w:t>Zaključni prikaz pokazatelja</w:t>
      </w:r>
      <w:bookmarkEnd w:id="548"/>
      <w:bookmarkEnd w:id="549"/>
    </w:p>
    <w:p w:rsidR="001B41B0" w:rsidRPr="00661B08" w:rsidRDefault="001B41B0" w:rsidP="001B41B0">
      <w:pPr>
        <w:rPr>
          <w:szCs w:val="24"/>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bookmarkStart w:id="550" w:name="_Toc372088147"/>
      <w:bookmarkStart w:id="551" w:name="_Toc377551082"/>
      <w:bookmarkStart w:id="552" w:name="_Toc377635271"/>
      <w:bookmarkStart w:id="553" w:name="_Toc365992546"/>
      <w:bookmarkStart w:id="554" w:name="_Toc366152984"/>
      <w:bookmarkStart w:id="555" w:name="_Toc366154284"/>
      <w:bookmarkStart w:id="556" w:name="_Toc366154404"/>
      <w:bookmarkStart w:id="557" w:name="_Toc366409947"/>
      <w:r w:rsidRPr="00661B08">
        <w:rPr>
          <w:rStyle w:val="IntenseEmphasis"/>
          <w:b/>
          <w:bCs w:val="0"/>
          <w:iCs w:val="0"/>
          <w:color w:val="548DD4" w:themeColor="text2" w:themeTint="99"/>
          <w:sz w:val="20"/>
          <w:highlight w:val="cyan"/>
        </w:rPr>
        <w:t xml:space="preserve">Tablica </w:t>
      </w:r>
      <w:r w:rsidR="00FB4A6B" w:rsidRPr="00661B08">
        <w:rPr>
          <w:rStyle w:val="IntenseEmphasis"/>
          <w:b/>
          <w:bCs w:val="0"/>
          <w:iCs w:val="0"/>
          <w:color w:val="548DD4" w:themeColor="text2" w:themeTint="99"/>
          <w:sz w:val="20"/>
          <w:highlight w:val="cyan"/>
        </w:rPr>
        <w:t>70</w:t>
      </w:r>
      <w:r w:rsidRPr="00661B08">
        <w:rPr>
          <w:rStyle w:val="IntenseEmphasis"/>
          <w:b/>
          <w:bCs w:val="0"/>
          <w:iCs w:val="0"/>
          <w:color w:val="548DD4" w:themeColor="text2" w:themeTint="99"/>
          <w:sz w:val="20"/>
          <w:highlight w:val="cyan"/>
        </w:rPr>
        <w:t>. Kvantitativni pokazatelji (C17)</w:t>
      </w:r>
      <w:bookmarkEnd w:id="550"/>
      <w:bookmarkEnd w:id="551"/>
      <w:bookmarkEnd w:id="552"/>
      <w:r w:rsidRPr="00661B08">
        <w:rPr>
          <w:rStyle w:val="IntenseEmphasis"/>
          <w:b/>
          <w:bCs w:val="0"/>
          <w:iCs w:val="0"/>
          <w:color w:val="548DD4" w:themeColor="text2" w:themeTint="99"/>
          <w:sz w:val="20"/>
          <w:highlight w:val="cy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86"/>
        <w:gridCol w:w="1266"/>
        <w:gridCol w:w="1266"/>
        <w:gridCol w:w="1266"/>
      </w:tblGrid>
      <w:tr w:rsidR="001B41B0" w:rsidRPr="00661B08" w:rsidTr="0097195F">
        <w:trPr>
          <w:trHeight w:val="20"/>
        </w:trPr>
        <w:tc>
          <w:tcPr>
            <w:tcW w:w="2025" w:type="pct"/>
            <w:shd w:val="pct15" w:color="auto" w:fill="auto"/>
            <w:noWrap/>
            <w:vAlign w:val="center"/>
          </w:tcPr>
          <w:p w:rsidR="001B41B0" w:rsidRPr="00661B08" w:rsidRDefault="001B41B0" w:rsidP="0097195F">
            <w:pPr>
              <w:spacing w:line="240" w:lineRule="auto"/>
              <w:jc w:val="center"/>
              <w:rPr>
                <w:b/>
                <w:sz w:val="22"/>
                <w:highlight w:val="cyan"/>
                <w:lang w:eastAsia="hr-HR"/>
              </w:rPr>
            </w:pPr>
            <w:r w:rsidRPr="00661B08">
              <w:rPr>
                <w:b/>
                <w:sz w:val="22"/>
                <w:highlight w:val="cyan"/>
                <w:lang w:eastAsia="hr-HR"/>
              </w:rPr>
              <w:t>Pokazatelj</w:t>
            </w:r>
          </w:p>
        </w:tc>
        <w:tc>
          <w:tcPr>
            <w:tcW w:w="948"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2010.</w:t>
            </w:r>
          </w:p>
        </w:tc>
        <w:tc>
          <w:tcPr>
            <w:tcW w:w="948"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2011.</w:t>
            </w:r>
          </w:p>
        </w:tc>
        <w:tc>
          <w:tcPr>
            <w:tcW w:w="1079"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Verižni indeksi proizvođačkih cijena</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105,60</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107,10</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98,41</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Verižni indeksi obujma industrijske proizvodnje</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115,50</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99,20</w:t>
            </w:r>
          </w:p>
        </w:tc>
        <w:tc>
          <w:tcPr>
            <w:tcW w:w="1079" w:type="pct"/>
            <w:shd w:val="clear" w:color="auto" w:fill="FFFFFF"/>
            <w:noWrap/>
          </w:tcPr>
          <w:p w:rsidR="001B41B0" w:rsidRPr="00661B08" w:rsidRDefault="00212386" w:rsidP="0097195F">
            <w:pPr>
              <w:spacing w:line="240" w:lineRule="auto"/>
              <w:jc w:val="right"/>
              <w:rPr>
                <w:sz w:val="22"/>
                <w:highlight w:val="cyan"/>
              </w:rPr>
            </w:pPr>
            <w:r w:rsidRPr="00661B08">
              <w:rPr>
                <w:sz w:val="22"/>
                <w:highlight w:val="cyan"/>
              </w:rPr>
              <w:t>96,2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Broj zaposlenih prema satima rada</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4.113</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3.691</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3.562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Ukupni prihod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2.562.722.225</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2.585.520.327</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2.560.706.546</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EBITDA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199.258.863</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180.674.624</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-203.807.061</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Operativna marža profita (%)</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1,97</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1,81</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-14,84</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Ukupni prihod po zaposlenom</w:t>
            </w:r>
            <w:r w:rsidR="00537C86" w:rsidRPr="00661B08">
              <w:rPr>
                <w:b/>
                <w:sz w:val="22"/>
                <w:highlight w:val="cyan"/>
                <w:lang w:eastAsia="hr-HR"/>
              </w:rPr>
              <w:t>e</w:t>
            </w:r>
            <w:r w:rsidRPr="00661B08">
              <w:rPr>
                <w:b/>
                <w:sz w:val="22"/>
                <w:highlight w:val="cyan"/>
                <w:lang w:eastAsia="hr-HR"/>
              </w:rPr>
              <w:t xml:space="preserve">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623.079</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700.493</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718.896</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Bruto dodana vrijednost (HRK)</w:t>
            </w:r>
          </w:p>
        </w:tc>
        <w:tc>
          <w:tcPr>
            <w:tcW w:w="948" w:type="pct"/>
            <w:shd w:val="clear" w:color="auto" w:fill="FFFFFF"/>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502.612.340</w:t>
            </w:r>
          </w:p>
        </w:tc>
        <w:tc>
          <w:tcPr>
            <w:tcW w:w="948" w:type="pct"/>
            <w:shd w:val="clear" w:color="auto" w:fill="FFFFFF"/>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589.858.739</w:t>
            </w:r>
          </w:p>
        </w:tc>
        <w:tc>
          <w:tcPr>
            <w:tcW w:w="1079" w:type="pct"/>
            <w:shd w:val="clear" w:color="auto" w:fill="FFFFFF"/>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339.870.598</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Dobitak po zaposlenom</w:t>
            </w:r>
            <w:r w:rsidR="00537C86" w:rsidRPr="00661B08">
              <w:rPr>
                <w:b/>
                <w:sz w:val="22"/>
                <w:highlight w:val="cyan"/>
                <w:lang w:eastAsia="hr-HR"/>
              </w:rPr>
              <w:t>e</w:t>
            </w:r>
            <w:r w:rsidRPr="00661B08">
              <w:rPr>
                <w:b/>
                <w:sz w:val="22"/>
                <w:highlight w:val="cyan"/>
                <w:lang w:eastAsia="hr-HR"/>
              </w:rPr>
              <w:t xml:space="preserve">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13.905</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15.221</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18.860</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Gubitak po zaposlenom</w:t>
            </w:r>
            <w:r w:rsidR="00537C86" w:rsidRPr="00661B08">
              <w:rPr>
                <w:b/>
                <w:sz w:val="22"/>
                <w:highlight w:val="cyan"/>
                <w:lang w:eastAsia="hr-HR"/>
              </w:rPr>
              <w:t>e</w:t>
            </w:r>
            <w:r w:rsidRPr="00661B08">
              <w:rPr>
                <w:b/>
                <w:sz w:val="22"/>
                <w:highlight w:val="cyan"/>
                <w:lang w:eastAsia="hr-HR"/>
              </w:rPr>
              <w:t xml:space="preserve">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51.583</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15.512</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126.241</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Odnos izvoza i uvoza</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1,645</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1,437</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1,211</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Trgovinska bilanca (HRK)</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393.267.255</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321.541.955</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164.437.414</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Udio izvoza u ukupnom prihodu (%)</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39,13</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40,89</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36,80</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RCA</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0,836</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0,637</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0,348</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Udio BDV</w:t>
            </w:r>
            <w:r w:rsidR="003A2289" w:rsidRPr="00661B08">
              <w:rPr>
                <w:b/>
                <w:sz w:val="22"/>
                <w:highlight w:val="cyan"/>
                <w:lang w:eastAsia="hr-HR"/>
              </w:rPr>
              <w:t>-a</w:t>
            </w:r>
            <w:r w:rsidRPr="00661B08">
              <w:rPr>
                <w:b/>
                <w:sz w:val="22"/>
                <w:highlight w:val="cyan"/>
                <w:lang w:eastAsia="hr-HR"/>
              </w:rPr>
              <w:t xml:space="preserve"> djelatnosti u BDV-u prerađivačke industrije (%)</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1,26</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1,27</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0,74</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Grubell-Lloydov indeks</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0,756</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0,821</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0,904</w:t>
            </w:r>
          </w:p>
        </w:tc>
      </w:tr>
      <w:tr w:rsidR="00C930F9" w:rsidRPr="00661B08" w:rsidTr="0097195F">
        <w:trPr>
          <w:trHeight w:val="20"/>
        </w:trPr>
        <w:tc>
          <w:tcPr>
            <w:tcW w:w="2025" w:type="pct"/>
            <w:shd w:val="clear" w:color="auto" w:fill="auto"/>
            <w:noWrap/>
            <w:vAlign w:val="center"/>
          </w:tcPr>
          <w:p w:rsidR="00C930F9" w:rsidRPr="00661B08" w:rsidRDefault="00C930F9" w:rsidP="0097195F">
            <w:pPr>
              <w:spacing w:line="240" w:lineRule="auto"/>
              <w:jc w:val="left"/>
              <w:rPr>
                <w:b/>
                <w:sz w:val="22"/>
                <w:highlight w:val="cyan"/>
                <w:lang w:eastAsia="hr-HR"/>
              </w:rPr>
            </w:pPr>
            <w:r w:rsidRPr="00661B08">
              <w:rPr>
                <w:b/>
                <w:sz w:val="22"/>
                <w:highlight w:val="cyan"/>
                <w:lang w:eastAsia="hr-HR"/>
              </w:rPr>
              <w:t>Proizvodnost rada (HRK)</w:t>
            </w:r>
          </w:p>
        </w:tc>
        <w:tc>
          <w:tcPr>
            <w:tcW w:w="948"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122.201</w:t>
            </w:r>
          </w:p>
        </w:tc>
        <w:tc>
          <w:tcPr>
            <w:tcW w:w="948"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159.810</w:t>
            </w:r>
          </w:p>
        </w:tc>
        <w:tc>
          <w:tcPr>
            <w:tcW w:w="1079"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95.416</w:t>
            </w:r>
          </w:p>
        </w:tc>
      </w:tr>
      <w:tr w:rsidR="00C930F9" w:rsidRPr="00661B08" w:rsidTr="0097195F">
        <w:trPr>
          <w:trHeight w:val="20"/>
        </w:trPr>
        <w:tc>
          <w:tcPr>
            <w:tcW w:w="2025" w:type="pct"/>
            <w:shd w:val="clear" w:color="auto" w:fill="auto"/>
            <w:noWrap/>
            <w:vAlign w:val="center"/>
          </w:tcPr>
          <w:p w:rsidR="00C930F9" w:rsidRPr="00661B08" w:rsidRDefault="00C930F9" w:rsidP="0097195F">
            <w:pPr>
              <w:spacing w:line="240" w:lineRule="auto"/>
              <w:jc w:val="left"/>
              <w:rPr>
                <w:b/>
                <w:sz w:val="22"/>
                <w:highlight w:val="cyan"/>
                <w:lang w:eastAsia="hr-HR"/>
              </w:rPr>
            </w:pPr>
            <w:r w:rsidRPr="00661B08">
              <w:rPr>
                <w:b/>
                <w:sz w:val="22"/>
                <w:highlight w:val="cyan"/>
                <w:lang w:eastAsia="hr-HR"/>
              </w:rPr>
              <w:t>Proizvodnost kapitala</w:t>
            </w:r>
          </w:p>
        </w:tc>
        <w:tc>
          <w:tcPr>
            <w:tcW w:w="948"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0,32</w:t>
            </w:r>
          </w:p>
        </w:tc>
        <w:tc>
          <w:tcPr>
            <w:tcW w:w="948"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0,45</w:t>
            </w:r>
          </w:p>
        </w:tc>
        <w:tc>
          <w:tcPr>
            <w:tcW w:w="1079" w:type="pct"/>
            <w:shd w:val="clear" w:color="auto" w:fill="auto"/>
            <w:noWrap/>
            <w:vAlign w:val="bottom"/>
          </w:tcPr>
          <w:p w:rsidR="00C930F9" w:rsidRPr="00661B08" w:rsidRDefault="00C930F9" w:rsidP="0097195F">
            <w:pPr>
              <w:spacing w:line="240" w:lineRule="auto"/>
              <w:jc w:val="right"/>
              <w:rPr>
                <w:color w:val="000000"/>
                <w:sz w:val="22"/>
                <w:highlight w:val="cyan"/>
              </w:rPr>
            </w:pPr>
            <w:r w:rsidRPr="00661B08">
              <w:rPr>
                <w:color w:val="000000"/>
                <w:sz w:val="22"/>
                <w:highlight w:val="cyan"/>
              </w:rPr>
              <w:t>0,32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Jedinični trošak rada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0,55</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0,92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Koeficijent zaduženosti</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0,59</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0,53</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0,60</w:t>
            </w:r>
          </w:p>
        </w:tc>
      </w:tr>
    </w:tbl>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p>
    <w:p w:rsidR="00416AA9" w:rsidRPr="00661B08" w:rsidRDefault="00416AA9" w:rsidP="00416AA9">
      <w:pPr>
        <w:rPr>
          <w:highlight w:val="cyan"/>
          <w:lang w:eastAsia="hr-HR"/>
        </w:rPr>
      </w:pPr>
    </w:p>
    <w:p w:rsidR="001B41B0" w:rsidRPr="00661B08" w:rsidRDefault="001B41B0" w:rsidP="001B41B0">
      <w:pPr>
        <w:rPr>
          <w:highlight w:val="cyan"/>
          <w:lang w:eastAsia="hr-HR"/>
        </w:rPr>
      </w:pPr>
    </w:p>
    <w:p w:rsidR="001B41B0" w:rsidRPr="00661B08" w:rsidRDefault="001B41B0" w:rsidP="007D0CFD">
      <w:pPr>
        <w:pStyle w:val="Heading5"/>
        <w:rPr>
          <w:rStyle w:val="IntenseEmphasis"/>
          <w:b/>
          <w:bCs w:val="0"/>
          <w:iCs w:val="0"/>
          <w:color w:val="548DD4" w:themeColor="text2" w:themeTint="99"/>
          <w:sz w:val="20"/>
          <w:highlight w:val="cyan"/>
        </w:rPr>
      </w:pPr>
      <w:bookmarkStart w:id="558" w:name="_Toc372088148"/>
      <w:bookmarkStart w:id="559" w:name="_Toc377551083"/>
      <w:bookmarkStart w:id="560" w:name="_Toc377635272"/>
      <w:r w:rsidRPr="00661B08">
        <w:rPr>
          <w:rStyle w:val="IntenseEmphasis"/>
          <w:b/>
          <w:bCs w:val="0"/>
          <w:iCs w:val="0"/>
          <w:color w:val="548DD4" w:themeColor="text2" w:themeTint="99"/>
          <w:sz w:val="20"/>
          <w:highlight w:val="cyan"/>
        </w:rPr>
        <w:t xml:space="preserve">Tablica </w:t>
      </w:r>
      <w:r w:rsidR="00FB4A6B" w:rsidRPr="00661B08">
        <w:rPr>
          <w:rStyle w:val="IntenseEmphasis"/>
          <w:b/>
          <w:bCs w:val="0"/>
          <w:iCs w:val="0"/>
          <w:color w:val="548DD4" w:themeColor="text2" w:themeTint="99"/>
          <w:sz w:val="20"/>
          <w:highlight w:val="cyan"/>
        </w:rPr>
        <w:t>71</w:t>
      </w:r>
      <w:r w:rsidRPr="00661B08">
        <w:rPr>
          <w:rStyle w:val="IntenseEmphasis"/>
          <w:b/>
          <w:bCs w:val="0"/>
          <w:iCs w:val="0"/>
          <w:color w:val="548DD4" w:themeColor="text2" w:themeTint="99"/>
          <w:sz w:val="20"/>
          <w:highlight w:val="cyan"/>
        </w:rPr>
        <w:t>. Kvalitativni pokazatelji (C17)</w:t>
      </w:r>
      <w:bookmarkEnd w:id="558"/>
      <w:bookmarkEnd w:id="559"/>
      <w:bookmarkEnd w:id="560"/>
      <w:r w:rsidRPr="00661B08">
        <w:rPr>
          <w:rStyle w:val="IntenseEmphasis"/>
          <w:b/>
          <w:bCs w:val="0"/>
          <w:iCs w:val="0"/>
          <w:color w:val="548DD4" w:themeColor="text2" w:themeTint="99"/>
          <w:sz w:val="20"/>
          <w:highlight w:val="cy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76"/>
      </w:tblGrid>
      <w:tr w:rsidR="001B41B0" w:rsidRPr="00661B08" w:rsidTr="0097195F">
        <w:trPr>
          <w:trHeight w:val="20"/>
        </w:trPr>
        <w:tc>
          <w:tcPr>
            <w:tcW w:w="1890" w:type="pct"/>
            <w:shd w:val="pct15" w:color="auto" w:fill="auto"/>
            <w:vAlign w:val="center"/>
          </w:tcPr>
          <w:p w:rsidR="001B41B0" w:rsidRPr="00661B08" w:rsidRDefault="001B41B0" w:rsidP="0097195F">
            <w:pPr>
              <w:spacing w:line="240" w:lineRule="auto"/>
              <w:jc w:val="center"/>
              <w:rPr>
                <w:b/>
                <w:sz w:val="22"/>
                <w:highlight w:val="cyan"/>
              </w:rPr>
            </w:pPr>
            <w:r w:rsidRPr="00661B08">
              <w:rPr>
                <w:b/>
                <w:sz w:val="22"/>
                <w:highlight w:val="cyan"/>
              </w:rPr>
              <w:t xml:space="preserve">Čimbenici razvoja </w:t>
            </w:r>
          </w:p>
        </w:tc>
        <w:tc>
          <w:tcPr>
            <w:tcW w:w="3110" w:type="pct"/>
            <w:shd w:val="pct15" w:color="auto" w:fill="auto"/>
            <w:vAlign w:val="center"/>
          </w:tcPr>
          <w:p w:rsidR="001B41B0" w:rsidRPr="00661B08" w:rsidRDefault="001B41B0" w:rsidP="0097195F">
            <w:pPr>
              <w:spacing w:line="240" w:lineRule="auto"/>
              <w:jc w:val="center"/>
              <w:rPr>
                <w:b/>
                <w:sz w:val="22"/>
                <w:highlight w:val="cyan"/>
              </w:rPr>
            </w:pPr>
            <w:r w:rsidRPr="00661B08">
              <w:rPr>
                <w:b/>
                <w:sz w:val="22"/>
                <w:highlight w:val="cyan"/>
              </w:rPr>
              <w:t>Analiza utjecaja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Dostupnost</w:t>
            </w:r>
            <w:r w:rsidR="00C52014" w:rsidRPr="00661B08">
              <w:rPr>
                <w:b/>
                <w:sz w:val="22"/>
                <w:highlight w:val="cyan"/>
              </w:rPr>
              <w:t xml:space="preserve"> i kvaliteta proizvodnih čimbenika</w:t>
            </w:r>
            <w:r w:rsidRPr="00661B08">
              <w:rPr>
                <w:b/>
                <w:sz w:val="22"/>
                <w:highlight w:val="cyan"/>
              </w:rPr>
              <w:t xml:space="preserve"> </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Radna snaga i ostali prirodni resursi kvalitetni i dostupni. Kapital manje dostupan.</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Obilježja potražnje</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Radi se o proizvodima koji se koriste u drugim djelatnost</w:t>
            </w:r>
            <w:r w:rsidR="00C52014" w:rsidRPr="00661B08">
              <w:rPr>
                <w:sz w:val="22"/>
                <w:highlight w:val="cyan"/>
              </w:rPr>
              <w:t>ima. Potražnja za proizvodima o</w:t>
            </w:r>
            <w:r w:rsidRPr="00661B08">
              <w:rPr>
                <w:sz w:val="22"/>
                <w:highlight w:val="cyan"/>
              </w:rPr>
              <w:t>visi o ostalim djelatnostima (osobito prehrambenoj, farmaceutskoj i kemijskoj).</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Tehnološka opremljenost</w:t>
            </w:r>
          </w:p>
        </w:tc>
        <w:tc>
          <w:tcPr>
            <w:tcW w:w="3110" w:type="pct"/>
            <w:shd w:val="clear" w:color="auto" w:fill="auto"/>
          </w:tcPr>
          <w:p w:rsidR="001B41B0" w:rsidRPr="00661B08" w:rsidRDefault="00C52014" w:rsidP="0097195F">
            <w:pPr>
              <w:spacing w:line="240" w:lineRule="auto"/>
              <w:rPr>
                <w:sz w:val="22"/>
                <w:highlight w:val="cyan"/>
              </w:rPr>
            </w:pPr>
            <w:r w:rsidRPr="00661B08">
              <w:rPr>
                <w:sz w:val="22"/>
                <w:highlight w:val="cyan"/>
              </w:rPr>
              <w:t xml:space="preserve">Tehnološka opremljenost </w:t>
            </w:r>
            <w:r w:rsidR="001B41B0" w:rsidRPr="00661B08">
              <w:rPr>
                <w:sz w:val="22"/>
                <w:highlight w:val="cyan"/>
              </w:rPr>
              <w:t xml:space="preserve">vrlo </w:t>
            </w:r>
            <w:r w:rsidRPr="00661B08">
              <w:rPr>
                <w:sz w:val="22"/>
                <w:highlight w:val="cyan"/>
              </w:rPr>
              <w:t xml:space="preserve">je </w:t>
            </w:r>
            <w:r w:rsidR="001B41B0" w:rsidRPr="00661B08">
              <w:rPr>
                <w:sz w:val="22"/>
                <w:highlight w:val="cyan"/>
              </w:rPr>
              <w:t>dobra.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Izdaci za istraživanje i razvoj</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Mali izdaci za istraživanje i razvoj.</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Zakonodavno okruženje</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Nema znatnog utjecaja na razvoj industrije.</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Koncentracija u djelatnosti</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100 poduzeća ostvaruje 99% prihoda djelatnosti. 100 poduzeća zapošljava 98% zaposlenih u djelatnosti.</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Izvozni potencijal</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Izvozni potencijal visok.</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Potencijal rasta i zapošljavanja</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Potencijal rasta na domaćem tržištu moguć</w:t>
            </w:r>
            <w:r w:rsidR="00C52014" w:rsidRPr="00661B08">
              <w:rPr>
                <w:sz w:val="22"/>
                <w:highlight w:val="cyan"/>
              </w:rPr>
              <w:t xml:space="preserve"> je</w:t>
            </w:r>
            <w:r w:rsidRPr="00661B08">
              <w:rPr>
                <w:sz w:val="22"/>
                <w:highlight w:val="cyan"/>
              </w:rPr>
              <w:t xml:space="preserve"> jedino putem rasta ostalih djelatnosti prerađivačke industrije, osobito </w:t>
            </w:r>
            <w:r w:rsidRPr="00661B08">
              <w:rPr>
                <w:sz w:val="22"/>
                <w:highlight w:val="cyan"/>
              </w:rPr>
              <w:lastRenderedPageBreak/>
              <w:t>prehrambene i farmaceutske. Potencijal rasta na vanjskom tržištu relativno</w:t>
            </w:r>
            <w:r w:rsidR="00C52014" w:rsidRPr="00661B08">
              <w:rPr>
                <w:sz w:val="22"/>
                <w:highlight w:val="cyan"/>
              </w:rPr>
              <w:t xml:space="preserve"> je</w:t>
            </w:r>
            <w:r w:rsidRPr="00661B08">
              <w:rPr>
                <w:sz w:val="22"/>
                <w:highlight w:val="cyan"/>
              </w:rPr>
              <w:t xml:space="preserve"> visok. Najveći potencijal iskazan je u poddjelatnosti C17.2 Proizvodnja proizvoda od papira i kartona, dok najveće gubitke ostvaruje C17.1 Proizvodnja celuloze, papira i kartona.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lastRenderedPageBreak/>
              <w:t>Ovisnost o uvozu</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Visoka ovisnost o uvozu. Gotovo 100%-tna ovisnost o sirovinama iz uvoza.</w:t>
            </w:r>
          </w:p>
        </w:tc>
      </w:tr>
    </w:tbl>
    <w:p w:rsidR="001B41B0" w:rsidRPr="00661B08" w:rsidRDefault="001B41B0" w:rsidP="001B41B0">
      <w:pPr>
        <w:rPr>
          <w:highlight w:val="cyan"/>
          <w:lang w:eastAsia="hr-HR"/>
        </w:rPr>
        <w:sectPr w:rsidR="001B41B0" w:rsidRPr="00661B08" w:rsidSect="00683AF5">
          <w:pgSz w:w="11906" w:h="16838"/>
          <w:pgMar w:top="1418" w:right="1418" w:bottom="1418" w:left="1418" w:header="709" w:footer="709" w:gutter="0"/>
          <w:cols w:space="708"/>
          <w:docGrid w:linePitch="360"/>
        </w:sectPr>
      </w:pPr>
    </w:p>
    <w:p w:rsidR="001B41B0" w:rsidRPr="00661B08" w:rsidRDefault="001B41B0" w:rsidP="001B41B0">
      <w:pPr>
        <w:pStyle w:val="Heading2"/>
        <w:rPr>
          <w:highlight w:val="cyan"/>
        </w:rPr>
      </w:pPr>
      <w:bookmarkStart w:id="561" w:name="_Toc372088007"/>
      <w:bookmarkStart w:id="562" w:name="_Toc378069068"/>
      <w:bookmarkStart w:id="563" w:name="_GoBack"/>
      <w:bookmarkEnd w:id="563"/>
      <w:r w:rsidRPr="00661B08">
        <w:rPr>
          <w:szCs w:val="24"/>
          <w:highlight w:val="cyan"/>
        </w:rPr>
        <w:lastRenderedPageBreak/>
        <w:t xml:space="preserve">C18 </w:t>
      </w:r>
      <w:r w:rsidRPr="00661B08">
        <w:rPr>
          <w:highlight w:val="cyan"/>
        </w:rPr>
        <w:t>Tiskanje i umnožavanje snimljenih zapisa</w:t>
      </w:r>
      <w:bookmarkEnd w:id="553"/>
      <w:bookmarkEnd w:id="554"/>
      <w:bookmarkEnd w:id="555"/>
      <w:bookmarkEnd w:id="556"/>
      <w:bookmarkEnd w:id="557"/>
      <w:bookmarkEnd w:id="561"/>
      <w:bookmarkEnd w:id="562"/>
    </w:p>
    <w:p w:rsidR="001B41B0" w:rsidRPr="00661B08" w:rsidRDefault="001B41B0" w:rsidP="001B41B0">
      <w:pPr>
        <w:rPr>
          <w:highlight w:val="cyan"/>
          <w:lang w:eastAsia="hr-HR"/>
        </w:rPr>
      </w:pPr>
    </w:p>
    <w:p w:rsidR="001B41B0" w:rsidRPr="00661B08" w:rsidRDefault="001B41B0" w:rsidP="001B41B0">
      <w:pPr>
        <w:rPr>
          <w:sz w:val="22"/>
          <w:highlight w:val="cyan"/>
        </w:rPr>
      </w:pPr>
      <w:r w:rsidRPr="00661B08">
        <w:rPr>
          <w:sz w:val="22"/>
          <w:highlight w:val="cyan"/>
        </w:rPr>
        <w:t>Djelatnost tiskanja i umnožavanja snimljenih zapisa (C18) uključuje tiskanje i</w:t>
      </w:r>
      <w:r w:rsidR="00314B24" w:rsidRPr="00661B08">
        <w:rPr>
          <w:sz w:val="22"/>
          <w:highlight w:val="cyan"/>
        </w:rPr>
        <w:t xml:space="preserve"> uslužne djelatnosti povezane s</w:t>
      </w:r>
      <w:r w:rsidRPr="00661B08">
        <w:rPr>
          <w:sz w:val="22"/>
          <w:highlight w:val="cyan"/>
        </w:rPr>
        <w:t xml:space="preserve"> tiskanjem (C18.1) te umnožavanje snimljenih zapisa (C18.2).</w:t>
      </w:r>
    </w:p>
    <w:p w:rsidR="001B41B0" w:rsidRPr="00661B08" w:rsidRDefault="001B41B0" w:rsidP="001B41B0">
      <w:pPr>
        <w:rPr>
          <w:szCs w:val="24"/>
          <w:highlight w:val="cyan"/>
        </w:rPr>
      </w:pPr>
    </w:p>
    <w:p w:rsidR="001B41B0" w:rsidRPr="00661B08" w:rsidRDefault="001B41B0" w:rsidP="00D001B9">
      <w:pPr>
        <w:pStyle w:val="Heading3"/>
        <w:rPr>
          <w:rFonts w:eastAsia="Calibri"/>
          <w:highlight w:val="cyan"/>
        </w:rPr>
      </w:pPr>
      <w:bookmarkStart w:id="564" w:name="_Toc365992547"/>
      <w:bookmarkStart w:id="565" w:name="_Toc366154285"/>
      <w:bookmarkStart w:id="566" w:name="_Toc366154405"/>
      <w:bookmarkStart w:id="567" w:name="_Toc366409948"/>
      <w:bookmarkStart w:id="568" w:name="_Toc372088008"/>
      <w:bookmarkStart w:id="569" w:name="_Toc378069069"/>
      <w:r w:rsidRPr="00661B08">
        <w:rPr>
          <w:rFonts w:eastAsia="Calibri"/>
          <w:highlight w:val="cyan"/>
        </w:rPr>
        <w:t>Globalni trendovi razvoja</w:t>
      </w:r>
      <w:bookmarkEnd w:id="564"/>
      <w:bookmarkEnd w:id="565"/>
      <w:bookmarkEnd w:id="566"/>
      <w:bookmarkEnd w:id="567"/>
      <w:bookmarkEnd w:id="568"/>
      <w:bookmarkEnd w:id="569"/>
    </w:p>
    <w:p w:rsidR="001B41B0" w:rsidRPr="00661B08" w:rsidRDefault="001B41B0" w:rsidP="001B41B0">
      <w:pPr>
        <w:pStyle w:val="ListParagraph"/>
        <w:numPr>
          <w:ilvl w:val="0"/>
          <w:numId w:val="25"/>
        </w:numPr>
        <w:spacing w:after="0"/>
        <w:jc w:val="both"/>
        <w:rPr>
          <w:rFonts w:ascii="Times New Roman" w:eastAsia="Times New Roman" w:hAnsi="Times New Roman"/>
          <w:highlight w:val="cyan"/>
        </w:rPr>
      </w:pPr>
      <w:r w:rsidRPr="00661B08">
        <w:rPr>
          <w:rFonts w:ascii="Times New Roman" w:eastAsia="Times New Roman" w:hAnsi="Times New Roman"/>
          <w:highlight w:val="cyan"/>
        </w:rPr>
        <w:t>Tiskarska industrija u Kini spada među najbrže rastuću tiskarsku industriju u svijetu i predstavlja veliku opasnost europskoj tiskarskoj industriji. Prednost je prije svega jeftina radna snaga. Konkurentske prednosti nad tiskarskom industri</w:t>
      </w:r>
      <w:r w:rsidR="00314B24" w:rsidRPr="00661B08">
        <w:rPr>
          <w:rFonts w:ascii="Times New Roman" w:eastAsia="Times New Roman" w:hAnsi="Times New Roman"/>
          <w:highlight w:val="cyan"/>
        </w:rPr>
        <w:t>jom Europe i SAD-a postiže u sl</w:t>
      </w:r>
      <w:r w:rsidRPr="00661B08">
        <w:rPr>
          <w:rFonts w:ascii="Times New Roman" w:eastAsia="Times New Roman" w:hAnsi="Times New Roman"/>
          <w:highlight w:val="cyan"/>
        </w:rPr>
        <w:t>jedećim tiskarskim kategorijama: dječje knjige, kalendari, imenici i znanstvene knjige.</w:t>
      </w:r>
    </w:p>
    <w:p w:rsidR="001B41B0" w:rsidRPr="00661B08" w:rsidRDefault="001B41B0" w:rsidP="001B41B0">
      <w:pPr>
        <w:rPr>
          <w:sz w:val="22"/>
          <w:highlight w:val="cyan"/>
        </w:rPr>
      </w:pPr>
    </w:p>
    <w:p w:rsidR="001B41B0" w:rsidRPr="00661B08" w:rsidRDefault="001B41B0" w:rsidP="001B41B0">
      <w:pPr>
        <w:pStyle w:val="ListParagraph"/>
        <w:numPr>
          <w:ilvl w:val="0"/>
          <w:numId w:val="25"/>
        </w:numPr>
        <w:spacing w:after="0"/>
        <w:jc w:val="both"/>
        <w:rPr>
          <w:rFonts w:ascii="Times New Roman" w:hAnsi="Times New Roman"/>
          <w:highlight w:val="cyan"/>
        </w:rPr>
      </w:pPr>
      <w:r w:rsidRPr="00661B08">
        <w:rPr>
          <w:rFonts w:ascii="Times New Roman" w:hAnsi="Times New Roman"/>
          <w:highlight w:val="cyan"/>
        </w:rPr>
        <w:t xml:space="preserve">Globalno tržište </w:t>
      </w:r>
      <w:r w:rsidR="00314B24" w:rsidRPr="00661B08">
        <w:rPr>
          <w:rFonts w:ascii="Times New Roman" w:hAnsi="Times New Roman"/>
          <w:highlight w:val="cyan"/>
        </w:rPr>
        <w:t>tiskarskih usluga posljednjih deset</w:t>
      </w:r>
      <w:r w:rsidRPr="00661B08">
        <w:rPr>
          <w:rFonts w:ascii="Times New Roman" w:hAnsi="Times New Roman"/>
          <w:highlight w:val="cyan"/>
        </w:rPr>
        <w:t xml:space="preserve"> godina ravnomjerno je raspoređeno između glavnih tržišnih igrača iz </w:t>
      </w:r>
      <w:r w:rsidR="00314B24" w:rsidRPr="00661B08">
        <w:rPr>
          <w:rFonts w:ascii="Times New Roman" w:hAnsi="Times New Roman"/>
          <w:highlight w:val="cyan"/>
        </w:rPr>
        <w:t>Azije, Amerike i Europe. Na samom vrhu četiri</w:t>
      </w:r>
      <w:r w:rsidRPr="00661B08">
        <w:rPr>
          <w:rFonts w:ascii="Times New Roman" w:hAnsi="Times New Roman"/>
          <w:highlight w:val="cyan"/>
        </w:rPr>
        <w:t xml:space="preserve"> </w:t>
      </w:r>
      <w:r w:rsidR="00314B24" w:rsidRPr="00661B08">
        <w:rPr>
          <w:rFonts w:ascii="Times New Roman" w:hAnsi="Times New Roman"/>
          <w:highlight w:val="cyan"/>
        </w:rPr>
        <w:t xml:space="preserve">su </w:t>
      </w:r>
      <w:r w:rsidRPr="00661B08">
        <w:rPr>
          <w:rFonts w:ascii="Times New Roman" w:hAnsi="Times New Roman"/>
          <w:highlight w:val="cyan"/>
        </w:rPr>
        <w:t>najjače komercijalne tis</w:t>
      </w:r>
      <w:r w:rsidR="00314B24" w:rsidRPr="00661B08">
        <w:rPr>
          <w:rFonts w:ascii="Times New Roman" w:hAnsi="Times New Roman"/>
          <w:highlight w:val="cyan"/>
        </w:rPr>
        <w:t xml:space="preserve">kare – </w:t>
      </w:r>
      <w:r w:rsidRPr="00661B08">
        <w:rPr>
          <w:rFonts w:ascii="Times New Roman" w:hAnsi="Times New Roman"/>
          <w:highlight w:val="cyan"/>
        </w:rPr>
        <w:t>dvije iz Japana i dvije iz Sjeverne Amerike, dok najjača tiskara kroz cijelo promatrano razdoblje ne prelazi udio od 4,2% u ukupnom svjetskom tržištu komercijalnog tiska.</w:t>
      </w:r>
    </w:p>
    <w:p w:rsidR="001B41B0" w:rsidRPr="00661B08" w:rsidRDefault="001B41B0" w:rsidP="001B41B0">
      <w:pPr>
        <w:rPr>
          <w:sz w:val="22"/>
          <w:highlight w:val="cyan"/>
        </w:rPr>
      </w:pPr>
    </w:p>
    <w:p w:rsidR="001B41B0" w:rsidRPr="00661B08" w:rsidRDefault="001B41B0" w:rsidP="001B41B0">
      <w:pPr>
        <w:pStyle w:val="ListParagraph"/>
        <w:numPr>
          <w:ilvl w:val="0"/>
          <w:numId w:val="25"/>
        </w:numPr>
        <w:spacing w:after="0"/>
        <w:jc w:val="both"/>
        <w:rPr>
          <w:rFonts w:ascii="Times New Roman" w:hAnsi="Times New Roman"/>
          <w:highlight w:val="cyan"/>
        </w:rPr>
      </w:pPr>
      <w:r w:rsidRPr="00661B08">
        <w:rPr>
          <w:rFonts w:ascii="Times New Roman" w:hAnsi="Times New Roman"/>
          <w:highlight w:val="cyan"/>
        </w:rPr>
        <w:t>Smjer kretanja tiskarske industrije t</w:t>
      </w:r>
      <w:r w:rsidR="00314B24" w:rsidRPr="00661B08">
        <w:rPr>
          <w:rFonts w:ascii="Times New Roman" w:hAnsi="Times New Roman"/>
          <w:highlight w:val="cyan"/>
        </w:rPr>
        <w:t>eško je predvidjeti. M</w:t>
      </w:r>
      <w:r w:rsidRPr="00661B08">
        <w:rPr>
          <w:rFonts w:ascii="Times New Roman" w:hAnsi="Times New Roman"/>
          <w:highlight w:val="cyan"/>
        </w:rPr>
        <w:t>eđutim</w:t>
      </w:r>
      <w:r w:rsidR="00314B24" w:rsidRPr="00661B08">
        <w:rPr>
          <w:rFonts w:ascii="Times New Roman" w:hAnsi="Times New Roman"/>
          <w:highlight w:val="cyan"/>
        </w:rPr>
        <w:t>, nesporna</w:t>
      </w:r>
      <w:r w:rsidRPr="00661B08">
        <w:rPr>
          <w:rFonts w:ascii="Times New Roman" w:hAnsi="Times New Roman"/>
          <w:highlight w:val="cyan"/>
        </w:rPr>
        <w:t xml:space="preserve"> je promjena funkcije samog tiska kao takvog. Dok su nekad</w:t>
      </w:r>
      <w:r w:rsidR="00314B24" w:rsidRPr="00661B08">
        <w:rPr>
          <w:rFonts w:ascii="Times New Roman" w:hAnsi="Times New Roman"/>
          <w:highlight w:val="cyan"/>
        </w:rPr>
        <w:t>a</w:t>
      </w:r>
      <w:r w:rsidRPr="00661B08">
        <w:rPr>
          <w:rFonts w:ascii="Times New Roman" w:hAnsi="Times New Roman"/>
          <w:highlight w:val="cyan"/>
        </w:rPr>
        <w:t xml:space="preserve"> tiskani materijali služili prvenstveno za informiranje, učenje i komunikaciju, danas se oni sve više koriste u marketinške i prodajne svrhe.</w:t>
      </w:r>
    </w:p>
    <w:p w:rsidR="001B41B0" w:rsidRPr="00661B08" w:rsidRDefault="001B41B0" w:rsidP="001B41B0">
      <w:pPr>
        <w:rPr>
          <w:sz w:val="22"/>
          <w:highlight w:val="cyan"/>
        </w:rPr>
      </w:pPr>
    </w:p>
    <w:p w:rsidR="001B41B0" w:rsidRPr="00661B08" w:rsidRDefault="00314B24" w:rsidP="001B41B0">
      <w:pPr>
        <w:pStyle w:val="ListParagraph"/>
        <w:numPr>
          <w:ilvl w:val="0"/>
          <w:numId w:val="25"/>
        </w:numPr>
        <w:spacing w:after="0"/>
        <w:jc w:val="both"/>
        <w:rPr>
          <w:rFonts w:ascii="Times New Roman" w:hAnsi="Times New Roman"/>
          <w:highlight w:val="cyan"/>
        </w:rPr>
      </w:pPr>
      <w:r w:rsidRPr="00661B08">
        <w:rPr>
          <w:rFonts w:ascii="Times New Roman" w:eastAsia="Times New Roman" w:hAnsi="Times New Roman"/>
          <w:highlight w:val="cyan"/>
          <w:lang w:eastAsia="hr-HR"/>
        </w:rPr>
        <w:t>Globalni trend oguhvaća</w:t>
      </w:r>
      <w:r w:rsidR="001B41B0" w:rsidRPr="00661B08">
        <w:rPr>
          <w:rFonts w:ascii="Times New Roman" w:eastAsia="Times New Roman" w:hAnsi="Times New Roman"/>
          <w:highlight w:val="cyan"/>
          <w:lang w:eastAsia="hr-HR"/>
        </w:rPr>
        <w:t xml:space="preserve"> i smanjivanje samih naklada</w:t>
      </w:r>
      <w:r w:rsidRPr="00661B08">
        <w:rPr>
          <w:rFonts w:ascii="Times New Roman" w:eastAsia="Times New Roman" w:hAnsi="Times New Roman"/>
          <w:highlight w:val="cyan"/>
          <w:lang w:eastAsia="hr-HR"/>
        </w:rPr>
        <w:t>,</w:t>
      </w:r>
      <w:r w:rsidR="001B41B0" w:rsidRPr="00661B08">
        <w:rPr>
          <w:rFonts w:ascii="Times New Roman" w:eastAsia="Times New Roman" w:hAnsi="Times New Roman"/>
          <w:highlight w:val="cyan"/>
          <w:lang w:eastAsia="hr-HR"/>
        </w:rPr>
        <w:t xml:space="preserve"> odnosno serija tiskanih materijala</w:t>
      </w:r>
      <w:r w:rsidRPr="00661B08">
        <w:rPr>
          <w:rFonts w:ascii="Times New Roman" w:eastAsia="Times New Roman" w:hAnsi="Times New Roman"/>
          <w:highlight w:val="cyan"/>
          <w:lang w:eastAsia="hr-HR"/>
        </w:rPr>
        <w:t>, što ukazuje na činjenicu</w:t>
      </w:r>
      <w:r w:rsidR="001B41B0" w:rsidRPr="00661B08">
        <w:rPr>
          <w:rFonts w:ascii="Times New Roman" w:eastAsia="Times New Roman" w:hAnsi="Times New Roman"/>
          <w:highlight w:val="cyan"/>
          <w:lang w:eastAsia="hr-HR"/>
        </w:rPr>
        <w:t xml:space="preserve"> da su tiskani materijali nekad</w:t>
      </w:r>
      <w:r w:rsidRPr="00661B08">
        <w:rPr>
          <w:rFonts w:ascii="Times New Roman" w:eastAsia="Times New Roman" w:hAnsi="Times New Roman"/>
          <w:highlight w:val="cyan"/>
          <w:lang w:eastAsia="hr-HR"/>
        </w:rPr>
        <w:t>a bili namijenjeni</w:t>
      </w:r>
      <w:r w:rsidR="001B41B0" w:rsidRPr="00661B08">
        <w:rPr>
          <w:rFonts w:ascii="Times New Roman" w:eastAsia="Times New Roman" w:hAnsi="Times New Roman"/>
          <w:highlight w:val="cyan"/>
          <w:lang w:eastAsia="hr-HR"/>
        </w:rPr>
        <w:t xml:space="preserve"> širokoj publici</w:t>
      </w:r>
      <w:r w:rsidRPr="00661B08">
        <w:rPr>
          <w:rFonts w:ascii="Times New Roman" w:eastAsia="Times New Roman" w:hAnsi="Times New Roman"/>
          <w:highlight w:val="cyan"/>
          <w:lang w:eastAsia="hr-HR"/>
        </w:rPr>
        <w:t>,</w:t>
      </w:r>
      <w:r w:rsidR="001B41B0" w:rsidRPr="00661B08">
        <w:rPr>
          <w:rFonts w:ascii="Times New Roman" w:eastAsia="Times New Roman" w:hAnsi="Times New Roman"/>
          <w:highlight w:val="cyan"/>
          <w:lang w:eastAsia="hr-HR"/>
        </w:rPr>
        <w:t xml:space="preserve"> dok </w:t>
      </w:r>
      <w:r w:rsidRPr="00661B08">
        <w:rPr>
          <w:rFonts w:ascii="Times New Roman" w:eastAsia="Times New Roman" w:hAnsi="Times New Roman"/>
          <w:highlight w:val="cyan"/>
          <w:lang w:eastAsia="hr-HR"/>
        </w:rPr>
        <w:t xml:space="preserve">su </w:t>
      </w:r>
      <w:r w:rsidR="001B41B0" w:rsidRPr="00661B08">
        <w:rPr>
          <w:rFonts w:ascii="Times New Roman" w:eastAsia="Times New Roman" w:hAnsi="Times New Roman"/>
          <w:highlight w:val="cyan"/>
          <w:lang w:eastAsia="hr-HR"/>
        </w:rPr>
        <w:t>danas naklade</w:t>
      </w:r>
      <w:r w:rsidRPr="00661B08">
        <w:rPr>
          <w:rFonts w:ascii="Times New Roman" w:eastAsia="Times New Roman" w:hAnsi="Times New Roman"/>
          <w:highlight w:val="cyan"/>
          <w:lang w:eastAsia="hr-HR"/>
        </w:rPr>
        <w:t xml:space="preserve"> pojedinog tiska sve više u padu, a</w:t>
      </w:r>
      <w:r w:rsidR="001B41B0" w:rsidRPr="00661B08">
        <w:rPr>
          <w:rFonts w:ascii="Times New Roman" w:eastAsia="Times New Roman" w:hAnsi="Times New Roman"/>
          <w:highlight w:val="cyan"/>
          <w:lang w:eastAsia="hr-HR"/>
        </w:rPr>
        <w:t xml:space="preserve"> tiskani se materijali sve više personaliziraju i namjenjuju uskom tržišnom segmentu.</w:t>
      </w:r>
    </w:p>
    <w:p w:rsidR="001B41B0" w:rsidRPr="00661B08" w:rsidRDefault="001B41B0" w:rsidP="001B41B0">
      <w:pPr>
        <w:rPr>
          <w:szCs w:val="24"/>
          <w:highlight w:val="cyan"/>
        </w:rPr>
      </w:pPr>
    </w:p>
    <w:p w:rsidR="001B41B0" w:rsidRPr="00661B08" w:rsidRDefault="001B41B0" w:rsidP="00D001B9">
      <w:pPr>
        <w:pStyle w:val="Heading3"/>
        <w:rPr>
          <w:rFonts w:eastAsia="Calibri"/>
          <w:highlight w:val="cyan"/>
        </w:rPr>
      </w:pPr>
      <w:bookmarkStart w:id="570" w:name="_Toc365992548"/>
      <w:bookmarkStart w:id="571" w:name="_Toc366154286"/>
      <w:bookmarkStart w:id="572" w:name="_Toc366154406"/>
      <w:bookmarkStart w:id="573" w:name="_Toc366409949"/>
      <w:bookmarkStart w:id="574" w:name="_Toc372088009"/>
      <w:bookmarkStart w:id="575" w:name="_Toc378069070"/>
      <w:r w:rsidRPr="00661B08">
        <w:rPr>
          <w:rFonts w:eastAsia="Calibri"/>
          <w:highlight w:val="cyan"/>
        </w:rPr>
        <w:t>Trendovi razvoja u Europskoj uniji</w:t>
      </w:r>
      <w:bookmarkEnd w:id="570"/>
      <w:bookmarkEnd w:id="571"/>
      <w:bookmarkEnd w:id="572"/>
      <w:bookmarkEnd w:id="573"/>
      <w:bookmarkEnd w:id="574"/>
      <w:bookmarkEnd w:id="575"/>
    </w:p>
    <w:p w:rsidR="001B41B0" w:rsidRPr="00661B08" w:rsidRDefault="001B41B0" w:rsidP="001B41B0">
      <w:pPr>
        <w:pStyle w:val="ListParagraph"/>
        <w:numPr>
          <w:ilvl w:val="0"/>
          <w:numId w:val="26"/>
        </w:numPr>
        <w:spacing w:after="0"/>
        <w:jc w:val="both"/>
        <w:rPr>
          <w:rFonts w:ascii="Times New Roman" w:hAnsi="Times New Roman"/>
          <w:highlight w:val="cyan"/>
        </w:rPr>
      </w:pPr>
      <w:r w:rsidRPr="00661B08">
        <w:rPr>
          <w:rFonts w:ascii="Times New Roman" w:hAnsi="Times New Roman"/>
          <w:highlight w:val="cyan"/>
        </w:rPr>
        <w:t>Ova djelatnost jedna je od važnijih gospodarskih djelatnosti EU</w:t>
      </w:r>
      <w:r w:rsidR="00314B24" w:rsidRPr="00661B08">
        <w:rPr>
          <w:rFonts w:ascii="Times New Roman" w:hAnsi="Times New Roman"/>
          <w:highlight w:val="cyan"/>
        </w:rPr>
        <w:t>-a</w:t>
      </w:r>
      <w:r w:rsidRPr="00661B08">
        <w:rPr>
          <w:rFonts w:ascii="Times New Roman" w:hAnsi="Times New Roman"/>
          <w:highlight w:val="cyan"/>
        </w:rPr>
        <w:t xml:space="preserve"> s obzirom na njezin</w:t>
      </w:r>
      <w:r w:rsidR="00314B24" w:rsidRPr="00661B08">
        <w:rPr>
          <w:rFonts w:ascii="Times New Roman" w:hAnsi="Times New Roman"/>
          <w:highlight w:val="cyan"/>
        </w:rPr>
        <w:t xml:space="preserve"> doprinos zaposlenosti, razvoju</w:t>
      </w:r>
      <w:r w:rsidRPr="00661B08">
        <w:rPr>
          <w:rFonts w:ascii="Times New Roman" w:hAnsi="Times New Roman"/>
          <w:highlight w:val="cyan"/>
        </w:rPr>
        <w:t xml:space="preserve"> pratećih industrija, poduzetništvu i BDP-u.</w:t>
      </w:r>
    </w:p>
    <w:p w:rsidR="001B41B0" w:rsidRPr="00661B08" w:rsidRDefault="001B41B0" w:rsidP="001B41B0">
      <w:pPr>
        <w:rPr>
          <w:sz w:val="22"/>
          <w:highlight w:val="cyan"/>
        </w:rPr>
      </w:pPr>
    </w:p>
    <w:p w:rsidR="001B41B0" w:rsidRPr="00661B08" w:rsidRDefault="001B41B0" w:rsidP="001B41B0">
      <w:pPr>
        <w:pStyle w:val="ListParagraph"/>
        <w:numPr>
          <w:ilvl w:val="0"/>
          <w:numId w:val="26"/>
        </w:numPr>
        <w:spacing w:after="0"/>
        <w:jc w:val="both"/>
        <w:rPr>
          <w:rFonts w:ascii="Times New Roman" w:eastAsia="Times New Roman" w:hAnsi="Times New Roman"/>
          <w:highlight w:val="cyan"/>
        </w:rPr>
      </w:pPr>
      <w:r w:rsidRPr="00661B08">
        <w:rPr>
          <w:rFonts w:ascii="Times New Roman" w:hAnsi="Times New Roman"/>
          <w:highlight w:val="cyan"/>
        </w:rPr>
        <w:t xml:space="preserve">Konkurentsku prednost europske tiskarske industrije još </w:t>
      </w:r>
      <w:r w:rsidR="00314B24" w:rsidRPr="00661B08">
        <w:rPr>
          <w:rFonts w:ascii="Times New Roman" w:hAnsi="Times New Roman"/>
          <w:highlight w:val="cyan"/>
        </w:rPr>
        <w:t xml:space="preserve">je </w:t>
      </w:r>
      <w:r w:rsidRPr="00661B08">
        <w:rPr>
          <w:rFonts w:ascii="Times New Roman" w:hAnsi="Times New Roman"/>
          <w:highlight w:val="cyan"/>
        </w:rPr>
        <w:t>uv</w:t>
      </w:r>
      <w:r w:rsidR="00314B24" w:rsidRPr="00661B08">
        <w:rPr>
          <w:rFonts w:ascii="Times New Roman" w:hAnsi="Times New Roman"/>
          <w:highlight w:val="cyan"/>
        </w:rPr>
        <w:t>ijek potrebno</w:t>
      </w:r>
      <w:r w:rsidRPr="00661B08">
        <w:rPr>
          <w:rFonts w:ascii="Times New Roman" w:hAnsi="Times New Roman"/>
          <w:highlight w:val="cyan"/>
        </w:rPr>
        <w:t xml:space="preserve"> tražiti u proizvodnji kvalitetnijih i luksuznijih tiskarskih proizvoda te proizvoda za koje je od presudnog značenja brzina izrade i distribucije na domaća, odnosno lokalna tržišta.</w:t>
      </w:r>
    </w:p>
    <w:p w:rsidR="001B41B0" w:rsidRPr="00661B08" w:rsidRDefault="001B41B0" w:rsidP="001B41B0">
      <w:pPr>
        <w:rPr>
          <w:sz w:val="22"/>
          <w:highlight w:val="cyan"/>
        </w:rPr>
      </w:pPr>
    </w:p>
    <w:p w:rsidR="001B41B0" w:rsidRPr="00661B08" w:rsidRDefault="001B41B0" w:rsidP="001B41B0">
      <w:pPr>
        <w:pStyle w:val="ListParagraph"/>
        <w:numPr>
          <w:ilvl w:val="0"/>
          <w:numId w:val="26"/>
        </w:numPr>
        <w:spacing w:after="0"/>
        <w:jc w:val="both"/>
        <w:rPr>
          <w:rFonts w:ascii="Times New Roman" w:hAnsi="Times New Roman"/>
          <w:highlight w:val="cyan"/>
        </w:rPr>
      </w:pPr>
      <w:r w:rsidRPr="00661B08">
        <w:rPr>
          <w:rFonts w:ascii="Times New Roman" w:hAnsi="Times New Roman"/>
          <w:highlight w:val="cyan"/>
        </w:rPr>
        <w:t>Tiskarsku industriju zemalja EU</w:t>
      </w:r>
      <w:r w:rsidR="00314B24" w:rsidRPr="00661B08">
        <w:rPr>
          <w:rFonts w:ascii="Times New Roman" w:hAnsi="Times New Roman"/>
          <w:highlight w:val="cyan"/>
        </w:rPr>
        <w:t xml:space="preserve">-a karakterizira </w:t>
      </w:r>
      <w:r w:rsidRPr="00661B08">
        <w:rPr>
          <w:rFonts w:ascii="Times New Roman" w:hAnsi="Times New Roman"/>
          <w:highlight w:val="cyan"/>
        </w:rPr>
        <w:t xml:space="preserve">strukturna prekapacitiranost </w:t>
      </w:r>
      <w:r w:rsidR="00314B24" w:rsidRPr="00661B08">
        <w:rPr>
          <w:rFonts w:ascii="Times New Roman" w:hAnsi="Times New Roman"/>
          <w:highlight w:val="cyan"/>
        </w:rPr>
        <w:t>te snažan pritisak na stalno</w:t>
      </w:r>
      <w:r w:rsidRPr="00661B08">
        <w:rPr>
          <w:rFonts w:ascii="Times New Roman" w:hAnsi="Times New Roman"/>
          <w:highlight w:val="cyan"/>
        </w:rPr>
        <w:t xml:space="preserve"> spuštanje cijena.</w:t>
      </w:r>
    </w:p>
    <w:p w:rsidR="001B41B0" w:rsidRPr="00661B08" w:rsidRDefault="001B41B0" w:rsidP="001B41B0">
      <w:pPr>
        <w:rPr>
          <w:sz w:val="22"/>
          <w:highlight w:val="cyan"/>
        </w:rPr>
      </w:pPr>
    </w:p>
    <w:p w:rsidR="001B41B0" w:rsidRPr="00661B08" w:rsidRDefault="001B41B0" w:rsidP="001B41B0">
      <w:pPr>
        <w:pStyle w:val="ListParagraph"/>
        <w:numPr>
          <w:ilvl w:val="0"/>
          <w:numId w:val="26"/>
        </w:numPr>
        <w:spacing w:after="0"/>
        <w:jc w:val="both"/>
        <w:rPr>
          <w:rFonts w:ascii="Times New Roman" w:hAnsi="Times New Roman"/>
          <w:highlight w:val="cyan"/>
        </w:rPr>
      </w:pPr>
      <w:r w:rsidRPr="00661B08">
        <w:rPr>
          <w:rFonts w:ascii="Times New Roman" w:hAnsi="Times New Roman"/>
          <w:highlight w:val="cyan"/>
        </w:rPr>
        <w:t>Tiskarska industrija EU</w:t>
      </w:r>
      <w:r w:rsidR="00314B24" w:rsidRPr="00661B08">
        <w:rPr>
          <w:rFonts w:ascii="Times New Roman" w:hAnsi="Times New Roman"/>
          <w:highlight w:val="cyan"/>
        </w:rPr>
        <w:t>-a</w:t>
      </w:r>
      <w:r w:rsidRPr="00661B08">
        <w:rPr>
          <w:rFonts w:ascii="Times New Roman" w:hAnsi="Times New Roman"/>
          <w:highlight w:val="cyan"/>
        </w:rPr>
        <w:t xml:space="preserve"> teži načelu održivosti kao jednom od osnovnih ciljeva.</w:t>
      </w:r>
    </w:p>
    <w:p w:rsidR="001B41B0" w:rsidRPr="00661B08" w:rsidRDefault="001B41B0" w:rsidP="001B41B0">
      <w:pPr>
        <w:rPr>
          <w:szCs w:val="24"/>
          <w:highlight w:val="cyan"/>
        </w:rPr>
      </w:pPr>
    </w:p>
    <w:p w:rsidR="001B41B0" w:rsidRPr="00661B08" w:rsidRDefault="001B41B0" w:rsidP="00D001B9">
      <w:pPr>
        <w:pStyle w:val="Heading3"/>
        <w:rPr>
          <w:rFonts w:eastAsia="Calibri"/>
          <w:highlight w:val="cyan"/>
        </w:rPr>
      </w:pPr>
      <w:bookmarkStart w:id="576" w:name="_Toc365992549"/>
      <w:bookmarkStart w:id="577" w:name="_Toc366154287"/>
      <w:bookmarkStart w:id="578" w:name="_Toc366154407"/>
      <w:bookmarkStart w:id="579" w:name="_Toc366409950"/>
      <w:bookmarkStart w:id="580" w:name="_Toc372088010"/>
      <w:bookmarkStart w:id="581" w:name="_Toc378069071"/>
      <w:r w:rsidRPr="00661B08">
        <w:rPr>
          <w:rFonts w:eastAsia="Calibri"/>
          <w:highlight w:val="cyan"/>
        </w:rPr>
        <w:t>Stanje i perspektive razvoja u Republici Hrvatskoj</w:t>
      </w:r>
      <w:bookmarkEnd w:id="576"/>
      <w:bookmarkEnd w:id="577"/>
      <w:bookmarkEnd w:id="578"/>
      <w:bookmarkEnd w:id="579"/>
      <w:bookmarkEnd w:id="580"/>
      <w:bookmarkEnd w:id="581"/>
    </w:p>
    <w:p w:rsidR="001B41B0" w:rsidRPr="00661B08" w:rsidRDefault="001B41B0" w:rsidP="001B41B0">
      <w:pPr>
        <w:pStyle w:val="ListParagraph"/>
        <w:numPr>
          <w:ilvl w:val="0"/>
          <w:numId w:val="27"/>
        </w:numPr>
        <w:spacing w:after="0"/>
        <w:jc w:val="both"/>
        <w:rPr>
          <w:rFonts w:ascii="Times New Roman" w:hAnsi="Times New Roman"/>
          <w:bCs/>
          <w:i/>
          <w:highlight w:val="cyan"/>
        </w:rPr>
      </w:pPr>
      <w:r w:rsidRPr="00661B08">
        <w:rPr>
          <w:rFonts w:ascii="Times New Roman" w:hAnsi="Times New Roman"/>
          <w:highlight w:val="cyan"/>
        </w:rPr>
        <w:t>U industrijskoj djelatnosti tiskanja i umnožavanja snimljenih zapisa</w:t>
      </w:r>
      <w:r w:rsidR="00314B24" w:rsidRPr="00661B08">
        <w:rPr>
          <w:rFonts w:ascii="Times New Roman" w:hAnsi="Times New Roman"/>
          <w:highlight w:val="cyan"/>
        </w:rPr>
        <w:t>,</w:t>
      </w:r>
      <w:r w:rsidRPr="00661B08">
        <w:rPr>
          <w:rFonts w:ascii="Times New Roman" w:hAnsi="Times New Roman"/>
          <w:highlight w:val="cyan"/>
        </w:rPr>
        <w:t xml:space="preserve"> š</w:t>
      </w:r>
      <w:r w:rsidRPr="00661B08">
        <w:rPr>
          <w:rFonts w:ascii="Times New Roman" w:hAnsi="Times New Roman"/>
          <w:bCs/>
          <w:highlight w:val="cyan"/>
        </w:rPr>
        <w:t xml:space="preserve">to se tiče udjela pojedine poddjelatnosti u strukturi ukupnih prihoda, daleko najveći udio u ukupnim prihodima ima poddjelatnost 18.1. </w:t>
      </w:r>
    </w:p>
    <w:p w:rsidR="001B41B0" w:rsidRPr="00661B08" w:rsidRDefault="001B41B0" w:rsidP="001B41B0">
      <w:pPr>
        <w:rPr>
          <w:sz w:val="22"/>
          <w:highlight w:val="cyan"/>
        </w:rPr>
      </w:pPr>
    </w:p>
    <w:p w:rsidR="001B41B0" w:rsidRPr="00661B08" w:rsidRDefault="00314B24"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lastRenderedPageBreak/>
        <w:t xml:space="preserve">U toj su djelatnosti u 2011. bila 893 poduzeća, a </w:t>
      </w:r>
      <w:r w:rsidR="001B41B0" w:rsidRPr="00661B08">
        <w:rPr>
          <w:rFonts w:ascii="Times New Roman" w:hAnsi="Times New Roman"/>
          <w:highlight w:val="cyan"/>
        </w:rPr>
        <w:t xml:space="preserve">kasnije 849 poduzeća. Dakle, u tom </w:t>
      </w:r>
      <w:r w:rsidRPr="00661B08">
        <w:rPr>
          <w:rFonts w:ascii="Times New Roman" w:hAnsi="Times New Roman"/>
          <w:highlight w:val="cyan"/>
        </w:rPr>
        <w:t>je razdoblju</w:t>
      </w:r>
      <w:r w:rsidR="001B41B0" w:rsidRPr="00661B08">
        <w:rPr>
          <w:rFonts w:ascii="Times New Roman" w:hAnsi="Times New Roman"/>
          <w:highlight w:val="cyan"/>
        </w:rPr>
        <w:t xml:space="preserve"> došlo do apsolutnog smanjenja </w:t>
      </w:r>
      <w:r w:rsidRPr="00661B08">
        <w:rPr>
          <w:rFonts w:ascii="Times New Roman" w:hAnsi="Times New Roman"/>
          <w:highlight w:val="cyan"/>
        </w:rPr>
        <w:t xml:space="preserve">broja </w:t>
      </w:r>
      <w:r w:rsidR="001B41B0" w:rsidRPr="00661B08">
        <w:rPr>
          <w:rFonts w:ascii="Times New Roman" w:hAnsi="Times New Roman"/>
          <w:highlight w:val="cyan"/>
        </w:rPr>
        <w:t xml:space="preserve">poduzeća </w:t>
      </w:r>
      <w:r w:rsidRPr="00661B08">
        <w:rPr>
          <w:rFonts w:ascii="Times New Roman" w:hAnsi="Times New Roman"/>
          <w:highlight w:val="cyan"/>
        </w:rPr>
        <w:t xml:space="preserve">u poslovanju </w:t>
      </w:r>
      <w:r w:rsidR="001B41B0" w:rsidRPr="00661B08">
        <w:rPr>
          <w:rFonts w:ascii="Times New Roman" w:hAnsi="Times New Roman"/>
          <w:highlight w:val="cyan"/>
        </w:rPr>
        <w:t>za 44, odno</w:t>
      </w:r>
      <w:r w:rsidRPr="00661B08">
        <w:rPr>
          <w:rFonts w:ascii="Times New Roman" w:hAnsi="Times New Roman"/>
          <w:highlight w:val="cyan"/>
        </w:rPr>
        <w:t>sno relativno za 4,9%. P</w:t>
      </w:r>
      <w:r w:rsidR="001B41B0" w:rsidRPr="00661B08">
        <w:rPr>
          <w:rFonts w:ascii="Times New Roman" w:hAnsi="Times New Roman"/>
          <w:highlight w:val="cyan"/>
        </w:rPr>
        <w:t xml:space="preserve">rema obračunu sati rada, ova </w:t>
      </w:r>
      <w:r w:rsidRPr="00661B08">
        <w:rPr>
          <w:rFonts w:ascii="Times New Roman" w:hAnsi="Times New Roman"/>
          <w:highlight w:val="cyan"/>
        </w:rPr>
        <w:t xml:space="preserve">je djelatnost </w:t>
      </w:r>
      <w:r w:rsidR="001B41B0" w:rsidRPr="00661B08">
        <w:rPr>
          <w:rFonts w:ascii="Times New Roman" w:hAnsi="Times New Roman"/>
          <w:highlight w:val="cyan"/>
        </w:rPr>
        <w:t>zapošljavala ukupno 5.597, 5.865 i 5.892 zaposlenih u razdoblju 2010.</w:t>
      </w:r>
      <w:r w:rsidRPr="00661B08">
        <w:rPr>
          <w:rFonts w:ascii="Times New Roman" w:hAnsi="Times New Roman"/>
          <w:highlight w:val="cyan"/>
        </w:rPr>
        <w:t xml:space="preserve"> – </w:t>
      </w:r>
      <w:r w:rsidR="001B41B0" w:rsidRPr="00661B08">
        <w:rPr>
          <w:rFonts w:ascii="Times New Roman" w:hAnsi="Times New Roman"/>
          <w:highlight w:val="cyan"/>
        </w:rPr>
        <w:t>2012. Prema broju zaposlenih (gledano u satima rada), p</w:t>
      </w:r>
      <w:r w:rsidRPr="00661B08">
        <w:rPr>
          <w:rFonts w:ascii="Times New Roman" w:hAnsi="Times New Roman"/>
          <w:highlight w:val="cyan"/>
        </w:rPr>
        <w:t>oddjelatnost T</w:t>
      </w:r>
      <w:r w:rsidR="001B41B0" w:rsidRPr="00661B08">
        <w:rPr>
          <w:rFonts w:ascii="Times New Roman" w:hAnsi="Times New Roman"/>
          <w:highlight w:val="cyan"/>
        </w:rPr>
        <w:t>iskanje i uslužne d</w:t>
      </w:r>
      <w:r w:rsidRPr="00661B08">
        <w:rPr>
          <w:rFonts w:ascii="Times New Roman" w:hAnsi="Times New Roman"/>
          <w:highlight w:val="cyan"/>
        </w:rPr>
        <w:t>jelatnosti povezane s tiskanjem</w:t>
      </w:r>
      <w:r w:rsidR="001B41B0" w:rsidRPr="00661B08">
        <w:rPr>
          <w:rFonts w:ascii="Times New Roman" w:hAnsi="Times New Roman"/>
          <w:highlight w:val="cyan"/>
        </w:rPr>
        <w:t xml:space="preserve"> zapošljava najveći dio od ukupno zaposlenih u toj djelatnosti, čak 98,17% u 2012.</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 xml:space="preserve">Većina </w:t>
      </w:r>
      <w:r w:rsidR="00314B24" w:rsidRPr="00661B08">
        <w:rPr>
          <w:rFonts w:ascii="Times New Roman" w:hAnsi="Times New Roman"/>
          <w:highlight w:val="cyan"/>
        </w:rPr>
        <w:t xml:space="preserve">je kapitala </w:t>
      </w:r>
      <w:r w:rsidRPr="00661B08">
        <w:rPr>
          <w:rFonts w:ascii="Times New Roman" w:hAnsi="Times New Roman"/>
          <w:highlight w:val="cyan"/>
        </w:rPr>
        <w:t>u domaćem vlasništvu. Prema ponderiranom udjelu, domaći kapital sudjeluje sa 77,50%. Koncentracija je visoka u ovoj djelatnosti. Od 849 poduzeća, najvećih 70 stvara 80% ukupnih prihoda, a 100 ih čini 80% ukupne aktive. Koncentracija je visoka i po ostalim promatranim financijskim kategorijama.</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Ukupna aktiva (pasiva) djelatnosti je u razdoblju 2010.</w:t>
      </w:r>
      <w:r w:rsidR="00314B24" w:rsidRPr="00661B08">
        <w:rPr>
          <w:rFonts w:ascii="Times New Roman" w:hAnsi="Times New Roman"/>
          <w:highlight w:val="cyan"/>
        </w:rPr>
        <w:t xml:space="preserve"> – </w:t>
      </w:r>
      <w:r w:rsidRPr="00661B08">
        <w:rPr>
          <w:rFonts w:ascii="Times New Roman" w:hAnsi="Times New Roman"/>
          <w:highlight w:val="cyan"/>
        </w:rPr>
        <w:t>2012</w:t>
      </w:r>
      <w:r w:rsidR="00314B24" w:rsidRPr="00661B08">
        <w:rPr>
          <w:rFonts w:ascii="Times New Roman" w:hAnsi="Times New Roman"/>
          <w:highlight w:val="cyan"/>
        </w:rPr>
        <w:t>.</w:t>
      </w:r>
      <w:r w:rsidRPr="00661B08">
        <w:rPr>
          <w:rFonts w:ascii="Times New Roman" w:hAnsi="Times New Roman"/>
          <w:highlight w:val="cyan"/>
        </w:rPr>
        <w:t xml:space="preserve"> smanjena za 8,42%. Smanjenje je zabilježeno i kod kratkotrajne i dugotrajne imovine. U dugotrajnoj imovini više od 90% činila je materijalna imovina,</w:t>
      </w:r>
      <w:r w:rsidR="00314B24" w:rsidRPr="00661B08">
        <w:rPr>
          <w:rFonts w:ascii="Times New Roman" w:hAnsi="Times New Roman"/>
          <w:highlight w:val="cyan"/>
        </w:rPr>
        <w:t xml:space="preserve"> a u kratkotrajnoj su prevladavala potraživanja od kupaca s</w:t>
      </w:r>
      <w:r w:rsidRPr="00661B08">
        <w:rPr>
          <w:rFonts w:ascii="Times New Roman" w:hAnsi="Times New Roman"/>
          <w:highlight w:val="cyan"/>
        </w:rPr>
        <w:t xml:space="preserve"> udjelom od 44%, zbog čega se može pretpostaviti da je ova djelatnost izložena duljem vremenu naplate. </w:t>
      </w:r>
      <w:r w:rsidR="00314B24" w:rsidRPr="00661B08">
        <w:rPr>
          <w:rFonts w:ascii="Times New Roman" w:hAnsi="Times New Roman"/>
          <w:highlight w:val="cyan"/>
        </w:rPr>
        <w:t>Preko 97% aktive (pasive) cjelokupne</w:t>
      </w:r>
      <w:r w:rsidRPr="00661B08">
        <w:rPr>
          <w:rFonts w:ascii="Times New Roman" w:hAnsi="Times New Roman"/>
          <w:highlight w:val="cyan"/>
        </w:rPr>
        <w:t xml:space="preserve"> djelatnosti otpada na poddjelatnost Tiskanje i</w:t>
      </w:r>
      <w:r w:rsidR="00C07298" w:rsidRPr="00661B08">
        <w:rPr>
          <w:rFonts w:ascii="Times New Roman" w:hAnsi="Times New Roman"/>
          <w:highlight w:val="cyan"/>
        </w:rPr>
        <w:t xml:space="preserve"> uslužne djelatnosti povezane s</w:t>
      </w:r>
      <w:r w:rsidRPr="00661B08">
        <w:rPr>
          <w:rFonts w:ascii="Times New Roman" w:hAnsi="Times New Roman"/>
          <w:highlight w:val="cyan"/>
        </w:rPr>
        <w:t xml:space="preserve"> tiskanjem. U strukturi pasive najveći udio u djelatnosti činile su kratkoročne obveze (46,12% u 2012.), zatim kapital i rezerve (30,50% u 2012.), a najmanji udio činile su dugoročne obveze (21,73% u 2012.).</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Ukupni priho</w:t>
      </w:r>
      <w:r w:rsidR="00C07298" w:rsidRPr="00661B08">
        <w:rPr>
          <w:rFonts w:ascii="Times New Roman" w:hAnsi="Times New Roman"/>
          <w:highlight w:val="cyan"/>
        </w:rPr>
        <w:t xml:space="preserve">di i rashodi ove djelatnosti </w:t>
      </w:r>
      <w:r w:rsidRPr="00661B08">
        <w:rPr>
          <w:rFonts w:ascii="Times New Roman" w:hAnsi="Times New Roman"/>
          <w:highlight w:val="cyan"/>
        </w:rPr>
        <w:t xml:space="preserve">povećani </w:t>
      </w:r>
      <w:r w:rsidR="00C07298" w:rsidRPr="00661B08">
        <w:rPr>
          <w:rFonts w:ascii="Times New Roman" w:hAnsi="Times New Roman"/>
          <w:highlight w:val="cyan"/>
        </w:rPr>
        <w:t xml:space="preserve">su </w:t>
      </w:r>
      <w:r w:rsidRPr="00661B08">
        <w:rPr>
          <w:rFonts w:ascii="Times New Roman" w:hAnsi="Times New Roman"/>
          <w:highlight w:val="cyan"/>
        </w:rPr>
        <w:t>u razdoblju 2010.</w:t>
      </w:r>
      <w:r w:rsidR="00C07298" w:rsidRPr="00661B08">
        <w:rPr>
          <w:rFonts w:ascii="Times New Roman" w:hAnsi="Times New Roman"/>
          <w:highlight w:val="cyan"/>
        </w:rPr>
        <w:t xml:space="preserve"> – </w:t>
      </w:r>
      <w:r w:rsidRPr="00661B08">
        <w:rPr>
          <w:rFonts w:ascii="Times New Roman" w:hAnsi="Times New Roman"/>
          <w:highlight w:val="cyan"/>
        </w:rPr>
        <w:t>2012.</w:t>
      </w:r>
      <w:r w:rsidR="00C07298" w:rsidRPr="00661B08">
        <w:rPr>
          <w:rFonts w:ascii="Times New Roman" w:hAnsi="Times New Roman"/>
          <w:highlight w:val="cyan"/>
        </w:rPr>
        <w:t>,</w:t>
      </w:r>
      <w:r w:rsidRPr="00661B08">
        <w:rPr>
          <w:rFonts w:ascii="Times New Roman" w:hAnsi="Times New Roman"/>
          <w:highlight w:val="cyan"/>
        </w:rPr>
        <w:t xml:space="preserve"> i t</w:t>
      </w:r>
      <w:r w:rsidR="00C07298" w:rsidRPr="00661B08">
        <w:rPr>
          <w:rFonts w:ascii="Times New Roman" w:hAnsi="Times New Roman"/>
          <w:highlight w:val="cyan"/>
        </w:rPr>
        <w:t>o za 1,58% na 2,79 milijardi kuna</w:t>
      </w:r>
      <w:r w:rsidRPr="00661B08">
        <w:rPr>
          <w:rFonts w:ascii="Times New Roman" w:hAnsi="Times New Roman"/>
          <w:highlight w:val="cyan"/>
        </w:rPr>
        <w:t>, odnosn</w:t>
      </w:r>
      <w:r w:rsidR="00C07298" w:rsidRPr="00661B08">
        <w:rPr>
          <w:rFonts w:ascii="Times New Roman" w:hAnsi="Times New Roman"/>
          <w:highlight w:val="cyan"/>
        </w:rPr>
        <w:t>o za 1,55% na 2,75 milijardi kuna</w:t>
      </w:r>
      <w:r w:rsidRPr="00661B08">
        <w:rPr>
          <w:rFonts w:ascii="Times New Roman" w:hAnsi="Times New Roman"/>
          <w:highlight w:val="cyan"/>
        </w:rPr>
        <w:t xml:space="preserve"> (2010.</w:t>
      </w:r>
      <w:r w:rsidR="00C07298" w:rsidRPr="00661B08">
        <w:rPr>
          <w:rFonts w:ascii="Times New Roman" w:hAnsi="Times New Roman"/>
          <w:highlight w:val="cyan"/>
        </w:rPr>
        <w:t xml:space="preserve"> – </w:t>
      </w:r>
      <w:r w:rsidRPr="00661B08">
        <w:rPr>
          <w:rFonts w:ascii="Times New Roman" w:hAnsi="Times New Roman"/>
          <w:highlight w:val="cyan"/>
        </w:rPr>
        <w:t>2012.). U sve tri promatrane godine k</w:t>
      </w:r>
      <w:r w:rsidR="00C07298" w:rsidRPr="00661B08">
        <w:rPr>
          <w:rFonts w:ascii="Times New Roman" w:hAnsi="Times New Roman"/>
          <w:highlight w:val="cyan"/>
        </w:rPr>
        <w:t xml:space="preserve">umulativna dobit djelatnosti </w:t>
      </w:r>
      <w:r w:rsidRPr="00661B08">
        <w:rPr>
          <w:rFonts w:ascii="Times New Roman" w:hAnsi="Times New Roman"/>
          <w:highlight w:val="cyan"/>
        </w:rPr>
        <w:t xml:space="preserve">bila </w:t>
      </w:r>
      <w:r w:rsidR="00C07298" w:rsidRPr="00661B08">
        <w:rPr>
          <w:rFonts w:ascii="Times New Roman" w:hAnsi="Times New Roman"/>
          <w:highlight w:val="cyan"/>
        </w:rPr>
        <w:t xml:space="preserve">je </w:t>
      </w:r>
      <w:r w:rsidRPr="00661B08">
        <w:rPr>
          <w:rFonts w:ascii="Times New Roman" w:hAnsi="Times New Roman"/>
          <w:highlight w:val="cyan"/>
        </w:rPr>
        <w:t>veća od kumulativnog gubitka. Preko 95% ukupnih prihoda i rashoda otpadalo je na poslovne prihode i rashode. Poddjelatnost Tiskanje i uslužne djelatnosti povezane s tiskanjem ostvaruje najviše prihoda i rashoda djelatnosti (&gt;96%).</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Profitabilnost djelatnosti je u sve tri godine (2010.</w:t>
      </w:r>
      <w:r w:rsidR="00C07298" w:rsidRPr="00661B08">
        <w:rPr>
          <w:rFonts w:ascii="Times New Roman" w:hAnsi="Times New Roman"/>
          <w:highlight w:val="cyan"/>
        </w:rPr>
        <w:t xml:space="preserve"> – </w:t>
      </w:r>
      <w:r w:rsidRPr="00661B08">
        <w:rPr>
          <w:rFonts w:ascii="Times New Roman" w:hAnsi="Times New Roman"/>
          <w:highlight w:val="cyan"/>
        </w:rPr>
        <w:t>2012.) bila pozitivna prema pokazateljima povrata, ali na niskim stopama (&lt;2% po svim promatranim pokazateljima). EBITDA je smanjena zbog pada profitabilnosti iz redovnog poslovanja u poddjelatnoti C18.1. Smanjena je i vrijednost stvorene dodane vrijednosti</w:t>
      </w:r>
      <w:r w:rsidR="00C07298" w:rsidRPr="00661B08">
        <w:rPr>
          <w:rFonts w:ascii="Times New Roman" w:hAnsi="Times New Roman"/>
          <w:highlight w:val="cyan"/>
        </w:rPr>
        <w:t xml:space="preserve"> i bruto operativnog viška. Ni</w:t>
      </w:r>
      <w:r w:rsidRPr="00661B08">
        <w:rPr>
          <w:rFonts w:ascii="Times New Roman" w:hAnsi="Times New Roman"/>
          <w:highlight w:val="cyan"/>
        </w:rPr>
        <w:t xml:space="preserve"> jedan od ovih pokazatelja nije zabrinjavajući, ali je vidljivo da</w:t>
      </w:r>
      <w:r w:rsidR="00C07298" w:rsidRPr="00661B08">
        <w:rPr>
          <w:rFonts w:ascii="Times New Roman" w:hAnsi="Times New Roman"/>
          <w:highlight w:val="cyan"/>
        </w:rPr>
        <w:t xml:space="preserve">  poddjelatnost C18.1 stalno</w:t>
      </w:r>
      <w:r w:rsidRPr="00661B08">
        <w:rPr>
          <w:rFonts w:ascii="Times New Roman" w:hAnsi="Times New Roman"/>
          <w:highlight w:val="cyan"/>
        </w:rPr>
        <w:t xml:space="preserve"> posluje na rubu profitabilnosti. Nasuprot tome, mnogo manja poddjelatnost C18.2 je u 2011. i 2012. ostvarila visoke stope povrata, naglo povećala prihode i učetverostručila EBITDA.</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Tr</w:t>
      </w:r>
      <w:r w:rsidR="00C07298" w:rsidRPr="00661B08">
        <w:rPr>
          <w:rFonts w:ascii="Times New Roman" w:hAnsi="Times New Roman"/>
          <w:highlight w:val="cyan"/>
        </w:rPr>
        <w:t xml:space="preserve">govinska bilanca djelatnosti </w:t>
      </w:r>
      <w:r w:rsidRPr="00661B08">
        <w:rPr>
          <w:rFonts w:ascii="Times New Roman" w:hAnsi="Times New Roman"/>
          <w:highlight w:val="cyan"/>
        </w:rPr>
        <w:t xml:space="preserve">bila </w:t>
      </w:r>
      <w:r w:rsidR="00C07298" w:rsidRPr="00661B08">
        <w:rPr>
          <w:rFonts w:ascii="Times New Roman" w:hAnsi="Times New Roman"/>
          <w:highlight w:val="cyan"/>
        </w:rPr>
        <w:t xml:space="preserve">je </w:t>
      </w:r>
      <w:r w:rsidRPr="00661B08">
        <w:rPr>
          <w:rFonts w:ascii="Times New Roman" w:hAnsi="Times New Roman"/>
          <w:highlight w:val="cyan"/>
        </w:rPr>
        <w:t>negativna u razdoblju 2010.</w:t>
      </w:r>
      <w:r w:rsidR="00C07298" w:rsidRPr="00661B08">
        <w:rPr>
          <w:rFonts w:ascii="Times New Roman" w:hAnsi="Times New Roman"/>
          <w:highlight w:val="cyan"/>
        </w:rPr>
        <w:t xml:space="preserve"> – </w:t>
      </w:r>
      <w:r w:rsidRPr="00661B08">
        <w:rPr>
          <w:rFonts w:ascii="Times New Roman" w:hAnsi="Times New Roman"/>
          <w:highlight w:val="cyan"/>
        </w:rPr>
        <w:t>2012., ali je minus znatno smanjen</w:t>
      </w:r>
      <w:r w:rsidR="00C07298" w:rsidRPr="00661B08">
        <w:rPr>
          <w:rFonts w:ascii="Times New Roman" w:hAnsi="Times New Roman"/>
          <w:highlight w:val="cyan"/>
        </w:rPr>
        <w:t xml:space="preserve"> u 2012. (na -63,04 milijuna kuna s početnih -157,98 milijuna kuna). I uvoz i izvoz</w:t>
      </w:r>
      <w:r w:rsidRPr="00661B08">
        <w:rPr>
          <w:rFonts w:ascii="Times New Roman" w:hAnsi="Times New Roman"/>
          <w:highlight w:val="cyan"/>
        </w:rPr>
        <w:t xml:space="preserve"> povećani</w:t>
      </w:r>
      <w:r w:rsidR="00C07298" w:rsidRPr="00661B08">
        <w:rPr>
          <w:rFonts w:ascii="Times New Roman" w:hAnsi="Times New Roman"/>
          <w:highlight w:val="cyan"/>
        </w:rPr>
        <w:t xml:space="preserve"> su</w:t>
      </w:r>
      <w:r w:rsidRPr="00661B08">
        <w:rPr>
          <w:rFonts w:ascii="Times New Roman" w:hAnsi="Times New Roman"/>
          <w:highlight w:val="cyan"/>
        </w:rPr>
        <w:t xml:space="preserve">, ali je izvoz rastao </w:t>
      </w:r>
      <w:r w:rsidR="00C07298" w:rsidRPr="00661B08">
        <w:rPr>
          <w:rFonts w:ascii="Times New Roman" w:hAnsi="Times New Roman"/>
          <w:highlight w:val="cyan"/>
        </w:rPr>
        <w:t>znatno većom stopom. Dakle, usporedne</w:t>
      </w:r>
      <w:r w:rsidRPr="00661B08">
        <w:rPr>
          <w:rFonts w:ascii="Times New Roman" w:hAnsi="Times New Roman"/>
          <w:highlight w:val="cyan"/>
        </w:rPr>
        <w:t xml:space="preserve"> prednosti u</w:t>
      </w:r>
      <w:r w:rsidR="00C07298" w:rsidRPr="00661B08">
        <w:rPr>
          <w:rFonts w:ascii="Times New Roman" w:hAnsi="Times New Roman"/>
          <w:highlight w:val="cyan"/>
        </w:rPr>
        <w:t xml:space="preserve"> vanjskotrgovinskoj razmjeni </w:t>
      </w:r>
      <w:r w:rsidRPr="00661B08">
        <w:rPr>
          <w:rFonts w:ascii="Times New Roman" w:hAnsi="Times New Roman"/>
          <w:highlight w:val="cyan"/>
        </w:rPr>
        <w:t>poboljšane</w:t>
      </w:r>
      <w:r w:rsidR="00C07298" w:rsidRPr="00661B08">
        <w:rPr>
          <w:rFonts w:ascii="Times New Roman" w:hAnsi="Times New Roman"/>
          <w:highlight w:val="cyan"/>
        </w:rPr>
        <w:t xml:space="preserve"> su</w:t>
      </w:r>
      <w:r w:rsidRPr="00661B08">
        <w:rPr>
          <w:rFonts w:ascii="Times New Roman" w:hAnsi="Times New Roman"/>
          <w:highlight w:val="cyan"/>
        </w:rPr>
        <w:t>, iako su i dalje bile nepovoljne. Gledajući po poddjelatno</w:t>
      </w:r>
      <w:r w:rsidR="00C07298" w:rsidRPr="00661B08">
        <w:rPr>
          <w:rFonts w:ascii="Times New Roman" w:hAnsi="Times New Roman"/>
          <w:highlight w:val="cyan"/>
        </w:rPr>
        <w:t>stima, C18.1 je odgovorna za cijeli</w:t>
      </w:r>
      <w:r w:rsidRPr="00661B08">
        <w:rPr>
          <w:rFonts w:ascii="Times New Roman" w:hAnsi="Times New Roman"/>
          <w:highlight w:val="cyan"/>
        </w:rPr>
        <w:t xml:space="preserve"> minus na vanjskotrgovinskoj bilanci, dok je C18.2 </w:t>
      </w:r>
      <w:r w:rsidR="00C07298" w:rsidRPr="00661B08">
        <w:rPr>
          <w:rFonts w:ascii="Times New Roman" w:hAnsi="Times New Roman"/>
          <w:highlight w:val="cyan"/>
        </w:rPr>
        <w:t xml:space="preserve">u razdoblju </w:t>
      </w:r>
      <w:r w:rsidRPr="00661B08">
        <w:rPr>
          <w:rFonts w:ascii="Times New Roman" w:hAnsi="Times New Roman"/>
          <w:highlight w:val="cyan"/>
        </w:rPr>
        <w:t>2010.</w:t>
      </w:r>
      <w:r w:rsidR="00C07298" w:rsidRPr="00661B08">
        <w:rPr>
          <w:rFonts w:ascii="Times New Roman" w:hAnsi="Times New Roman"/>
          <w:highlight w:val="cyan"/>
        </w:rPr>
        <w:t xml:space="preserve"> – </w:t>
      </w:r>
      <w:r w:rsidRPr="00661B08">
        <w:rPr>
          <w:rFonts w:ascii="Times New Roman" w:hAnsi="Times New Roman"/>
          <w:highlight w:val="cyan"/>
        </w:rPr>
        <w:t>2012. uspjela</w:t>
      </w:r>
      <w:r w:rsidR="00C07298" w:rsidRPr="00661B08">
        <w:rPr>
          <w:rFonts w:ascii="Times New Roman" w:hAnsi="Times New Roman"/>
          <w:highlight w:val="cyan"/>
        </w:rPr>
        <w:t xml:space="preserve"> stvoriti višestruko veći </w:t>
      </w:r>
      <w:r w:rsidRPr="00661B08">
        <w:rPr>
          <w:rFonts w:ascii="Times New Roman" w:hAnsi="Times New Roman"/>
          <w:highlight w:val="cyan"/>
        </w:rPr>
        <w:t>i</w:t>
      </w:r>
      <w:r w:rsidR="00C07298" w:rsidRPr="00661B08">
        <w:rPr>
          <w:rFonts w:ascii="Times New Roman" w:hAnsi="Times New Roman"/>
          <w:highlight w:val="cyan"/>
        </w:rPr>
        <w:t>zvoz</w:t>
      </w:r>
      <w:r w:rsidRPr="00661B08">
        <w:rPr>
          <w:rFonts w:ascii="Times New Roman" w:hAnsi="Times New Roman"/>
          <w:highlight w:val="cyan"/>
        </w:rPr>
        <w:t xml:space="preserve"> od uvoza. </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Bruto dodana vrijednost djelatnosti u apsolutnom je padu od 4,75% u razdoblju 2010.</w:t>
      </w:r>
      <w:r w:rsidR="00C07298" w:rsidRPr="00661B08">
        <w:rPr>
          <w:rFonts w:ascii="Times New Roman" w:hAnsi="Times New Roman"/>
          <w:highlight w:val="cyan"/>
        </w:rPr>
        <w:t xml:space="preserve"> – </w:t>
      </w:r>
      <w:r w:rsidRPr="00661B08">
        <w:rPr>
          <w:rFonts w:ascii="Times New Roman" w:hAnsi="Times New Roman"/>
          <w:highlight w:val="cyan"/>
        </w:rPr>
        <w:t>2012. Pokazatelj specijalizacije ukazuje na umjereno visoku i visoku intraindustrijsku razmjenu pripadajuće djelatnosti (</w:t>
      </w:r>
      <w:r w:rsidR="00C07298" w:rsidRPr="00661B08">
        <w:rPr>
          <w:rFonts w:ascii="Times New Roman" w:hAnsi="Times New Roman"/>
          <w:highlight w:val="cyan"/>
        </w:rPr>
        <w:t xml:space="preserve">što je </w:t>
      </w:r>
      <w:r w:rsidRPr="00661B08">
        <w:rPr>
          <w:rFonts w:ascii="Times New Roman" w:hAnsi="Times New Roman"/>
          <w:highlight w:val="cyan"/>
        </w:rPr>
        <w:t>uzrokovano snažnim rastom izvoza djelatnosti). Utjecaj države u vidu subvencija i potpora iznosi &lt;0,6% u ukupnim prihodima.</w:t>
      </w:r>
    </w:p>
    <w:p w:rsidR="001B41B0" w:rsidRPr="00661B08" w:rsidRDefault="001B41B0" w:rsidP="001B41B0">
      <w:pPr>
        <w:pStyle w:val="ListParagraph"/>
        <w:rPr>
          <w:rFonts w:ascii="Times New Roman" w:hAnsi="Times New Roman"/>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lastRenderedPageBreak/>
        <w:t xml:space="preserve">Proizvodnost rada </w:t>
      </w:r>
      <w:r w:rsidR="00C930F9" w:rsidRPr="00661B08">
        <w:rPr>
          <w:rFonts w:ascii="Times New Roman" w:hAnsi="Times New Roman"/>
          <w:highlight w:val="cyan"/>
        </w:rPr>
        <w:t>pada</w:t>
      </w:r>
      <w:r w:rsidRPr="00661B08">
        <w:rPr>
          <w:rFonts w:ascii="Times New Roman" w:hAnsi="Times New Roman"/>
          <w:highlight w:val="cyan"/>
        </w:rPr>
        <w:t xml:space="preserve"> u razdoblju 2010.</w:t>
      </w:r>
      <w:r w:rsidR="00C07298" w:rsidRPr="00661B08">
        <w:rPr>
          <w:rFonts w:ascii="Times New Roman" w:hAnsi="Times New Roman"/>
          <w:highlight w:val="cyan"/>
        </w:rPr>
        <w:t xml:space="preserve"> – </w:t>
      </w:r>
      <w:r w:rsidRPr="00661B08">
        <w:rPr>
          <w:rFonts w:ascii="Times New Roman" w:hAnsi="Times New Roman"/>
          <w:highlight w:val="cyan"/>
        </w:rPr>
        <w:t>2012.</w:t>
      </w:r>
      <w:r w:rsidR="00C930F9" w:rsidRPr="00661B08">
        <w:rPr>
          <w:rFonts w:ascii="Times New Roman" w:hAnsi="Times New Roman"/>
          <w:highlight w:val="cyan"/>
        </w:rPr>
        <w:t xml:space="preserve"> za 3,70% </w:t>
      </w:r>
      <w:r w:rsidRPr="00661B08">
        <w:rPr>
          <w:rFonts w:ascii="Times New Roman" w:hAnsi="Times New Roman"/>
          <w:highlight w:val="cyan"/>
        </w:rPr>
        <w:t xml:space="preserve">(zbog istovremenog smanjivanja broja zaposlenih i </w:t>
      </w:r>
      <w:r w:rsidR="00C930F9" w:rsidRPr="00661B08">
        <w:rPr>
          <w:rFonts w:ascii="Times New Roman" w:hAnsi="Times New Roman"/>
          <w:highlight w:val="cyan"/>
        </w:rPr>
        <w:t>više nego proporcionalnog smanjivanja</w:t>
      </w:r>
      <w:r w:rsidR="00ED3685" w:rsidRPr="00661B08">
        <w:rPr>
          <w:rFonts w:ascii="Times New Roman" w:hAnsi="Times New Roman"/>
          <w:highlight w:val="cyan"/>
        </w:rPr>
        <w:t xml:space="preserve"> bruto dodane vr</w:t>
      </w:r>
      <w:r w:rsidR="002138FA" w:rsidRPr="00661B08">
        <w:rPr>
          <w:rFonts w:ascii="Times New Roman" w:hAnsi="Times New Roman"/>
          <w:highlight w:val="cyan"/>
        </w:rPr>
        <w:t>ij</w:t>
      </w:r>
      <w:r w:rsidR="00ED3685" w:rsidRPr="00661B08">
        <w:rPr>
          <w:rFonts w:ascii="Times New Roman" w:hAnsi="Times New Roman"/>
          <w:highlight w:val="cyan"/>
        </w:rPr>
        <w:t>ednosti</w:t>
      </w:r>
      <w:r w:rsidRPr="00661B08">
        <w:rPr>
          <w:rFonts w:ascii="Times New Roman" w:hAnsi="Times New Roman"/>
          <w:highlight w:val="cyan"/>
        </w:rPr>
        <w:t>). Proizvodnost kapitala raste u cjelokupnom promatranom razdoblju zbog smanjenja proizvodne imovine</w:t>
      </w:r>
      <w:r w:rsidR="002138FA" w:rsidRPr="00661B08">
        <w:rPr>
          <w:rFonts w:ascii="Times New Roman" w:hAnsi="Times New Roman"/>
          <w:highlight w:val="cyan"/>
        </w:rPr>
        <w:t xml:space="preserve"> tri puta većom stopom od smanjenja ostvarene bruto dodane vrijednosti</w:t>
      </w:r>
      <w:r w:rsidRPr="00661B08">
        <w:rPr>
          <w:rFonts w:ascii="Times New Roman" w:hAnsi="Times New Roman"/>
          <w:highlight w:val="cyan"/>
        </w:rPr>
        <w:t xml:space="preserve">. </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Pregledom izabranih pokazatelja likvidnosti može se zaključiti kako je likvidnost mjerena koeficijentom tekuće likvidnosti ispod zahtijevanih vr</w:t>
      </w:r>
      <w:r w:rsidR="00C07298" w:rsidRPr="00661B08">
        <w:rPr>
          <w:rFonts w:ascii="Times New Roman" w:hAnsi="Times New Roman"/>
          <w:highlight w:val="cyan"/>
        </w:rPr>
        <w:t>ijednosti. Kad se oduzmu zalihe</w:t>
      </w:r>
      <w:r w:rsidRPr="00661B08">
        <w:rPr>
          <w:rFonts w:ascii="Times New Roman" w:hAnsi="Times New Roman"/>
          <w:highlight w:val="cyan"/>
        </w:rPr>
        <w:t xml:space="preserve"> u 2012. je vidljivo da ova djelatnost nema dovoljno likvidne imovine za pokriće tekućih obveza, čemu treba pridodati činjenicu da je likvidnost smanjivana iz godine</w:t>
      </w:r>
      <w:r w:rsidR="00C07298" w:rsidRPr="00661B08">
        <w:rPr>
          <w:rFonts w:ascii="Times New Roman" w:hAnsi="Times New Roman"/>
          <w:highlight w:val="cyan"/>
        </w:rPr>
        <w:t xml:space="preserve"> u godinu. Ukupna zaduženost </w:t>
      </w:r>
      <w:r w:rsidRPr="00661B08">
        <w:rPr>
          <w:rFonts w:ascii="Times New Roman" w:hAnsi="Times New Roman"/>
          <w:highlight w:val="cyan"/>
        </w:rPr>
        <w:t xml:space="preserve">umjereno </w:t>
      </w:r>
      <w:r w:rsidR="00C07298" w:rsidRPr="00661B08">
        <w:rPr>
          <w:rFonts w:ascii="Times New Roman" w:hAnsi="Times New Roman"/>
          <w:highlight w:val="cyan"/>
        </w:rPr>
        <w:t xml:space="preserve">je </w:t>
      </w:r>
      <w:r w:rsidRPr="00661B08">
        <w:rPr>
          <w:rFonts w:ascii="Times New Roman" w:hAnsi="Times New Roman"/>
          <w:highlight w:val="cyan"/>
        </w:rPr>
        <w:t xml:space="preserve">visoka, iako otplata kamata nije upitna. Operativne </w:t>
      </w:r>
      <w:r w:rsidR="00C07298" w:rsidRPr="00661B08">
        <w:rPr>
          <w:rFonts w:ascii="Times New Roman" w:hAnsi="Times New Roman"/>
          <w:highlight w:val="cyan"/>
        </w:rPr>
        <w:t xml:space="preserve">su zarade </w:t>
      </w:r>
      <w:r w:rsidRPr="00661B08">
        <w:rPr>
          <w:rFonts w:ascii="Times New Roman" w:hAnsi="Times New Roman"/>
          <w:highlight w:val="cyan"/>
        </w:rPr>
        <w:t>u 2012. bile 6,48 puta veće od troška kamata.</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Broj zaposlenih u djelatnosti je u razdoblju 2010.</w:t>
      </w:r>
      <w:r w:rsidR="00C07298" w:rsidRPr="00661B08">
        <w:rPr>
          <w:rFonts w:ascii="Times New Roman" w:hAnsi="Times New Roman"/>
          <w:highlight w:val="cyan"/>
        </w:rPr>
        <w:t xml:space="preserve"> – </w:t>
      </w:r>
      <w:r w:rsidRPr="00661B08">
        <w:rPr>
          <w:rFonts w:ascii="Times New Roman" w:hAnsi="Times New Roman"/>
          <w:highlight w:val="cyan"/>
        </w:rPr>
        <w:t xml:space="preserve">2012. smanjen za 1,09% na 5892 radnika. I jedna </w:t>
      </w:r>
      <w:r w:rsidR="00C07298" w:rsidRPr="00661B08">
        <w:rPr>
          <w:rFonts w:ascii="Times New Roman" w:hAnsi="Times New Roman"/>
          <w:highlight w:val="cyan"/>
        </w:rPr>
        <w:t xml:space="preserve">i druga poddjelatnost </w:t>
      </w:r>
      <w:r w:rsidRPr="00661B08">
        <w:rPr>
          <w:rFonts w:ascii="Times New Roman" w:hAnsi="Times New Roman"/>
          <w:highlight w:val="cyan"/>
        </w:rPr>
        <w:t xml:space="preserve">doprinijele </w:t>
      </w:r>
      <w:r w:rsidR="00C07298" w:rsidRPr="00661B08">
        <w:rPr>
          <w:rFonts w:ascii="Times New Roman" w:hAnsi="Times New Roman"/>
          <w:highlight w:val="cyan"/>
        </w:rPr>
        <w:t xml:space="preserve">su </w:t>
      </w:r>
      <w:r w:rsidRPr="00661B08">
        <w:rPr>
          <w:rFonts w:ascii="Times New Roman" w:hAnsi="Times New Roman"/>
          <w:highlight w:val="cyan"/>
        </w:rPr>
        <w:t>tome. U istom razdoblju neto plaće gotovo da se i nisu mijenjale (pad od 0,01%), dok su u prosjeku bruto plaće pale za 2,58%. Najveći udio zaposlenih ima srednju stručnu spremu (59,68% u 2012.).</w:t>
      </w:r>
    </w:p>
    <w:p w:rsidR="001B41B0" w:rsidRPr="00661B08" w:rsidRDefault="001B41B0" w:rsidP="001B41B0">
      <w:pPr>
        <w:rPr>
          <w:sz w:val="22"/>
          <w:highlight w:val="cyan"/>
        </w:rPr>
      </w:pPr>
    </w:p>
    <w:p w:rsidR="001B41B0" w:rsidRPr="00661B08" w:rsidRDefault="001B41B0" w:rsidP="001B41B0">
      <w:pPr>
        <w:pStyle w:val="ListParagraph"/>
        <w:numPr>
          <w:ilvl w:val="0"/>
          <w:numId w:val="27"/>
        </w:numPr>
        <w:spacing w:after="0"/>
        <w:jc w:val="both"/>
        <w:rPr>
          <w:rFonts w:ascii="Times New Roman" w:eastAsia="Times New Roman" w:hAnsi="Times New Roman"/>
          <w:bCs/>
          <w:highlight w:val="cyan"/>
        </w:rPr>
      </w:pPr>
      <w:r w:rsidRPr="00661B08">
        <w:rPr>
          <w:rFonts w:ascii="Times New Roman" w:hAnsi="Times New Roman"/>
          <w:highlight w:val="cyan"/>
        </w:rPr>
        <w:t>Djelatnost tiskanja i umnožavanja snimljenih zapisa u Hrvatskoj ob</w:t>
      </w:r>
      <w:r w:rsidR="00C07298" w:rsidRPr="00661B08">
        <w:rPr>
          <w:rFonts w:ascii="Times New Roman" w:hAnsi="Times New Roman"/>
          <w:highlight w:val="cyan"/>
        </w:rPr>
        <w:t>ilježava nizak potencijal rasta</w:t>
      </w:r>
      <w:r w:rsidRPr="00661B08">
        <w:rPr>
          <w:rFonts w:ascii="Times New Roman" w:hAnsi="Times New Roman"/>
          <w:highlight w:val="cyan"/>
        </w:rPr>
        <w:t xml:space="preserve"> sve većeg broja konkurenata tisk</w:t>
      </w:r>
      <w:r w:rsidR="00C07298" w:rsidRPr="00661B08">
        <w:rPr>
          <w:rFonts w:ascii="Times New Roman" w:hAnsi="Times New Roman"/>
          <w:highlight w:val="cyan"/>
        </w:rPr>
        <w:t>anim izdanjima (knjige, časopisi</w:t>
      </w:r>
      <w:r w:rsidRPr="00661B08">
        <w:rPr>
          <w:rFonts w:ascii="Times New Roman" w:hAnsi="Times New Roman"/>
          <w:highlight w:val="cyan"/>
        </w:rPr>
        <w:t>, novine) u obliku e</w:t>
      </w:r>
      <w:r w:rsidR="00C07298" w:rsidRPr="00661B08">
        <w:rPr>
          <w:rFonts w:ascii="Times New Roman" w:hAnsi="Times New Roman"/>
          <w:highlight w:val="cyan"/>
        </w:rPr>
        <w:t xml:space="preserve">lektroničkih knjiga i ostalih elektroničkih </w:t>
      </w:r>
      <w:r w:rsidRPr="00661B08">
        <w:rPr>
          <w:rFonts w:ascii="Times New Roman" w:hAnsi="Times New Roman"/>
          <w:highlight w:val="cyan"/>
        </w:rPr>
        <w:t xml:space="preserve">izdanja, dostupnosti svih sadržaja </w:t>
      </w:r>
      <w:r w:rsidR="0072448B" w:rsidRPr="00661B08">
        <w:rPr>
          <w:rFonts w:ascii="Times New Roman" w:hAnsi="Times New Roman"/>
          <w:highlight w:val="cyan"/>
        </w:rPr>
        <w:t>na I</w:t>
      </w:r>
      <w:r w:rsidRPr="00661B08">
        <w:rPr>
          <w:rFonts w:ascii="Times New Roman" w:hAnsi="Times New Roman"/>
          <w:highlight w:val="cyan"/>
        </w:rPr>
        <w:t>nternetu te masovnog prelaska oglašavanja u tiskan</w:t>
      </w:r>
      <w:r w:rsidR="00C07298" w:rsidRPr="00661B08">
        <w:rPr>
          <w:rFonts w:ascii="Times New Roman" w:hAnsi="Times New Roman"/>
          <w:highlight w:val="cyan"/>
        </w:rPr>
        <w:t xml:space="preserve">im izdanjima na oglašavanje u elektroničkim </w:t>
      </w:r>
      <w:r w:rsidRPr="00661B08">
        <w:rPr>
          <w:rFonts w:ascii="Times New Roman" w:hAnsi="Times New Roman"/>
          <w:highlight w:val="cyan"/>
        </w:rPr>
        <w:t>izdanj</w:t>
      </w:r>
      <w:r w:rsidR="00C07298" w:rsidRPr="00661B08">
        <w:rPr>
          <w:rFonts w:ascii="Times New Roman" w:hAnsi="Times New Roman"/>
          <w:highlight w:val="cyan"/>
        </w:rPr>
        <w:t>im</w:t>
      </w:r>
      <w:r w:rsidRPr="00661B08">
        <w:rPr>
          <w:rFonts w:ascii="Times New Roman" w:hAnsi="Times New Roman"/>
          <w:highlight w:val="cyan"/>
        </w:rPr>
        <w:t xml:space="preserve">a te putem različitih </w:t>
      </w:r>
      <w:r w:rsidRPr="00661B08">
        <w:rPr>
          <w:rFonts w:ascii="Times New Roman" w:eastAsia="Times New Roman" w:hAnsi="Times New Roman"/>
          <w:bCs/>
          <w:highlight w:val="cyan"/>
        </w:rPr>
        <w:t>socijalnih mreža.</w:t>
      </w:r>
    </w:p>
    <w:p w:rsidR="001B41B0" w:rsidRPr="00661B08" w:rsidRDefault="001B41B0" w:rsidP="001B41B0">
      <w:pPr>
        <w:tabs>
          <w:tab w:val="left" w:pos="2657"/>
        </w:tabs>
        <w:rPr>
          <w:sz w:val="22"/>
          <w:highlight w:val="cyan"/>
        </w:rPr>
      </w:pPr>
      <w:r w:rsidRPr="00661B08">
        <w:rPr>
          <w:sz w:val="22"/>
          <w:highlight w:val="cyan"/>
        </w:rPr>
        <w:tab/>
      </w:r>
    </w:p>
    <w:p w:rsidR="001B41B0" w:rsidRPr="00661B08" w:rsidRDefault="001B41B0" w:rsidP="001B41B0">
      <w:pPr>
        <w:pStyle w:val="ListParagraph"/>
        <w:numPr>
          <w:ilvl w:val="0"/>
          <w:numId w:val="27"/>
        </w:numPr>
        <w:spacing w:after="0"/>
        <w:jc w:val="both"/>
        <w:rPr>
          <w:rFonts w:ascii="Times New Roman" w:hAnsi="Times New Roman"/>
          <w:highlight w:val="cyan"/>
        </w:rPr>
      </w:pPr>
      <w:r w:rsidRPr="00661B08">
        <w:rPr>
          <w:rFonts w:ascii="Times New Roman" w:hAnsi="Times New Roman"/>
          <w:highlight w:val="cyan"/>
        </w:rPr>
        <w:t>Jedan od važnijih ograničavaju</w:t>
      </w:r>
      <w:r w:rsidR="0072448B" w:rsidRPr="00661B08">
        <w:rPr>
          <w:rFonts w:ascii="Times New Roman" w:hAnsi="Times New Roman"/>
          <w:highlight w:val="cyan"/>
        </w:rPr>
        <w:t>ćih čimbenika</w:t>
      </w:r>
      <w:r w:rsidR="00C07298" w:rsidRPr="00661B08">
        <w:rPr>
          <w:rFonts w:ascii="Times New Roman" w:hAnsi="Times New Roman"/>
          <w:highlight w:val="cyan"/>
        </w:rPr>
        <w:t xml:space="preserve"> u</w:t>
      </w:r>
      <w:r w:rsidRPr="00661B08">
        <w:rPr>
          <w:rFonts w:ascii="Times New Roman" w:hAnsi="Times New Roman"/>
          <w:highlight w:val="cyan"/>
        </w:rPr>
        <w:t xml:space="preserve"> rastu </w:t>
      </w:r>
      <w:r w:rsidR="00C07298" w:rsidRPr="00661B08">
        <w:rPr>
          <w:rFonts w:ascii="Times New Roman" w:hAnsi="Times New Roman"/>
          <w:highlight w:val="cyan"/>
        </w:rPr>
        <w:t xml:space="preserve">ove industrije </w:t>
      </w:r>
      <w:r w:rsidRPr="00661B08">
        <w:rPr>
          <w:rFonts w:ascii="Times New Roman" w:hAnsi="Times New Roman"/>
          <w:highlight w:val="cyan"/>
        </w:rPr>
        <w:t>nalazi se u činjen</w:t>
      </w:r>
      <w:r w:rsidR="00C07298" w:rsidRPr="00661B08">
        <w:rPr>
          <w:rFonts w:ascii="Times New Roman" w:hAnsi="Times New Roman"/>
          <w:highlight w:val="cyan"/>
        </w:rPr>
        <w:t>ici da sirovine</w:t>
      </w:r>
      <w:r w:rsidRPr="00661B08">
        <w:rPr>
          <w:rFonts w:ascii="Times New Roman" w:hAnsi="Times New Roman"/>
          <w:highlight w:val="cyan"/>
        </w:rPr>
        <w:t xml:space="preserve"> u Hrvatskoj</w:t>
      </w:r>
      <w:r w:rsidR="00C07298" w:rsidRPr="00661B08">
        <w:rPr>
          <w:rFonts w:ascii="Times New Roman" w:hAnsi="Times New Roman"/>
          <w:highlight w:val="cyan"/>
        </w:rPr>
        <w:t xml:space="preserve"> nisu raspoložive</w:t>
      </w:r>
      <w:r w:rsidRPr="00661B08">
        <w:rPr>
          <w:rFonts w:ascii="Times New Roman" w:hAnsi="Times New Roman"/>
          <w:highlight w:val="cyan"/>
        </w:rPr>
        <w:t xml:space="preserve"> te se sav repromaterijal (prvenstveno papir, tiskarske boje i tiskarske ploče) uvozi.</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661B08" w:rsidRDefault="001B41B0" w:rsidP="00D001B9">
      <w:pPr>
        <w:pStyle w:val="Heading3"/>
        <w:rPr>
          <w:highlight w:val="cyan"/>
        </w:rPr>
      </w:pPr>
      <w:bookmarkStart w:id="582" w:name="_Toc372088011"/>
      <w:bookmarkStart w:id="583" w:name="_Toc378069072"/>
      <w:bookmarkStart w:id="584" w:name="_Toc366152985"/>
      <w:bookmarkStart w:id="585" w:name="_Toc366154288"/>
      <w:bookmarkStart w:id="586" w:name="_Toc366154408"/>
      <w:bookmarkStart w:id="587" w:name="_Toc366409951"/>
      <w:r w:rsidRPr="00661B08">
        <w:rPr>
          <w:highlight w:val="cyan"/>
        </w:rPr>
        <w:lastRenderedPageBreak/>
        <w:t>Zaključni prikaz pokazatelja</w:t>
      </w:r>
      <w:bookmarkEnd w:id="582"/>
      <w:bookmarkEnd w:id="583"/>
    </w:p>
    <w:p w:rsidR="001B41B0" w:rsidRPr="00661B08" w:rsidRDefault="001B41B0" w:rsidP="001B41B0">
      <w:pPr>
        <w:rPr>
          <w:szCs w:val="24"/>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bookmarkStart w:id="588" w:name="_Toc372088149"/>
      <w:bookmarkStart w:id="589" w:name="_Toc377551084"/>
      <w:bookmarkStart w:id="590" w:name="_Toc377635273"/>
      <w:r w:rsidRPr="00661B08">
        <w:rPr>
          <w:rStyle w:val="IntenseEmphasis"/>
          <w:b/>
          <w:bCs w:val="0"/>
          <w:iCs w:val="0"/>
          <w:color w:val="548DD4" w:themeColor="text2" w:themeTint="99"/>
          <w:sz w:val="20"/>
          <w:highlight w:val="cyan"/>
        </w:rPr>
        <w:t xml:space="preserve">Tablica </w:t>
      </w:r>
      <w:r w:rsidR="00FB4A6B" w:rsidRPr="00661B08">
        <w:rPr>
          <w:rStyle w:val="IntenseEmphasis"/>
          <w:b/>
          <w:bCs w:val="0"/>
          <w:iCs w:val="0"/>
          <w:color w:val="548DD4" w:themeColor="text2" w:themeTint="99"/>
          <w:sz w:val="20"/>
          <w:highlight w:val="cyan"/>
        </w:rPr>
        <w:t>72</w:t>
      </w:r>
      <w:r w:rsidRPr="00661B08">
        <w:rPr>
          <w:rStyle w:val="IntenseEmphasis"/>
          <w:b/>
          <w:bCs w:val="0"/>
          <w:iCs w:val="0"/>
          <w:color w:val="548DD4" w:themeColor="text2" w:themeTint="99"/>
          <w:sz w:val="20"/>
          <w:highlight w:val="cyan"/>
        </w:rPr>
        <w:t>. Kvantitativni pokazatelji (C18)</w:t>
      </w:r>
      <w:bookmarkEnd w:id="588"/>
      <w:bookmarkEnd w:id="589"/>
      <w:bookmarkEnd w:id="590"/>
      <w:r w:rsidRPr="00661B08">
        <w:rPr>
          <w:rStyle w:val="IntenseEmphasis"/>
          <w:b/>
          <w:bCs w:val="0"/>
          <w:iCs w:val="0"/>
          <w:color w:val="548DD4" w:themeColor="text2" w:themeTint="99"/>
          <w:sz w:val="20"/>
          <w:highlight w:val="cy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661B08" w:rsidTr="0097195F">
        <w:trPr>
          <w:trHeight w:val="20"/>
        </w:trPr>
        <w:tc>
          <w:tcPr>
            <w:tcW w:w="2025" w:type="pct"/>
            <w:shd w:val="pct15" w:color="auto" w:fill="auto"/>
            <w:noWrap/>
            <w:vAlign w:val="center"/>
          </w:tcPr>
          <w:p w:rsidR="001B41B0" w:rsidRPr="00661B08" w:rsidRDefault="001B41B0" w:rsidP="0097195F">
            <w:pPr>
              <w:spacing w:line="240" w:lineRule="auto"/>
              <w:jc w:val="center"/>
              <w:rPr>
                <w:b/>
                <w:sz w:val="22"/>
                <w:highlight w:val="cyan"/>
                <w:lang w:eastAsia="hr-HR"/>
              </w:rPr>
            </w:pPr>
            <w:r w:rsidRPr="00661B08">
              <w:rPr>
                <w:b/>
                <w:sz w:val="22"/>
                <w:highlight w:val="cyan"/>
                <w:lang w:eastAsia="hr-HR"/>
              </w:rPr>
              <w:t>Pokazatelj</w:t>
            </w:r>
          </w:p>
        </w:tc>
        <w:tc>
          <w:tcPr>
            <w:tcW w:w="948"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2010.</w:t>
            </w:r>
          </w:p>
        </w:tc>
        <w:tc>
          <w:tcPr>
            <w:tcW w:w="948"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2011.</w:t>
            </w:r>
          </w:p>
        </w:tc>
        <w:tc>
          <w:tcPr>
            <w:tcW w:w="1079" w:type="pct"/>
            <w:shd w:val="pct15" w:color="auto" w:fill="auto"/>
            <w:noWrap/>
            <w:vAlign w:val="center"/>
          </w:tcPr>
          <w:p w:rsidR="001B41B0" w:rsidRPr="00661B08" w:rsidRDefault="001B41B0" w:rsidP="0097195F">
            <w:pPr>
              <w:spacing w:line="240" w:lineRule="auto"/>
              <w:jc w:val="right"/>
              <w:rPr>
                <w:b/>
                <w:bCs/>
                <w:sz w:val="22"/>
                <w:highlight w:val="cyan"/>
                <w:lang w:eastAsia="hr-HR"/>
              </w:rPr>
            </w:pPr>
            <w:r w:rsidRPr="00661B08">
              <w:rPr>
                <w:b/>
                <w:bCs/>
                <w:sz w:val="22"/>
                <w:highlight w:val="cyan"/>
                <w:lang w:eastAsia="hr-HR"/>
              </w:rPr>
              <w:t>2012.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Verižni indeksi proizvođačkih cijena</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120,40</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125,70</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141,41</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Verižni indeksi obujma industrijske proizvodnje</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95,7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96,3</w:t>
            </w:r>
          </w:p>
        </w:tc>
        <w:tc>
          <w:tcPr>
            <w:tcW w:w="1079" w:type="pct"/>
            <w:shd w:val="clear" w:color="auto" w:fill="auto"/>
            <w:noWrap/>
          </w:tcPr>
          <w:p w:rsidR="001B41B0" w:rsidRPr="00661B08" w:rsidRDefault="00D21E8B" w:rsidP="0097195F">
            <w:pPr>
              <w:spacing w:line="240" w:lineRule="auto"/>
              <w:jc w:val="right"/>
              <w:rPr>
                <w:sz w:val="22"/>
                <w:highlight w:val="cyan"/>
              </w:rPr>
            </w:pPr>
            <w:r w:rsidRPr="00661B08">
              <w:rPr>
                <w:sz w:val="22"/>
                <w:highlight w:val="cyan"/>
              </w:rPr>
              <w:t>88,3</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Broj zaposlenih prema satima rada</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5.957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5.865</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5.892</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Ukupni prihod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2.752.559.334</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2.843.361.407</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2.796.064.348</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EBITDA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323.723.396</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284.041.007</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278.487.094</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Operativna marža profita (%)</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4,13</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3,27</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3,19</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Ukupni prihod po zaposlenom</w:t>
            </w:r>
            <w:r w:rsidR="00742812" w:rsidRPr="00661B08">
              <w:rPr>
                <w:b/>
                <w:sz w:val="22"/>
                <w:highlight w:val="cyan"/>
                <w:lang w:eastAsia="hr-HR"/>
              </w:rPr>
              <w:t>e</w:t>
            </w:r>
            <w:r w:rsidRPr="00661B08">
              <w:rPr>
                <w:b/>
                <w:sz w:val="22"/>
                <w:highlight w:val="cyan"/>
                <w:lang w:eastAsia="hr-HR"/>
              </w:rPr>
              <w:t xml:space="preserve">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462.071</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484.802</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474.553</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Bruto dodana vrijednost (HRK)</w:t>
            </w:r>
          </w:p>
        </w:tc>
        <w:tc>
          <w:tcPr>
            <w:tcW w:w="948" w:type="pct"/>
            <w:shd w:val="clear" w:color="auto" w:fill="auto"/>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959.772.651</w:t>
            </w:r>
          </w:p>
        </w:tc>
        <w:tc>
          <w:tcPr>
            <w:tcW w:w="948" w:type="pct"/>
            <w:shd w:val="clear" w:color="auto" w:fill="auto"/>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905.707.576</w:t>
            </w:r>
          </w:p>
        </w:tc>
        <w:tc>
          <w:tcPr>
            <w:tcW w:w="1079" w:type="pct"/>
            <w:shd w:val="clear" w:color="auto" w:fill="auto"/>
            <w:noWrap/>
          </w:tcPr>
          <w:p w:rsidR="001B41B0" w:rsidRPr="00661B08" w:rsidRDefault="001B41B0" w:rsidP="0097195F">
            <w:pPr>
              <w:spacing w:line="240" w:lineRule="auto"/>
              <w:jc w:val="right"/>
              <w:rPr>
                <w:rFonts w:eastAsia="Times New Roman"/>
                <w:sz w:val="22"/>
                <w:highlight w:val="cyan"/>
                <w:lang w:eastAsia="hr-HR"/>
              </w:rPr>
            </w:pPr>
            <w:r w:rsidRPr="00661B08">
              <w:rPr>
                <w:rFonts w:eastAsia="Times New Roman"/>
                <w:sz w:val="22"/>
                <w:highlight w:val="cyan"/>
                <w:lang w:eastAsia="hr-HR"/>
              </w:rPr>
              <w:t>914.202.390</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Dobitak po zaposlenom</w:t>
            </w:r>
            <w:r w:rsidR="00742812" w:rsidRPr="00661B08">
              <w:rPr>
                <w:b/>
                <w:sz w:val="22"/>
                <w:highlight w:val="cyan"/>
                <w:lang w:eastAsia="hr-HR"/>
              </w:rPr>
              <w:t>e</w:t>
            </w:r>
            <w:r w:rsidRPr="00661B08">
              <w:rPr>
                <w:b/>
                <w:sz w:val="22"/>
                <w:highlight w:val="cyan"/>
                <w:lang w:eastAsia="hr-HR"/>
              </w:rPr>
              <w:t xml:space="preserve">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17.786</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19.037</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28.036</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Gubitak po zaposlenom</w:t>
            </w:r>
            <w:r w:rsidR="00742812" w:rsidRPr="00661B08">
              <w:rPr>
                <w:b/>
                <w:sz w:val="22"/>
                <w:highlight w:val="cyan"/>
                <w:lang w:eastAsia="hr-HR"/>
              </w:rPr>
              <w:t>e</w:t>
            </w:r>
            <w:r w:rsidRPr="00661B08">
              <w:rPr>
                <w:b/>
                <w:sz w:val="22"/>
                <w:highlight w:val="cyan"/>
                <w:lang w:eastAsia="hr-HR"/>
              </w:rPr>
              <w:t xml:space="preserve">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14.371</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16.983</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24.566</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Odnos izvoza i uvoza</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0,446</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0,626</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0,785</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Trgovinska bilanca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-157.983.143</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-110.851.143</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-63.407.477</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Udio izvoza u ukupnom prihodu (%)</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4,62</w:t>
            </w:r>
          </w:p>
        </w:tc>
        <w:tc>
          <w:tcPr>
            <w:tcW w:w="948"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6,51</w:t>
            </w:r>
          </w:p>
        </w:tc>
        <w:tc>
          <w:tcPr>
            <w:tcW w:w="1079" w:type="pct"/>
            <w:shd w:val="clear" w:color="auto" w:fill="FFFFFF"/>
            <w:noWrap/>
          </w:tcPr>
          <w:p w:rsidR="001B41B0" w:rsidRPr="00661B08" w:rsidRDefault="001B41B0" w:rsidP="0097195F">
            <w:pPr>
              <w:spacing w:line="240" w:lineRule="auto"/>
              <w:jc w:val="right"/>
              <w:rPr>
                <w:sz w:val="22"/>
                <w:highlight w:val="cyan"/>
              </w:rPr>
            </w:pPr>
            <w:r w:rsidRPr="00661B08">
              <w:rPr>
                <w:sz w:val="22"/>
                <w:highlight w:val="cyan"/>
              </w:rPr>
              <w:t>8,28</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RCA</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-1,355</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-0,824</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-0,439</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Udio BDV</w:t>
            </w:r>
            <w:r w:rsidR="00742812" w:rsidRPr="00661B08">
              <w:rPr>
                <w:b/>
                <w:sz w:val="22"/>
                <w:highlight w:val="cyan"/>
                <w:lang w:eastAsia="hr-HR"/>
              </w:rPr>
              <w:t>-a</w:t>
            </w:r>
            <w:r w:rsidRPr="00661B08">
              <w:rPr>
                <w:b/>
                <w:sz w:val="22"/>
                <w:highlight w:val="cyan"/>
                <w:lang w:eastAsia="hr-HR"/>
              </w:rPr>
              <w:t xml:space="preserve"> djelatnosti u BDV-u prerađivačke industrije (%)</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2,41</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1,95</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2,00</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Grubell-Lloydov indeks</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0,617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0,770</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0,880</w:t>
            </w:r>
          </w:p>
        </w:tc>
      </w:tr>
      <w:tr w:rsidR="002138FA" w:rsidRPr="00661B08" w:rsidTr="0097195F">
        <w:trPr>
          <w:trHeight w:val="20"/>
        </w:trPr>
        <w:tc>
          <w:tcPr>
            <w:tcW w:w="2025" w:type="pct"/>
            <w:shd w:val="clear" w:color="auto" w:fill="auto"/>
            <w:noWrap/>
            <w:vAlign w:val="center"/>
          </w:tcPr>
          <w:p w:rsidR="002138FA" w:rsidRPr="00661B08" w:rsidRDefault="002138FA" w:rsidP="0097195F">
            <w:pPr>
              <w:spacing w:line="240" w:lineRule="auto"/>
              <w:jc w:val="left"/>
              <w:rPr>
                <w:b/>
                <w:sz w:val="22"/>
                <w:highlight w:val="cyan"/>
                <w:lang w:eastAsia="hr-HR"/>
              </w:rPr>
            </w:pPr>
            <w:r w:rsidRPr="00661B08">
              <w:rPr>
                <w:b/>
                <w:sz w:val="22"/>
                <w:highlight w:val="cyan"/>
                <w:lang w:eastAsia="hr-HR"/>
              </w:rPr>
              <w:t>Proizvodnost rada (HRK)</w:t>
            </w:r>
          </w:p>
        </w:tc>
        <w:tc>
          <w:tcPr>
            <w:tcW w:w="948"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161.117</w:t>
            </w:r>
          </w:p>
        </w:tc>
        <w:tc>
          <w:tcPr>
            <w:tcW w:w="948"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154.426</w:t>
            </w:r>
          </w:p>
        </w:tc>
        <w:tc>
          <w:tcPr>
            <w:tcW w:w="1079"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155.160</w:t>
            </w:r>
          </w:p>
        </w:tc>
      </w:tr>
      <w:tr w:rsidR="002138FA" w:rsidRPr="00661B08" w:rsidTr="0097195F">
        <w:trPr>
          <w:trHeight w:val="20"/>
        </w:trPr>
        <w:tc>
          <w:tcPr>
            <w:tcW w:w="2025" w:type="pct"/>
            <w:shd w:val="clear" w:color="auto" w:fill="auto"/>
            <w:noWrap/>
            <w:vAlign w:val="center"/>
          </w:tcPr>
          <w:p w:rsidR="002138FA" w:rsidRPr="00661B08" w:rsidRDefault="002138FA" w:rsidP="0097195F">
            <w:pPr>
              <w:spacing w:line="240" w:lineRule="auto"/>
              <w:jc w:val="left"/>
              <w:rPr>
                <w:b/>
                <w:sz w:val="22"/>
                <w:highlight w:val="cyan"/>
                <w:lang w:eastAsia="hr-HR"/>
              </w:rPr>
            </w:pPr>
            <w:r w:rsidRPr="00661B08">
              <w:rPr>
                <w:b/>
                <w:sz w:val="22"/>
                <w:highlight w:val="cyan"/>
                <w:lang w:eastAsia="hr-HR"/>
              </w:rPr>
              <w:t>Proizvodnost kapitala</w:t>
            </w:r>
          </w:p>
        </w:tc>
        <w:tc>
          <w:tcPr>
            <w:tcW w:w="948"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0,67</w:t>
            </w:r>
          </w:p>
        </w:tc>
        <w:tc>
          <w:tcPr>
            <w:tcW w:w="948"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0,69</w:t>
            </w:r>
          </w:p>
        </w:tc>
        <w:tc>
          <w:tcPr>
            <w:tcW w:w="1079" w:type="pct"/>
            <w:shd w:val="clear" w:color="auto" w:fill="auto"/>
            <w:noWrap/>
            <w:vAlign w:val="bottom"/>
          </w:tcPr>
          <w:p w:rsidR="002138FA" w:rsidRPr="00661B08" w:rsidRDefault="002138FA" w:rsidP="0097195F">
            <w:pPr>
              <w:spacing w:line="240" w:lineRule="auto"/>
              <w:jc w:val="right"/>
              <w:rPr>
                <w:color w:val="000000"/>
                <w:sz w:val="22"/>
                <w:highlight w:val="cyan"/>
              </w:rPr>
            </w:pPr>
            <w:r w:rsidRPr="00661B08">
              <w:rPr>
                <w:color w:val="000000"/>
                <w:sz w:val="22"/>
                <w:highlight w:val="cyan"/>
              </w:rPr>
              <w:t>0,73</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Jedinični trošak rada (HRK)</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0,59</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0,58</w:t>
            </w:r>
          </w:p>
        </w:tc>
      </w:tr>
      <w:tr w:rsidR="001B41B0" w:rsidRPr="00661B08" w:rsidTr="0097195F">
        <w:trPr>
          <w:trHeight w:val="20"/>
        </w:trPr>
        <w:tc>
          <w:tcPr>
            <w:tcW w:w="2025" w:type="pct"/>
            <w:shd w:val="clear" w:color="auto" w:fill="auto"/>
            <w:noWrap/>
            <w:vAlign w:val="center"/>
          </w:tcPr>
          <w:p w:rsidR="001B41B0" w:rsidRPr="00661B08" w:rsidRDefault="001B41B0" w:rsidP="0097195F">
            <w:pPr>
              <w:spacing w:line="240" w:lineRule="auto"/>
              <w:jc w:val="left"/>
              <w:rPr>
                <w:b/>
                <w:sz w:val="22"/>
                <w:highlight w:val="cyan"/>
                <w:lang w:eastAsia="hr-HR"/>
              </w:rPr>
            </w:pPr>
            <w:r w:rsidRPr="00661B08">
              <w:rPr>
                <w:b/>
                <w:sz w:val="22"/>
                <w:highlight w:val="cyan"/>
                <w:lang w:eastAsia="hr-HR"/>
              </w:rPr>
              <w:t>Koeficijent zaduženosti</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0,67</w:t>
            </w:r>
          </w:p>
        </w:tc>
        <w:tc>
          <w:tcPr>
            <w:tcW w:w="948"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0,66</w:t>
            </w:r>
          </w:p>
        </w:tc>
        <w:tc>
          <w:tcPr>
            <w:tcW w:w="1079" w:type="pct"/>
            <w:shd w:val="clear" w:color="auto" w:fill="auto"/>
            <w:noWrap/>
          </w:tcPr>
          <w:p w:rsidR="001B41B0" w:rsidRPr="00661B08" w:rsidRDefault="001B41B0" w:rsidP="0097195F">
            <w:pPr>
              <w:spacing w:line="240" w:lineRule="auto"/>
              <w:jc w:val="right"/>
              <w:rPr>
                <w:sz w:val="22"/>
                <w:highlight w:val="cyan"/>
              </w:rPr>
            </w:pPr>
            <w:r w:rsidRPr="00661B08">
              <w:rPr>
                <w:sz w:val="22"/>
                <w:highlight w:val="cyan"/>
              </w:rPr>
              <w:t>0,68</w:t>
            </w:r>
          </w:p>
        </w:tc>
      </w:tr>
    </w:tbl>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1B41B0">
      <w:pPr>
        <w:rPr>
          <w:highlight w:val="cyan"/>
          <w:lang w:eastAsia="hr-HR"/>
        </w:rPr>
      </w:pPr>
    </w:p>
    <w:p w:rsidR="001B41B0" w:rsidRPr="00661B08" w:rsidRDefault="001B41B0" w:rsidP="001B41B0">
      <w:pPr>
        <w:rPr>
          <w:highlight w:val="cyan"/>
          <w:lang w:eastAsia="hr-HR"/>
        </w:rPr>
      </w:pPr>
    </w:p>
    <w:p w:rsidR="001B41B0" w:rsidRPr="00661B08" w:rsidRDefault="001B41B0" w:rsidP="001B41B0">
      <w:pPr>
        <w:rPr>
          <w:highlight w:val="cyan"/>
          <w:lang w:eastAsia="hr-HR"/>
        </w:rPr>
      </w:pPr>
    </w:p>
    <w:p w:rsidR="001B41B0" w:rsidRPr="00661B08" w:rsidRDefault="001B41B0" w:rsidP="001B41B0">
      <w:pPr>
        <w:rPr>
          <w:highlight w:val="cyan"/>
          <w:lang w:eastAsia="hr-HR"/>
        </w:rPr>
      </w:pPr>
    </w:p>
    <w:p w:rsidR="001B41B0" w:rsidRPr="00661B08" w:rsidRDefault="001B41B0" w:rsidP="007D0CFD">
      <w:pPr>
        <w:pStyle w:val="Heading5"/>
        <w:rPr>
          <w:rStyle w:val="IntenseEmphasis"/>
          <w:b/>
          <w:bCs w:val="0"/>
          <w:iCs w:val="0"/>
          <w:color w:val="548DD4" w:themeColor="text2" w:themeTint="99"/>
          <w:sz w:val="20"/>
          <w:highlight w:val="cyan"/>
        </w:rPr>
      </w:pPr>
    </w:p>
    <w:p w:rsidR="001B41B0" w:rsidRPr="00661B08" w:rsidRDefault="001B41B0" w:rsidP="007D0CFD">
      <w:pPr>
        <w:pStyle w:val="Heading5"/>
        <w:rPr>
          <w:rStyle w:val="IntenseEmphasis"/>
          <w:b/>
          <w:bCs w:val="0"/>
          <w:iCs w:val="0"/>
          <w:color w:val="548DD4" w:themeColor="text2" w:themeTint="99"/>
          <w:sz w:val="20"/>
          <w:highlight w:val="cyan"/>
        </w:rPr>
      </w:pPr>
      <w:bookmarkStart w:id="591" w:name="_Toc372088150"/>
      <w:bookmarkStart w:id="592" w:name="_Toc377551085"/>
      <w:bookmarkStart w:id="593" w:name="_Toc377635274"/>
      <w:r w:rsidRPr="00661B08">
        <w:rPr>
          <w:rStyle w:val="IntenseEmphasis"/>
          <w:b/>
          <w:bCs w:val="0"/>
          <w:iCs w:val="0"/>
          <w:color w:val="548DD4" w:themeColor="text2" w:themeTint="99"/>
          <w:sz w:val="20"/>
          <w:highlight w:val="cyan"/>
        </w:rPr>
        <w:t xml:space="preserve">Tablica </w:t>
      </w:r>
      <w:r w:rsidR="00FB4A6B" w:rsidRPr="00661B08">
        <w:rPr>
          <w:rStyle w:val="IntenseEmphasis"/>
          <w:b/>
          <w:bCs w:val="0"/>
          <w:iCs w:val="0"/>
          <w:color w:val="548DD4" w:themeColor="text2" w:themeTint="99"/>
          <w:sz w:val="20"/>
          <w:highlight w:val="cyan"/>
        </w:rPr>
        <w:t>73</w:t>
      </w:r>
      <w:r w:rsidRPr="00661B08">
        <w:rPr>
          <w:rStyle w:val="IntenseEmphasis"/>
          <w:b/>
          <w:bCs w:val="0"/>
          <w:iCs w:val="0"/>
          <w:color w:val="548DD4" w:themeColor="text2" w:themeTint="99"/>
          <w:sz w:val="20"/>
          <w:highlight w:val="cyan"/>
        </w:rPr>
        <w:t>. Kvalitativni pokazatelji (C18)</w:t>
      </w:r>
      <w:bookmarkEnd w:id="591"/>
      <w:bookmarkEnd w:id="592"/>
      <w:bookmarkEnd w:id="593"/>
      <w:r w:rsidRPr="00661B08">
        <w:rPr>
          <w:rStyle w:val="IntenseEmphasis"/>
          <w:b/>
          <w:bCs w:val="0"/>
          <w:iCs w:val="0"/>
          <w:color w:val="548DD4" w:themeColor="text2" w:themeTint="99"/>
          <w:sz w:val="20"/>
          <w:highlight w:val="cy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661B08" w:rsidTr="0097195F">
        <w:trPr>
          <w:trHeight w:val="20"/>
        </w:trPr>
        <w:tc>
          <w:tcPr>
            <w:tcW w:w="1890" w:type="pct"/>
            <w:shd w:val="pct15" w:color="auto" w:fill="auto"/>
            <w:vAlign w:val="center"/>
          </w:tcPr>
          <w:p w:rsidR="001B41B0" w:rsidRPr="00661B08" w:rsidRDefault="001B41B0" w:rsidP="0097195F">
            <w:pPr>
              <w:spacing w:line="240" w:lineRule="auto"/>
              <w:jc w:val="center"/>
              <w:rPr>
                <w:b/>
                <w:sz w:val="22"/>
                <w:highlight w:val="cyan"/>
              </w:rPr>
            </w:pPr>
            <w:r w:rsidRPr="00661B08">
              <w:rPr>
                <w:b/>
                <w:sz w:val="22"/>
                <w:highlight w:val="cyan"/>
              </w:rPr>
              <w:t xml:space="preserve">Čimbenici razvoja </w:t>
            </w:r>
          </w:p>
        </w:tc>
        <w:tc>
          <w:tcPr>
            <w:tcW w:w="3110" w:type="pct"/>
            <w:shd w:val="pct15" w:color="auto" w:fill="auto"/>
            <w:vAlign w:val="center"/>
          </w:tcPr>
          <w:p w:rsidR="001B41B0" w:rsidRPr="00661B08" w:rsidRDefault="001B41B0" w:rsidP="0097195F">
            <w:pPr>
              <w:spacing w:line="240" w:lineRule="auto"/>
              <w:jc w:val="center"/>
              <w:rPr>
                <w:b/>
                <w:sz w:val="22"/>
                <w:highlight w:val="cyan"/>
              </w:rPr>
            </w:pPr>
            <w:r w:rsidRPr="00661B08">
              <w:rPr>
                <w:b/>
                <w:sz w:val="22"/>
                <w:highlight w:val="cyan"/>
              </w:rPr>
              <w:t>Analiza utjecaja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Dostupnost</w:t>
            </w:r>
            <w:r w:rsidR="00742812" w:rsidRPr="00661B08">
              <w:rPr>
                <w:b/>
                <w:sz w:val="22"/>
                <w:highlight w:val="cyan"/>
              </w:rPr>
              <w:t xml:space="preserve"> i kvaliteta proizvodnih čimbenika</w:t>
            </w:r>
            <w:r w:rsidRPr="00661B08">
              <w:rPr>
                <w:b/>
                <w:i/>
                <w:sz w:val="22"/>
                <w:highlight w:val="cyan"/>
              </w:rPr>
              <w:t xml:space="preserve"> </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Radna snaga i ostali prirodni resursi kvalitetni i dostupni. Kapital manje dostupan.</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 xml:space="preserve">Obilježja potražnje </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 xml:space="preserve">Radi se o proizvodima koje </w:t>
            </w:r>
            <w:r w:rsidR="00742812" w:rsidRPr="00661B08">
              <w:rPr>
                <w:sz w:val="22"/>
                <w:highlight w:val="cyan"/>
              </w:rPr>
              <w:t>na</w:t>
            </w:r>
            <w:r w:rsidRPr="00661B08">
              <w:rPr>
                <w:sz w:val="22"/>
                <w:highlight w:val="cyan"/>
              </w:rPr>
              <w:t>dalje prodaju druge industrije (izdavačka) ili ih koriste u marketinške svrhe (osobito usl</w:t>
            </w:r>
            <w:r w:rsidR="00742812" w:rsidRPr="00661B08">
              <w:rPr>
                <w:sz w:val="22"/>
                <w:highlight w:val="cyan"/>
              </w:rPr>
              <w:t>užne djelatnosti poput trgovine i</w:t>
            </w:r>
            <w:r w:rsidRPr="00661B08">
              <w:rPr>
                <w:sz w:val="22"/>
                <w:highlight w:val="cyan"/>
              </w:rPr>
              <w:t xml:space="preserve"> turizma).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Tehnološka opremljenost</w:t>
            </w:r>
          </w:p>
        </w:tc>
        <w:tc>
          <w:tcPr>
            <w:tcW w:w="3110" w:type="pct"/>
            <w:shd w:val="clear" w:color="auto" w:fill="auto"/>
          </w:tcPr>
          <w:p w:rsidR="001B41B0" w:rsidRPr="00661B08" w:rsidRDefault="00742812" w:rsidP="0097195F">
            <w:pPr>
              <w:spacing w:line="240" w:lineRule="auto"/>
              <w:rPr>
                <w:sz w:val="22"/>
                <w:highlight w:val="cyan"/>
              </w:rPr>
            </w:pPr>
            <w:r w:rsidRPr="00661B08">
              <w:rPr>
                <w:sz w:val="22"/>
                <w:highlight w:val="cyan"/>
              </w:rPr>
              <w:t xml:space="preserve">Tehnološka opremljenost </w:t>
            </w:r>
            <w:r w:rsidR="001B41B0" w:rsidRPr="00661B08">
              <w:rPr>
                <w:sz w:val="22"/>
                <w:highlight w:val="cyan"/>
              </w:rPr>
              <w:t xml:space="preserve">vrlo </w:t>
            </w:r>
            <w:r w:rsidRPr="00661B08">
              <w:rPr>
                <w:sz w:val="22"/>
                <w:highlight w:val="cyan"/>
              </w:rPr>
              <w:t xml:space="preserve">je </w:t>
            </w:r>
            <w:r w:rsidR="001B41B0" w:rsidRPr="00661B08">
              <w:rPr>
                <w:sz w:val="22"/>
                <w:highlight w:val="cyan"/>
              </w:rPr>
              <w:t>dobra.</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Izdaci za istraživanje i razvoj</w:t>
            </w:r>
          </w:p>
        </w:tc>
        <w:tc>
          <w:tcPr>
            <w:tcW w:w="3110" w:type="pct"/>
            <w:shd w:val="clear" w:color="auto" w:fill="auto"/>
          </w:tcPr>
          <w:p w:rsidR="001B41B0" w:rsidRPr="00661B08" w:rsidRDefault="00742812" w:rsidP="0097195F">
            <w:pPr>
              <w:spacing w:line="240" w:lineRule="auto"/>
              <w:rPr>
                <w:sz w:val="22"/>
                <w:highlight w:val="cyan"/>
              </w:rPr>
            </w:pPr>
            <w:r w:rsidRPr="00661B08">
              <w:rPr>
                <w:sz w:val="22"/>
                <w:highlight w:val="cyan"/>
              </w:rPr>
              <w:t>Neznatni</w:t>
            </w:r>
            <w:r w:rsidR="001B41B0" w:rsidRPr="00661B08">
              <w:rPr>
                <w:sz w:val="22"/>
                <w:highlight w:val="cyan"/>
              </w:rPr>
              <w:t xml:space="preserve"> izdaci za istraživanje i razvoj.</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Zakonodavno okruženje</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Nema znatnog utjecaja na razvoj industrije.</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Koncentracija u djelatnosti</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100 poduzeća ostvaruje 92% prihoda djelatnosti. 100 poduzeća zapošljava 74% zaposlenih u djelatnosti.</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Izvozni potencijal</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Izvozni potencijal postoji.</w:t>
            </w:r>
          </w:p>
        </w:tc>
      </w:tr>
      <w:tr w:rsidR="001B41B0" w:rsidRPr="00661B08"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Potencijal rasta i zapošljavanja</w:t>
            </w:r>
          </w:p>
        </w:tc>
        <w:tc>
          <w:tcPr>
            <w:tcW w:w="3110" w:type="pct"/>
            <w:shd w:val="clear" w:color="auto" w:fill="auto"/>
          </w:tcPr>
          <w:p w:rsidR="001B41B0" w:rsidRPr="00661B08" w:rsidRDefault="001B41B0" w:rsidP="0097195F">
            <w:pPr>
              <w:spacing w:line="240" w:lineRule="auto"/>
              <w:rPr>
                <w:sz w:val="22"/>
                <w:highlight w:val="cyan"/>
              </w:rPr>
            </w:pPr>
            <w:r w:rsidRPr="00661B08">
              <w:rPr>
                <w:sz w:val="22"/>
                <w:highlight w:val="cyan"/>
              </w:rPr>
              <w:t xml:space="preserve">Potencijal rasta na domaćem tržištu </w:t>
            </w:r>
            <w:r w:rsidR="00742812" w:rsidRPr="00661B08">
              <w:rPr>
                <w:sz w:val="22"/>
                <w:highlight w:val="cyan"/>
              </w:rPr>
              <w:t xml:space="preserve">je </w:t>
            </w:r>
            <w:r w:rsidRPr="00661B08">
              <w:rPr>
                <w:sz w:val="22"/>
                <w:highlight w:val="cyan"/>
              </w:rPr>
              <w:t>slab</w:t>
            </w:r>
            <w:r w:rsidR="00742812" w:rsidRPr="00661B08">
              <w:rPr>
                <w:sz w:val="22"/>
                <w:highlight w:val="cyan"/>
              </w:rPr>
              <w:t>, a isti je moguć</w:t>
            </w:r>
            <w:r w:rsidRPr="00661B08">
              <w:rPr>
                <w:sz w:val="22"/>
                <w:highlight w:val="cyan"/>
              </w:rPr>
              <w:t xml:space="preserve"> jedino put</w:t>
            </w:r>
            <w:r w:rsidR="00742812" w:rsidRPr="00661B08">
              <w:rPr>
                <w:sz w:val="22"/>
                <w:highlight w:val="cyan"/>
              </w:rPr>
              <w:t xml:space="preserve">em širenja izvozne aktivnosti. Svojim potencijalom </w:t>
            </w:r>
            <w:r w:rsidRPr="00661B08">
              <w:rPr>
                <w:sz w:val="22"/>
                <w:highlight w:val="cyan"/>
              </w:rPr>
              <w:t>ističe</w:t>
            </w:r>
            <w:r w:rsidR="00742812" w:rsidRPr="00661B08">
              <w:rPr>
                <w:sz w:val="22"/>
                <w:highlight w:val="cyan"/>
              </w:rPr>
              <w:t xml:space="preserve"> se</w:t>
            </w:r>
            <w:r w:rsidRPr="00661B08">
              <w:rPr>
                <w:sz w:val="22"/>
                <w:highlight w:val="cyan"/>
              </w:rPr>
              <w:t xml:space="preserve"> poddjelatnost C18.1 Tiskanje i uslužne djelatnosti povezane s tiskanjem.</w:t>
            </w:r>
          </w:p>
        </w:tc>
      </w:tr>
      <w:tr w:rsidR="001B41B0" w:rsidRPr="004E6412" w:rsidTr="0097195F">
        <w:trPr>
          <w:trHeight w:val="20"/>
        </w:trPr>
        <w:tc>
          <w:tcPr>
            <w:tcW w:w="1890" w:type="pct"/>
            <w:shd w:val="clear" w:color="auto" w:fill="auto"/>
          </w:tcPr>
          <w:p w:rsidR="001B41B0" w:rsidRPr="00661B08" w:rsidRDefault="001B41B0" w:rsidP="0097195F">
            <w:pPr>
              <w:spacing w:line="240" w:lineRule="auto"/>
              <w:jc w:val="left"/>
              <w:rPr>
                <w:b/>
                <w:sz w:val="22"/>
                <w:highlight w:val="cyan"/>
              </w:rPr>
            </w:pPr>
            <w:r w:rsidRPr="00661B08">
              <w:rPr>
                <w:b/>
                <w:sz w:val="22"/>
                <w:highlight w:val="cyan"/>
              </w:rPr>
              <w:t>Ovisnost o uvozu</w:t>
            </w:r>
          </w:p>
        </w:tc>
        <w:tc>
          <w:tcPr>
            <w:tcW w:w="3110" w:type="pct"/>
            <w:shd w:val="clear" w:color="auto" w:fill="auto"/>
          </w:tcPr>
          <w:p w:rsidR="001B41B0" w:rsidRPr="004E6412" w:rsidRDefault="009C0636" w:rsidP="0097195F">
            <w:pPr>
              <w:spacing w:line="240" w:lineRule="auto"/>
              <w:rPr>
                <w:sz w:val="22"/>
              </w:rPr>
            </w:pPr>
            <w:r w:rsidRPr="00661B08">
              <w:rPr>
                <w:sz w:val="22"/>
                <w:highlight w:val="cyan"/>
              </w:rPr>
              <w:t>Velika</w:t>
            </w:r>
            <w:r w:rsidR="001B41B0" w:rsidRPr="00661B08">
              <w:rPr>
                <w:sz w:val="22"/>
                <w:highlight w:val="cyan"/>
              </w:rPr>
              <w:t xml:space="preserve"> ovisnos</w:t>
            </w:r>
            <w:r w:rsidRPr="00661B08">
              <w:rPr>
                <w:sz w:val="22"/>
                <w:highlight w:val="cyan"/>
              </w:rPr>
              <w:t>t o sirovinama iz uvoza. Velika</w:t>
            </w:r>
            <w:r w:rsidR="001B41B0" w:rsidRPr="00661B08">
              <w:rPr>
                <w:sz w:val="22"/>
                <w:highlight w:val="cyan"/>
              </w:rPr>
              <w:t xml:space="preserve"> ovisnost o sirovinama iz uvoza.</w:t>
            </w:r>
          </w:p>
        </w:tc>
      </w:tr>
    </w:tbl>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94" w:name="_Toc372088012"/>
      <w:bookmarkStart w:id="595" w:name="_Toc378069073"/>
      <w:r w:rsidRPr="004E6412">
        <w:lastRenderedPageBreak/>
        <w:t>C19 Proizvodnja koksa i rafiniranih naftnih proizvoda</w:t>
      </w:r>
      <w:bookmarkEnd w:id="584"/>
      <w:bookmarkEnd w:id="585"/>
      <w:bookmarkEnd w:id="586"/>
      <w:bookmarkEnd w:id="587"/>
      <w:bookmarkEnd w:id="594"/>
      <w:bookmarkEnd w:id="595"/>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koksa i rafiniranih naftnih proizvoda (C19) uključuje proizvodnju proizvoda koksnih peći</w:t>
      </w:r>
      <w:r w:rsidR="006603FF" w:rsidRPr="004E6412">
        <w:rPr>
          <w:sz w:val="22"/>
        </w:rPr>
        <w:t xml:space="preserve"> </w:t>
      </w:r>
      <w:r w:rsidRPr="004E6412">
        <w:rPr>
          <w:sz w:val="22"/>
        </w:rPr>
        <w:t>(C19.1) i proizvodnju rafiniranih naftnih proizvoda (C19.2).</w:t>
      </w:r>
    </w:p>
    <w:p w:rsidR="001B41B0" w:rsidRPr="004E6412" w:rsidRDefault="001B41B0" w:rsidP="001B41B0">
      <w:pPr>
        <w:rPr>
          <w:szCs w:val="24"/>
        </w:rPr>
      </w:pPr>
    </w:p>
    <w:p w:rsidR="001B41B0" w:rsidRPr="004E6412" w:rsidRDefault="001B41B0" w:rsidP="00D001B9">
      <w:pPr>
        <w:pStyle w:val="Heading3"/>
      </w:pPr>
      <w:bookmarkStart w:id="596" w:name="_Toc366154289"/>
      <w:bookmarkStart w:id="597" w:name="_Toc366154409"/>
      <w:bookmarkStart w:id="598" w:name="_Toc366409952"/>
      <w:bookmarkStart w:id="599" w:name="_Toc372088013"/>
      <w:bookmarkStart w:id="600" w:name="_Toc378069074"/>
      <w:r w:rsidRPr="004E6412">
        <w:t>Globalni trendovi razvoja</w:t>
      </w:r>
      <w:bookmarkEnd w:id="596"/>
      <w:bookmarkEnd w:id="597"/>
      <w:bookmarkEnd w:id="598"/>
      <w:bookmarkEnd w:id="599"/>
      <w:bookmarkEnd w:id="600"/>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Svjetska proizvodnja koksa iznosila je 594 milijuna tona u 2010., a glavnina se ostvaruje u Aziji (83%). Svjetski lider i dalje je Kina koja ostvaruje 65% svjetske proizvodnje i opskrbljuje gotovo sva svjetska tržišta. U razdoblju 2000.</w:t>
      </w:r>
      <w:r w:rsidR="006603FF" w:rsidRPr="004E6412">
        <w:rPr>
          <w:rFonts w:ascii="Times New Roman" w:hAnsi="Times New Roman"/>
        </w:rPr>
        <w:t xml:space="preserve"> – </w:t>
      </w:r>
      <w:r w:rsidRPr="004E6412">
        <w:rPr>
          <w:rFonts w:ascii="Times New Roman" w:hAnsi="Times New Roman"/>
        </w:rPr>
        <w:t xml:space="preserve">2010. kineska proizvodnja koksa rasla je po prosječnoj godišnjoj stopi od 11% godišnje, no očekuje se usporavanje rasta u nadolazećem razdoblju. Kako bi osigurale dovoljne količine koksa za vlastite industrije, kineske vlasti su 2008. uvele poseban porez na izvoz koksa (u obliku izvoznih dozvola) koji je uvelike smanjio izvozne količine.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Zbog pogoršanja uvjeta na svjetskim tržištima koji su nastupili kao posljedica globalne gospodarske krize i rekordno visokih cijena sirovina za proizvodnju, proizvođači koksa ostvarili su niske ili negativne stope profitabilnosti. Navedeno je utjecalo na zatvaranje proizvodnih kapaciteta (izvan Kine) koji ostvaruju 15 milijuna tona godišnje proizvodnje. Zajedno s </w:t>
      </w:r>
      <w:r w:rsidR="006603FF" w:rsidRPr="004E6412">
        <w:rPr>
          <w:rFonts w:ascii="Times New Roman" w:hAnsi="Times New Roman"/>
        </w:rPr>
        <w:t>us</w:t>
      </w:r>
      <w:r w:rsidRPr="004E6412">
        <w:rPr>
          <w:rFonts w:ascii="Times New Roman" w:hAnsi="Times New Roman"/>
        </w:rPr>
        <w:t>postavljenim ograničenjima kineskih vlasti na izvoz koksa, oček</w:t>
      </w:r>
      <w:r w:rsidR="006603FF" w:rsidRPr="004E6412">
        <w:rPr>
          <w:rFonts w:ascii="Times New Roman" w:hAnsi="Times New Roman"/>
        </w:rPr>
        <w:t>uje se da će se zbog smanjenja</w:t>
      </w:r>
      <w:r w:rsidRPr="004E6412">
        <w:rPr>
          <w:rFonts w:ascii="Times New Roman" w:hAnsi="Times New Roman"/>
        </w:rPr>
        <w:t xml:space="preserve"> ponude u 2014. cijene koksa korigirati naviše.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Globalna proizvodnja rafiniranih naftnih proizvoda premješta se iz razvijenih zemalja prema zemljama u razvoju (prvenstveno azijskim zemljama). Visoke cijene nafte, sve veći troškovi povezani s ekološkim standardima kao i pad potražnje za naftnim derivatima uzrokovan usporavanjem svjetskog gospodarstva </w:t>
      </w:r>
      <w:r w:rsidR="006603FF" w:rsidRPr="004E6412">
        <w:rPr>
          <w:rFonts w:ascii="Times New Roman" w:hAnsi="Times New Roman"/>
        </w:rPr>
        <w:t xml:space="preserve">zajedno </w:t>
      </w:r>
      <w:r w:rsidRPr="004E6412">
        <w:rPr>
          <w:rFonts w:ascii="Times New Roman" w:hAnsi="Times New Roman"/>
        </w:rPr>
        <w:t>stvaraju pr</w:t>
      </w:r>
      <w:r w:rsidR="006603FF" w:rsidRPr="004E6412">
        <w:rPr>
          <w:rFonts w:ascii="Times New Roman" w:hAnsi="Times New Roman"/>
        </w:rPr>
        <w:t>itisak na marže, što dovodi do restrukturiranj</w:t>
      </w:r>
      <w:r w:rsidRPr="004E6412">
        <w:rPr>
          <w:rFonts w:ascii="Times New Roman" w:hAnsi="Times New Roman"/>
        </w:rPr>
        <w:t>a proizvodnih i prod</w:t>
      </w:r>
      <w:r w:rsidR="006603FF" w:rsidRPr="004E6412">
        <w:rPr>
          <w:rFonts w:ascii="Times New Roman" w:hAnsi="Times New Roman"/>
        </w:rPr>
        <w:t>ajnih kapaciteta te vertikalnih i horizontalnih integracija</w:t>
      </w:r>
      <w:r w:rsidRPr="004E6412">
        <w:rPr>
          <w:rFonts w:ascii="Times New Roman" w:hAnsi="Times New Roman"/>
        </w:rPr>
        <w:t>. Tržište zapadnih zemalja, poglavito SAD-a suočava se s dodatnim padom potražnje za benzinom zbog porasta hibridnih i električnih automobila na tržištu, kao i rasta konkurentnosti biodizela. Premda na globalnom tržištu trenutno postoje</w:t>
      </w:r>
      <w:r w:rsidR="006603FF" w:rsidRPr="004E6412">
        <w:rPr>
          <w:rFonts w:ascii="Times New Roman" w:hAnsi="Times New Roman"/>
        </w:rPr>
        <w:t xml:space="preserve"> viškovi proizvodnih kapaciteta</w:t>
      </w:r>
      <w:r w:rsidRPr="004E6412">
        <w:rPr>
          <w:rFonts w:ascii="Times New Roman" w:hAnsi="Times New Roman"/>
        </w:rPr>
        <w:t xml:space="preserve"> te su ostvarene marže relativno niske, naftni prerađivači nastavljaju povećavati svoje proizvodne kapacitete. U kratkom</w:t>
      </w:r>
      <w:r w:rsidR="006603FF" w:rsidRPr="004E6412">
        <w:rPr>
          <w:rFonts w:ascii="Times New Roman" w:hAnsi="Times New Roman"/>
        </w:rPr>
        <w:t xml:space="preserve">e se roku očekuje </w:t>
      </w:r>
      <w:r w:rsidRPr="004E6412">
        <w:rPr>
          <w:rFonts w:ascii="Times New Roman" w:hAnsi="Times New Roman"/>
        </w:rPr>
        <w:t>daljnji nastavak podizanja proizvodnih kapaciteta i smanjenje učinkovitosti imovine, posebice u zemljama u razvoju. Očekuje se daljnja fluktuacija cijena naftnih derivata koja će ponajviše ovisiti o kretanjima globalnog gospodarstva, poremećajima u ponudi nafte i naftnih derivata uzrokovanim političkim d</w:t>
      </w:r>
      <w:r w:rsidR="006603FF" w:rsidRPr="004E6412">
        <w:rPr>
          <w:rFonts w:ascii="Times New Roman" w:hAnsi="Times New Roman"/>
        </w:rPr>
        <w:t>ogađajima, prirodnim nepogodama</w:t>
      </w:r>
      <w:r w:rsidRPr="004E6412">
        <w:rPr>
          <w:rFonts w:ascii="Times New Roman" w:hAnsi="Times New Roman"/>
        </w:rPr>
        <w:t xml:space="preserve"> te intenzitetom primjene alternativnih izvora energije.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Zemlje u razvoju (prvenstveno azijske z</w:t>
      </w:r>
      <w:r w:rsidR="00716385" w:rsidRPr="004E6412">
        <w:rPr>
          <w:rFonts w:ascii="Times New Roman" w:hAnsi="Times New Roman"/>
        </w:rPr>
        <w:t>emlje, na čelu s Kinom) odredi</w:t>
      </w:r>
      <w:r w:rsidRPr="004E6412">
        <w:rPr>
          <w:rFonts w:ascii="Times New Roman" w:hAnsi="Times New Roman"/>
        </w:rPr>
        <w:t xml:space="preserve"> će globalnu potražnju za naftnim derivatima, te će dodatno utjecati na promjene u ovoj djelatnosti. Prema predviđanjima OPEC-a, u razdoblju 2015.</w:t>
      </w:r>
      <w:r w:rsidR="00716385" w:rsidRPr="004E6412">
        <w:rPr>
          <w:rFonts w:ascii="Times New Roman" w:hAnsi="Times New Roman"/>
        </w:rPr>
        <w:t xml:space="preserve"> – </w:t>
      </w:r>
      <w:r w:rsidRPr="004E6412">
        <w:rPr>
          <w:rFonts w:ascii="Times New Roman" w:hAnsi="Times New Roman"/>
        </w:rPr>
        <w:t>2020</w:t>
      </w:r>
      <w:r w:rsidR="00716385" w:rsidRPr="004E6412">
        <w:rPr>
          <w:rFonts w:ascii="Times New Roman" w:hAnsi="Times New Roman"/>
        </w:rPr>
        <w:t>.</w:t>
      </w:r>
      <w:r w:rsidRPr="004E6412">
        <w:rPr>
          <w:rFonts w:ascii="Times New Roman" w:hAnsi="Times New Roman"/>
        </w:rPr>
        <w:t xml:space="preserve"> p</w:t>
      </w:r>
      <w:r w:rsidR="00716385" w:rsidRPr="004E6412">
        <w:rPr>
          <w:rFonts w:ascii="Times New Roman" w:hAnsi="Times New Roman"/>
        </w:rPr>
        <w:t>otražnja za tekućim gorivima rast će prosječno 2% u azijsko-p</w:t>
      </w:r>
      <w:r w:rsidRPr="004E6412">
        <w:rPr>
          <w:rFonts w:ascii="Times New Roman" w:hAnsi="Times New Roman"/>
        </w:rPr>
        <w:t>acifičkoj regiji, dok se u Europi i Sjevernoj Americi u istom razdoblju očekuje blagi pad p</w:t>
      </w:r>
      <w:r w:rsidR="00716385" w:rsidRPr="004E6412">
        <w:rPr>
          <w:rFonts w:ascii="Times New Roman" w:hAnsi="Times New Roman"/>
        </w:rPr>
        <w:t>otražnje. Shodno tome, izgledna je</w:t>
      </w:r>
      <w:r w:rsidRPr="004E6412">
        <w:rPr>
          <w:rFonts w:ascii="Times New Roman" w:hAnsi="Times New Roman"/>
        </w:rPr>
        <w:t xml:space="preserve"> i realokacija proizvodnih kapaciteta međunarodnih naftnih kompanija, pri čemu se očekuju integracijske aktivnosti između domaćih i međunarodnih poduzeća.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Primjetan je trend sve značajnijih ulaganja trenutno vodećih proizvođača rafiniranih naftnih proizvoda u alternativne izvore energije (prosječna godišnja stopa rasta ulaganja iznosila je </w:t>
      </w:r>
      <w:r w:rsidRPr="004E6412">
        <w:rPr>
          <w:rFonts w:ascii="Times New Roman" w:hAnsi="Times New Roman"/>
        </w:rPr>
        <w:lastRenderedPageBreak/>
        <w:t>20% u razdoblju 2001.</w:t>
      </w:r>
      <w:r w:rsidR="00716385" w:rsidRPr="004E6412">
        <w:rPr>
          <w:rFonts w:ascii="Times New Roman" w:hAnsi="Times New Roman"/>
        </w:rPr>
        <w:t xml:space="preserve"> – </w:t>
      </w:r>
      <w:r w:rsidRPr="004E6412">
        <w:rPr>
          <w:rFonts w:ascii="Times New Roman" w:hAnsi="Times New Roman"/>
        </w:rPr>
        <w:t>2011.), prvenstveno biogoriva koja su u stanju koristiti istovjetne sustave prerade, logistike i distribucije kakvi se koriste i za postojeća fosilna goriva.</w:t>
      </w:r>
    </w:p>
    <w:p w:rsidR="001B41B0" w:rsidRPr="004E6412" w:rsidRDefault="001B41B0" w:rsidP="001B41B0">
      <w:pPr>
        <w:rPr>
          <w:szCs w:val="24"/>
        </w:rPr>
      </w:pPr>
    </w:p>
    <w:p w:rsidR="001B41B0" w:rsidRPr="004E6412" w:rsidRDefault="001B41B0" w:rsidP="00D001B9">
      <w:pPr>
        <w:pStyle w:val="Heading3"/>
      </w:pPr>
      <w:bookmarkStart w:id="601" w:name="_Toc366154290"/>
      <w:bookmarkStart w:id="602" w:name="_Toc366154410"/>
      <w:bookmarkStart w:id="603" w:name="_Toc366409953"/>
      <w:bookmarkStart w:id="604" w:name="_Toc372088014"/>
      <w:bookmarkStart w:id="605" w:name="_Toc378069075"/>
      <w:r w:rsidRPr="004E6412">
        <w:t>Trendovi razvoja u Europskoj uniji</w:t>
      </w:r>
      <w:bookmarkEnd w:id="601"/>
      <w:bookmarkEnd w:id="602"/>
      <w:bookmarkEnd w:id="603"/>
      <w:bookmarkEnd w:id="604"/>
      <w:bookmarkEnd w:id="605"/>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djelatnosti proizvodnje koksa i rafiniranih naftnih proizvoda ukupno je bilo registrirano 1.120 poduzeća u 2010., koja su</w:t>
      </w:r>
      <w:r w:rsidR="00716385" w:rsidRPr="004E6412">
        <w:rPr>
          <w:rFonts w:ascii="Times New Roman" w:hAnsi="Times New Roman"/>
        </w:rPr>
        <w:t xml:space="preserve"> zapošljavala 129.400 ljudi, a bila su zaslužna za 23,5 milijardi</w:t>
      </w:r>
      <w:r w:rsidRPr="004E6412">
        <w:rPr>
          <w:rFonts w:ascii="Times New Roman" w:hAnsi="Times New Roman"/>
        </w:rPr>
        <w:t xml:space="preserve"> eura dodane vrijednosti. Na razini EU</w:t>
      </w:r>
      <w:r w:rsidR="00716385" w:rsidRPr="004E6412">
        <w:rPr>
          <w:rFonts w:ascii="Times New Roman" w:hAnsi="Times New Roman"/>
        </w:rPr>
        <w:t>-a</w:t>
      </w:r>
      <w:r w:rsidRPr="004E6412">
        <w:rPr>
          <w:rFonts w:ascii="Times New Roman" w:hAnsi="Times New Roman"/>
        </w:rPr>
        <w:t xml:space="preserve"> proizvodnja koksa i rafiniranih naftnih proizvoda doprinosi ukupnoj zaposlenosti s 0,4%, a ukupnoj dodanoj vrijednosti s 1,5% dodane vrijednosti.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Proizvodnja koksa u EU zaslužna je za oko 2% zaposlenosti u ovoj industrijskoj djelatnosti, te 8% u dodanoj vrijednosti. Proizvodnja r</w:t>
      </w:r>
      <w:r w:rsidR="00716385" w:rsidRPr="004E6412">
        <w:rPr>
          <w:rFonts w:ascii="Times New Roman" w:hAnsi="Times New Roman"/>
        </w:rPr>
        <w:t xml:space="preserve">afiniranih naftnih proizvoda </w:t>
      </w:r>
      <w:r w:rsidRPr="004E6412">
        <w:rPr>
          <w:rFonts w:ascii="Times New Roman" w:hAnsi="Times New Roman"/>
        </w:rPr>
        <w:t xml:space="preserve">znatno </w:t>
      </w:r>
      <w:r w:rsidR="00716385" w:rsidRPr="004E6412">
        <w:rPr>
          <w:rFonts w:ascii="Times New Roman" w:hAnsi="Times New Roman"/>
        </w:rPr>
        <w:t xml:space="preserve">je razvijenija, a </w:t>
      </w:r>
      <w:r w:rsidRPr="004E6412">
        <w:rPr>
          <w:rFonts w:ascii="Times New Roman" w:hAnsi="Times New Roman"/>
        </w:rPr>
        <w:t>nje</w:t>
      </w:r>
      <w:r w:rsidR="00716385" w:rsidRPr="004E6412">
        <w:rPr>
          <w:rFonts w:ascii="Times New Roman" w:hAnsi="Times New Roman"/>
        </w:rPr>
        <w:t>zi</w:t>
      </w:r>
      <w:r w:rsidRPr="004E6412">
        <w:rPr>
          <w:rFonts w:ascii="Times New Roman" w:hAnsi="Times New Roman"/>
        </w:rPr>
        <w:t>n doprinos dodanoj vrijednosti i zaposlenosti ove djelatnosti</w:t>
      </w:r>
      <w:r w:rsidR="004823E2" w:rsidRPr="004E6412">
        <w:rPr>
          <w:rFonts w:ascii="Times New Roman" w:hAnsi="Times New Roman"/>
        </w:rPr>
        <w:t xml:space="preserve"> </w:t>
      </w:r>
      <w:r w:rsidRPr="004E6412">
        <w:rPr>
          <w:rFonts w:ascii="Times New Roman" w:hAnsi="Times New Roman"/>
        </w:rPr>
        <w:t>puno</w:t>
      </w:r>
      <w:r w:rsidR="00716385" w:rsidRPr="004E6412">
        <w:rPr>
          <w:rFonts w:ascii="Times New Roman" w:hAnsi="Times New Roman"/>
        </w:rPr>
        <w:t xml:space="preserve"> je</w:t>
      </w:r>
      <w:r w:rsidRPr="004E6412">
        <w:rPr>
          <w:rFonts w:ascii="Times New Roman" w:hAnsi="Times New Roman"/>
        </w:rPr>
        <w:t xml:space="preserve"> značajniji (98% u zaposlenosti</w:t>
      </w:r>
      <w:r w:rsidR="00716385" w:rsidRPr="004E6412">
        <w:rPr>
          <w:rFonts w:ascii="Times New Roman" w:hAnsi="Times New Roman"/>
        </w:rPr>
        <w:t>,</w:t>
      </w:r>
      <w:r w:rsidRPr="004E6412">
        <w:rPr>
          <w:rFonts w:ascii="Times New Roman" w:hAnsi="Times New Roman"/>
        </w:rPr>
        <w:t xml:space="preserve"> odnosno 92% ukupne dodane vrijednosti analizirane djelatnosti).</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Unutar analizirane industrijske djelatnosti, proizvodnja koksa doprinosila je s 5,6% zaposlenosti, 2% dodanoj vrijednosti i s 0,6% ukupnim prihodima. Ostalo otpada na proizvodnju raf</w:t>
      </w:r>
      <w:r w:rsidR="00716385" w:rsidRPr="004E6412">
        <w:rPr>
          <w:rFonts w:ascii="Times New Roman" w:hAnsi="Times New Roman"/>
        </w:rPr>
        <w:t>iniranih naftnih proizvoda, koja je s druge strane dostigla</w:t>
      </w:r>
      <w:r w:rsidRPr="004E6412">
        <w:rPr>
          <w:rFonts w:ascii="Times New Roman" w:hAnsi="Times New Roman"/>
        </w:rPr>
        <w:t xml:space="preserve"> najviše razine produktivnosti radne snage i najviše razine prosječnih troškova radne snage unutar EU</w:t>
      </w:r>
      <w:r w:rsidR="0071638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2010. čak 12 zemalja članica EU</w:t>
      </w:r>
      <w:r w:rsidR="00716385" w:rsidRPr="004E6412">
        <w:rPr>
          <w:rFonts w:ascii="Times New Roman" w:hAnsi="Times New Roman"/>
        </w:rPr>
        <w:t>-a nije imalo ni</w:t>
      </w:r>
      <w:r w:rsidRPr="004E6412">
        <w:rPr>
          <w:rFonts w:ascii="Times New Roman" w:hAnsi="Times New Roman"/>
        </w:rPr>
        <w:t xml:space="preserve"> jedno poduzeće koje se aktivno bavilo proizvodnjom koksa. Glavnina proizvodnih aktivnosti koncentrirana je u Poljskoj, koja doprinosi s preko 2/3 dodane vrijednosti i u kojoj je zaposleno gotovo</w:t>
      </w:r>
      <w:r w:rsidR="004823E2" w:rsidRPr="004E6412">
        <w:rPr>
          <w:rFonts w:ascii="Times New Roman" w:hAnsi="Times New Roman"/>
        </w:rPr>
        <w:t xml:space="preserve"> 3/5 radne snage ove poddjelatnosti</w:t>
      </w:r>
      <w:r w:rsidRPr="004E6412">
        <w:rPr>
          <w:rFonts w:ascii="Times New Roman" w:hAnsi="Times New Roman"/>
        </w:rPr>
        <w:t xml:space="preserve"> u </w:t>
      </w:r>
      <w:r w:rsidR="00716385" w:rsidRPr="004E6412">
        <w:rPr>
          <w:rFonts w:ascii="Times New Roman" w:hAnsi="Times New Roman"/>
        </w:rPr>
        <w:t>EU. Produktivnost radne snage</w:t>
      </w:r>
      <w:r w:rsidRPr="004E6412">
        <w:rPr>
          <w:rFonts w:ascii="Times New Roman" w:hAnsi="Times New Roman"/>
        </w:rPr>
        <w:t xml:space="preserve"> iznosila </w:t>
      </w:r>
      <w:r w:rsidR="00716385" w:rsidRPr="004E6412">
        <w:rPr>
          <w:rFonts w:ascii="Times New Roman" w:hAnsi="Times New Roman"/>
        </w:rPr>
        <w:t xml:space="preserve">je </w:t>
      </w:r>
      <w:r w:rsidRPr="004E6412">
        <w:rPr>
          <w:rFonts w:ascii="Times New Roman" w:hAnsi="Times New Roman"/>
        </w:rPr>
        <w:t>64.900 eura po zaposlenom</w:t>
      </w:r>
      <w:r w:rsidR="00716385" w:rsidRPr="004E6412">
        <w:rPr>
          <w:rFonts w:ascii="Times New Roman" w:hAnsi="Times New Roman"/>
        </w:rPr>
        <w:t>e</w:t>
      </w:r>
      <w:r w:rsidRPr="004E6412">
        <w:rPr>
          <w:rFonts w:ascii="Times New Roman" w:hAnsi="Times New Roman"/>
        </w:rPr>
        <w:t xml:space="preserve"> u 2010., što je iznad industrijskog prosjeka (koji iznosi 52.800 eura po zaposlenom</w:t>
      </w:r>
      <w:r w:rsidR="00716385" w:rsidRPr="004E6412">
        <w:rPr>
          <w:rFonts w:ascii="Times New Roman" w:hAnsi="Times New Roman"/>
        </w:rPr>
        <w:t>e</w:t>
      </w:r>
      <w:r w:rsidRPr="004E6412">
        <w:rPr>
          <w:rFonts w:ascii="Times New Roman" w:hAnsi="Times New Roman"/>
        </w:rPr>
        <w:t>). Pr</w:t>
      </w:r>
      <w:r w:rsidR="00716385" w:rsidRPr="004E6412">
        <w:rPr>
          <w:rFonts w:ascii="Times New Roman" w:hAnsi="Times New Roman"/>
        </w:rPr>
        <w:t xml:space="preserve">osječni troškovi radne snage </w:t>
      </w:r>
      <w:r w:rsidRPr="004E6412">
        <w:rPr>
          <w:rFonts w:ascii="Times New Roman" w:hAnsi="Times New Roman"/>
        </w:rPr>
        <w:t xml:space="preserve">relativno </w:t>
      </w:r>
      <w:r w:rsidR="00716385" w:rsidRPr="004E6412">
        <w:rPr>
          <w:rFonts w:ascii="Times New Roman" w:hAnsi="Times New Roman"/>
        </w:rPr>
        <w:t xml:space="preserve">su </w:t>
      </w:r>
      <w:r w:rsidRPr="004E6412">
        <w:rPr>
          <w:rFonts w:ascii="Times New Roman" w:hAnsi="Times New Roman"/>
        </w:rPr>
        <w:t>niski (24.600 eura po zaposlenom</w:t>
      </w:r>
      <w:r w:rsidR="00716385" w:rsidRPr="004E6412">
        <w:rPr>
          <w:rFonts w:ascii="Times New Roman" w:hAnsi="Times New Roman"/>
        </w:rPr>
        <w:t>e</w:t>
      </w:r>
      <w:r w:rsidRPr="004E6412">
        <w:rPr>
          <w:rFonts w:ascii="Times New Roman" w:hAnsi="Times New Roman"/>
        </w:rPr>
        <w:t>) u odnosu na industrijski prosjek EU-a (35.800 eura po zaposlenom</w:t>
      </w:r>
      <w:r w:rsidR="00716385" w:rsidRPr="004E6412">
        <w:rPr>
          <w:rFonts w:ascii="Times New Roman" w:hAnsi="Times New Roman"/>
        </w:rPr>
        <w:t>e</w:t>
      </w:r>
      <w:r w:rsidRPr="004E6412">
        <w:rPr>
          <w:rFonts w:ascii="Times New Roman" w:hAnsi="Times New Roman"/>
        </w:rPr>
        <w:t>).</w:t>
      </w:r>
    </w:p>
    <w:p w:rsidR="001B41B0" w:rsidRPr="004E6412" w:rsidRDefault="001B41B0" w:rsidP="001B41B0">
      <w:pPr>
        <w:rPr>
          <w:sz w:val="22"/>
        </w:rPr>
      </w:pPr>
    </w:p>
    <w:p w:rsidR="003132CD" w:rsidRPr="004E6412" w:rsidRDefault="003132CD" w:rsidP="003132CD">
      <w:pPr>
        <w:pStyle w:val="ListParagraph"/>
        <w:numPr>
          <w:ilvl w:val="0"/>
          <w:numId w:val="29"/>
        </w:numPr>
        <w:spacing w:after="0"/>
        <w:jc w:val="both"/>
        <w:rPr>
          <w:rFonts w:ascii="Times New Roman" w:hAnsi="Times New Roman"/>
        </w:rPr>
      </w:pPr>
      <w:r w:rsidRPr="004E6412">
        <w:rPr>
          <w:rFonts w:ascii="Times New Roman" w:hAnsi="Times New Roman"/>
        </w:rPr>
        <w:t>Ob</w:t>
      </w:r>
      <w:r w:rsidR="00716385" w:rsidRPr="004E6412">
        <w:rPr>
          <w:rFonts w:ascii="Times New Roman" w:hAnsi="Times New Roman"/>
        </w:rPr>
        <w:t>j</w:t>
      </w:r>
      <w:r w:rsidRPr="004E6412">
        <w:rPr>
          <w:rFonts w:ascii="Times New Roman" w:hAnsi="Times New Roman"/>
        </w:rPr>
        <w:t>e promatrane poddjelatnosti imaju relativno visoke razine proizvodnosti radne snage prilagođene za troškove rada. Tako je promatrana proizvodnost za</w:t>
      </w:r>
      <w:r w:rsidR="00716385" w:rsidRPr="004E6412">
        <w:rPr>
          <w:rFonts w:ascii="Times New Roman" w:hAnsi="Times New Roman"/>
        </w:rPr>
        <w:t xml:space="preserve"> ovu djelatnost iznosila 261,6%</w:t>
      </w:r>
      <w:r w:rsidRPr="004E6412">
        <w:rPr>
          <w:rFonts w:ascii="Times New Roman" w:hAnsi="Times New Roman"/>
        </w:rPr>
        <w:t xml:space="preserve"> (industrijski prosjek EU</w:t>
      </w:r>
      <w:r w:rsidR="00716385" w:rsidRPr="004E6412">
        <w:rPr>
          <w:rFonts w:ascii="Times New Roman" w:hAnsi="Times New Roman"/>
        </w:rPr>
        <w:t>-a</w:t>
      </w:r>
      <w:r w:rsidRPr="004E6412">
        <w:rPr>
          <w:rFonts w:ascii="Times New Roman" w:hAnsi="Times New Roman"/>
        </w:rPr>
        <w:t xml:space="preserve"> iznosio je 148%)</w:t>
      </w:r>
      <w:r w:rsidR="00716385" w:rsidRPr="004E6412">
        <w:rPr>
          <w:rFonts w:ascii="Times New Roman" w:hAnsi="Times New Roman"/>
        </w:rPr>
        <w:t>, čime je zauzela treće mjesto</w:t>
      </w:r>
      <w:r w:rsidRPr="004E6412">
        <w:rPr>
          <w:rFonts w:ascii="Times New Roman" w:hAnsi="Times New Roman"/>
        </w:rPr>
        <w:t xml:space="preserve"> među svim industrijskim sektorima u EU.</w:t>
      </w:r>
    </w:p>
    <w:p w:rsidR="001B41B0" w:rsidRPr="004E6412" w:rsidRDefault="001B41B0" w:rsidP="001B41B0">
      <w:pPr>
        <w:rPr>
          <w:sz w:val="22"/>
        </w:rPr>
      </w:pPr>
    </w:p>
    <w:p w:rsidR="001B41B0" w:rsidRPr="004E6412" w:rsidRDefault="001B41B0" w:rsidP="00D001B9">
      <w:pPr>
        <w:pStyle w:val="Heading3"/>
      </w:pPr>
      <w:bookmarkStart w:id="606" w:name="_Toc366154291"/>
      <w:bookmarkStart w:id="607" w:name="_Toc366154411"/>
      <w:bookmarkStart w:id="608" w:name="_Toc366409954"/>
      <w:bookmarkStart w:id="609" w:name="_Toc372088015"/>
      <w:bookmarkStart w:id="610" w:name="_Toc378069076"/>
      <w:r w:rsidRPr="004E6412">
        <w:t>Stanje i perspektive razvoja u Republici Hrvatskoj</w:t>
      </w:r>
      <w:bookmarkEnd w:id="606"/>
      <w:bookmarkEnd w:id="607"/>
      <w:bookmarkEnd w:id="608"/>
      <w:bookmarkEnd w:id="609"/>
      <w:bookmarkEnd w:id="610"/>
    </w:p>
    <w:p w:rsidR="001B41B0" w:rsidRPr="004E6412" w:rsidRDefault="00716385" w:rsidP="001B41B0">
      <w:pPr>
        <w:pStyle w:val="ListParagraph"/>
        <w:numPr>
          <w:ilvl w:val="0"/>
          <w:numId w:val="30"/>
        </w:numPr>
        <w:spacing w:after="0"/>
        <w:jc w:val="both"/>
        <w:rPr>
          <w:rFonts w:ascii="Times New Roman" w:hAnsi="Times New Roman"/>
        </w:rPr>
      </w:pPr>
      <w:r w:rsidRPr="004E6412">
        <w:rPr>
          <w:rFonts w:ascii="Times New Roman" w:hAnsi="Times New Roman"/>
        </w:rPr>
        <w:t>U Hrvatskoj ni</w:t>
      </w:r>
      <w:r w:rsidR="001B41B0" w:rsidRPr="004E6412">
        <w:rPr>
          <w:rFonts w:ascii="Times New Roman" w:hAnsi="Times New Roman"/>
        </w:rPr>
        <w:t xml:space="preserve"> jedno poduzeće u 2012. nije bilo registrirano za djelatnost proizvodnje koksa, tako da ova industrijska poddjelatnost u Hrvatskoj ne postoji.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w:t>
      </w:r>
      <w:r w:rsidR="00716385" w:rsidRPr="004E6412">
        <w:rPr>
          <w:rFonts w:ascii="Times New Roman" w:hAnsi="Times New Roman"/>
        </w:rPr>
        <w:t xml:space="preserve">aftnih proizvoda u Hrvatskoj </w:t>
      </w:r>
      <w:r w:rsidRPr="004E6412">
        <w:rPr>
          <w:rFonts w:ascii="Times New Roman" w:hAnsi="Times New Roman"/>
        </w:rPr>
        <w:t>visoko</w:t>
      </w:r>
      <w:r w:rsidR="00716385" w:rsidRPr="004E6412">
        <w:rPr>
          <w:rFonts w:ascii="Times New Roman" w:hAnsi="Times New Roman"/>
        </w:rPr>
        <w:t xml:space="preserve"> je</w:t>
      </w:r>
      <w:r w:rsidRPr="004E6412">
        <w:rPr>
          <w:rFonts w:ascii="Times New Roman" w:hAnsi="Times New Roman"/>
        </w:rPr>
        <w:t xml:space="preserve"> koncentrirana. Prema podacima F</w:t>
      </w:r>
      <w:r w:rsidR="00716385" w:rsidRPr="004E6412">
        <w:rPr>
          <w:rFonts w:ascii="Times New Roman" w:hAnsi="Times New Roman"/>
        </w:rPr>
        <w:t>INA-e</w:t>
      </w:r>
      <w:r w:rsidRPr="004E6412">
        <w:rPr>
          <w:rFonts w:ascii="Times New Roman" w:hAnsi="Times New Roman"/>
        </w:rPr>
        <w:t xml:space="preserve">, u Hrvatskoj je u 2012. ukupno 18 poduzeća bilo registrirano za poslove proizvodnje rafiniranih naftnih proizvoda, od čega su 3 u postupku stečaja ili likvidacije. Od navedenih 18 poduzeća, većina se bavi trgovinom i distribucijom rafiniranih naftnih proizvoda, </w:t>
      </w:r>
      <w:r w:rsidR="00716385" w:rsidRPr="004E6412">
        <w:rPr>
          <w:rFonts w:ascii="Times New Roman" w:hAnsi="Times New Roman"/>
        </w:rPr>
        <w:t>dok se proizvodnjom aktivno bavi</w:t>
      </w:r>
      <w:r w:rsidRPr="004E6412">
        <w:rPr>
          <w:rFonts w:ascii="Times New Roman" w:hAnsi="Times New Roman"/>
        </w:rPr>
        <w:t xml:space="preserve"> svega nekoliko poduzeća iz čega proizlazi da je domaća konkurencija relativno ograničena. Prema ukupno ostvarenim prih</w:t>
      </w:r>
      <w:r w:rsidR="00716385" w:rsidRPr="004E6412">
        <w:rPr>
          <w:rFonts w:ascii="Times New Roman" w:hAnsi="Times New Roman"/>
        </w:rPr>
        <w:t>odima u ovoj djelatnosti, na INA-u</w:t>
      </w:r>
      <w:r w:rsidRPr="004E6412">
        <w:rPr>
          <w:rFonts w:ascii="Times New Roman" w:hAnsi="Times New Roman"/>
        </w:rPr>
        <w:t xml:space="preserve"> d.d. otpada 99% tržišta, dok su sva preostala poduzeća zajedno zaslužna za preostalih 1% ostvarenih prihoda.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lastRenderedPageBreak/>
        <w:t>U razdoblju 2010.</w:t>
      </w:r>
      <w:r w:rsidR="00716385" w:rsidRPr="004E6412">
        <w:rPr>
          <w:rFonts w:ascii="Times New Roman" w:hAnsi="Times New Roman"/>
        </w:rPr>
        <w:t xml:space="preserve"> – </w:t>
      </w:r>
      <w:r w:rsidRPr="004E6412">
        <w:rPr>
          <w:rFonts w:ascii="Times New Roman" w:hAnsi="Times New Roman"/>
        </w:rPr>
        <w:t>2012., u djelatnosti proizvodnje koksa i rafiniranih naftnih pro</w:t>
      </w:r>
      <w:r w:rsidR="00716385" w:rsidRPr="004E6412">
        <w:rPr>
          <w:rFonts w:ascii="Times New Roman" w:hAnsi="Times New Roman"/>
        </w:rPr>
        <w:t>izvoda, vidljivo je stalno</w:t>
      </w:r>
      <w:r w:rsidRPr="004E6412">
        <w:rPr>
          <w:rFonts w:ascii="Times New Roman" w:hAnsi="Times New Roman"/>
        </w:rPr>
        <w:t xml:space="preserve"> opadanje broja zaposlenih</w:t>
      </w:r>
      <w:r w:rsidR="00716385" w:rsidRPr="004E6412">
        <w:rPr>
          <w:rFonts w:ascii="Times New Roman" w:hAnsi="Times New Roman"/>
        </w:rPr>
        <w:t xml:space="preserve"> (10,34%). Cijela djelatnost </w:t>
      </w:r>
      <w:r w:rsidRPr="004E6412">
        <w:rPr>
          <w:rFonts w:ascii="Times New Roman" w:hAnsi="Times New Roman"/>
        </w:rPr>
        <w:t xml:space="preserve">zapravo </w:t>
      </w:r>
      <w:r w:rsidR="00716385" w:rsidRPr="004E6412">
        <w:rPr>
          <w:rFonts w:ascii="Times New Roman" w:hAnsi="Times New Roman"/>
        </w:rPr>
        <w:t xml:space="preserve">se </w:t>
      </w:r>
      <w:r w:rsidR="00555182" w:rsidRPr="004E6412">
        <w:rPr>
          <w:rFonts w:ascii="Times New Roman" w:hAnsi="Times New Roman"/>
        </w:rPr>
        <w:t>temelji na jedinoj preživjeloj</w:t>
      </w:r>
      <w:r w:rsidRPr="004E6412">
        <w:rPr>
          <w:rFonts w:ascii="Times New Roman" w:hAnsi="Times New Roman"/>
        </w:rPr>
        <w:t xml:space="preserve"> poddjelatnosti, C19.2. Proizvodnja rafiniranih naftnih proizvoda.</w:t>
      </w:r>
      <w:r w:rsidR="00555182" w:rsidRPr="004E6412">
        <w:rPr>
          <w:rFonts w:ascii="Times New Roman" w:hAnsi="Times New Roman"/>
        </w:rPr>
        <w:t xml:space="preserve"> Gotovo 54% ukupnog kapitala potječe </w:t>
      </w:r>
      <w:r w:rsidRPr="004E6412">
        <w:rPr>
          <w:rFonts w:ascii="Times New Roman" w:hAnsi="Times New Roman"/>
        </w:rPr>
        <w:t>od djelatnosti domaćeg podrijetla, dok se preostalih 46% udjela inozemnog kapitala odnosi na poduzeće INA d.d. koje je u 47%-tnom stranom vlasništvu. INA d.d. stvara preko 98% ukupnih prihoda, posjeduje preko 97% ukupne aktive, zapošlj</w:t>
      </w:r>
      <w:r w:rsidR="00555182" w:rsidRPr="004E6412">
        <w:rPr>
          <w:rFonts w:ascii="Times New Roman" w:hAnsi="Times New Roman"/>
        </w:rPr>
        <w:t>ava preko 96% ukupno zaposlenih te</w:t>
      </w:r>
      <w:r w:rsidRPr="004E6412">
        <w:rPr>
          <w:rFonts w:ascii="Times New Roman" w:hAnsi="Times New Roman"/>
        </w:rPr>
        <w:t xml:space="preserve"> sudjeluje u 99%-tnom izvozu i 84%-tnom uvozu cjelokupne promatrane djelatnosti.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 razdoblju 2010.</w:t>
      </w:r>
      <w:r w:rsidR="00555182" w:rsidRPr="004E6412">
        <w:rPr>
          <w:rFonts w:ascii="Times New Roman" w:hAnsi="Times New Roman"/>
        </w:rPr>
        <w:t xml:space="preserve"> </w:t>
      </w:r>
      <w:r w:rsidRPr="004E6412">
        <w:rPr>
          <w:rFonts w:ascii="Times New Roman" w:hAnsi="Times New Roman"/>
        </w:rPr>
        <w:t>–</w:t>
      </w:r>
      <w:r w:rsidR="00555182" w:rsidRPr="004E6412">
        <w:rPr>
          <w:rFonts w:ascii="Times New Roman" w:hAnsi="Times New Roman"/>
        </w:rPr>
        <w:t xml:space="preserve"> </w:t>
      </w:r>
      <w:r w:rsidRPr="004E6412">
        <w:rPr>
          <w:rFonts w:ascii="Times New Roman" w:hAnsi="Times New Roman"/>
        </w:rPr>
        <w:t>2012. zamjetno je smanjenje ukupne aktive za 9,13%.</w:t>
      </w:r>
      <w:r w:rsidR="004823E2" w:rsidRPr="004E6412">
        <w:rPr>
          <w:rFonts w:ascii="Times New Roman" w:hAnsi="Times New Roman"/>
        </w:rPr>
        <w:t xml:space="preserve"> </w:t>
      </w:r>
      <w:r w:rsidRPr="004E6412">
        <w:rPr>
          <w:rFonts w:ascii="Times New Roman" w:hAnsi="Times New Roman"/>
        </w:rPr>
        <w:t>To je posljedica smanjenja ost</w:t>
      </w:r>
      <w:r w:rsidR="00555182" w:rsidRPr="004E6412">
        <w:rPr>
          <w:rFonts w:ascii="Times New Roman" w:hAnsi="Times New Roman"/>
        </w:rPr>
        <w:t>alih zbrojnih kategorija aktive te</w:t>
      </w:r>
      <w:r w:rsidRPr="004E6412">
        <w:rPr>
          <w:rFonts w:ascii="Times New Roman" w:hAnsi="Times New Roman"/>
        </w:rPr>
        <w:t xml:space="preserve"> dugotrajne i kratkotrajne imovine. Dugotrajna imovina činila je oko 75% ukupne aktive djelatnosti, dok je kratkotrajna imovina činila između 24% i 25% ukupne aktive u sve tri promatrane godine. U strukturi pasive dominirali su kapital i rezerve (55,88%) u 2012. te je zamjetna izuzetno visoka stopa smanjenja dugoročnih obveza (83,99%).</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Ukupni prihodi djelatnosti varirali su u razdoblju 2010.</w:t>
      </w:r>
      <w:r w:rsidR="00555182" w:rsidRPr="004E6412">
        <w:rPr>
          <w:rFonts w:ascii="Times New Roman" w:hAnsi="Times New Roman"/>
        </w:rPr>
        <w:t xml:space="preserve"> – </w:t>
      </w:r>
      <w:r w:rsidRPr="004E6412">
        <w:rPr>
          <w:rFonts w:ascii="Times New Roman" w:hAnsi="Times New Roman"/>
        </w:rPr>
        <w:t xml:space="preserve">2012., ali </w:t>
      </w:r>
      <w:r w:rsidR="00555182" w:rsidRPr="004E6412">
        <w:rPr>
          <w:rFonts w:ascii="Times New Roman" w:hAnsi="Times New Roman"/>
        </w:rPr>
        <w:t xml:space="preserve">je ukupna trogodišnja promjena </w:t>
      </w:r>
      <w:r w:rsidRPr="004E6412">
        <w:rPr>
          <w:rFonts w:ascii="Times New Roman" w:hAnsi="Times New Roman"/>
        </w:rPr>
        <w:t>pozitivna i i</w:t>
      </w:r>
      <w:r w:rsidR="00555182" w:rsidRPr="004E6412">
        <w:rPr>
          <w:rFonts w:ascii="Times New Roman" w:hAnsi="Times New Roman"/>
        </w:rPr>
        <w:t>znosi 12,91%. Ukupni rashodi povećavali su se</w:t>
      </w:r>
      <w:r w:rsidRPr="004E6412">
        <w:rPr>
          <w:rFonts w:ascii="Times New Roman" w:hAnsi="Times New Roman"/>
        </w:rPr>
        <w:t xml:space="preserve"> nešto većom stopom promjene od 16,54%, te su </w:t>
      </w:r>
      <w:r w:rsidR="00555182" w:rsidRPr="004E6412">
        <w:rPr>
          <w:rFonts w:ascii="Times New Roman" w:hAnsi="Times New Roman"/>
        </w:rPr>
        <w:t xml:space="preserve">se </w:t>
      </w:r>
      <w:r w:rsidRPr="004E6412">
        <w:rPr>
          <w:rFonts w:ascii="Times New Roman" w:hAnsi="Times New Roman"/>
        </w:rPr>
        <w:t>značajno približili razini poslovnih prihoda. Kumulativna dobit podu</w:t>
      </w:r>
      <w:r w:rsidR="00555182" w:rsidRPr="004E6412">
        <w:rPr>
          <w:rFonts w:ascii="Times New Roman" w:hAnsi="Times New Roman"/>
        </w:rPr>
        <w:t>zeća iz ove djelatnosti je tijekom</w:t>
      </w:r>
      <w:r w:rsidRPr="004E6412">
        <w:rPr>
          <w:rFonts w:ascii="Times New Roman" w:hAnsi="Times New Roman"/>
        </w:rPr>
        <w:t xml:space="preserve"> sve tri godine bila više desetaka puta veća od ostvarenog gubitka, što je pokazatelj visoke profitabilnosti.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U razdoblju 2010. </w:t>
      </w:r>
      <w:r w:rsidR="00555182" w:rsidRPr="004E6412">
        <w:rPr>
          <w:rFonts w:ascii="Times New Roman" w:hAnsi="Times New Roman"/>
        </w:rPr>
        <w:t xml:space="preserve">– </w:t>
      </w:r>
      <w:r w:rsidRPr="004E6412">
        <w:rPr>
          <w:rFonts w:ascii="Times New Roman" w:hAnsi="Times New Roman"/>
        </w:rPr>
        <w:t xml:space="preserve">2012., EBITDA je pala za ukupno 13,8%, </w:t>
      </w:r>
      <w:r w:rsidR="00555182" w:rsidRPr="004E6412">
        <w:rPr>
          <w:rFonts w:ascii="Times New Roman" w:hAnsi="Times New Roman"/>
        </w:rPr>
        <w:t>stopa bruto operativnog viška s</w:t>
      </w:r>
      <w:r w:rsidRPr="004E6412">
        <w:rPr>
          <w:rFonts w:ascii="Times New Roman" w:hAnsi="Times New Roman"/>
        </w:rPr>
        <w:t xml:space="preserve"> 15% na 13%, dobit po zaposlenom</w:t>
      </w:r>
      <w:r w:rsidR="00555182" w:rsidRPr="004E6412">
        <w:rPr>
          <w:rFonts w:ascii="Times New Roman" w:hAnsi="Times New Roman"/>
        </w:rPr>
        <w:t>e</w:t>
      </w:r>
      <w:r w:rsidRPr="004E6412">
        <w:rPr>
          <w:rFonts w:ascii="Times New Roman" w:hAnsi="Times New Roman"/>
        </w:rPr>
        <w:t xml:space="preserve"> za ukupno 18%, stvorena dodana vrijednost za 3,63%. ROA, ROE i ROI bilježe pad u promatranom</w:t>
      </w:r>
      <w:r w:rsidR="00555182" w:rsidRPr="004E6412">
        <w:rPr>
          <w:rFonts w:ascii="Times New Roman" w:hAnsi="Times New Roman"/>
        </w:rPr>
        <w:t>e</w:t>
      </w:r>
      <w:r w:rsidRPr="004E6412">
        <w:rPr>
          <w:rFonts w:ascii="Times New Roman" w:hAnsi="Times New Roman"/>
        </w:rPr>
        <w:t xml:space="preserve"> razdoblju, što ukazuje na smanjenje profitabilnosti djelatnosti. Pokazatelj zaduženosti neto dug</w:t>
      </w:r>
      <w:r w:rsidR="00555182" w:rsidRPr="004E6412">
        <w:rPr>
          <w:rFonts w:ascii="Times New Roman" w:hAnsi="Times New Roman"/>
        </w:rPr>
        <w:t>a</w:t>
      </w:r>
      <w:r w:rsidRPr="004E6412">
        <w:rPr>
          <w:rFonts w:ascii="Times New Roman" w:hAnsi="Times New Roman"/>
        </w:rPr>
        <w:t>/EBITDA kroz promatrano razdoblje pada, što ukazuje na povećanje neto financijske imovine djelatnosti i smanjenje zaduženosti prema ovom pokazatelju.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Doprinos djelatnosti trgovinskoj bilanci ukupne prerađivačke industrije u 2010. iznosi 32,43% te se u razdoblju 2010.</w:t>
      </w:r>
      <w:r w:rsidR="00555182" w:rsidRPr="004E6412">
        <w:rPr>
          <w:rFonts w:ascii="Times New Roman" w:hAnsi="Times New Roman"/>
        </w:rPr>
        <w:t xml:space="preserve"> – </w:t>
      </w:r>
      <w:r w:rsidRPr="004E6412">
        <w:rPr>
          <w:rFonts w:ascii="Times New Roman" w:hAnsi="Times New Roman"/>
        </w:rPr>
        <w:t>2012. povećava. Primjetno se smanjuje i uvozna za</w:t>
      </w:r>
      <w:r w:rsidR="00555182" w:rsidRPr="004E6412">
        <w:rPr>
          <w:rFonts w:ascii="Times New Roman" w:hAnsi="Times New Roman"/>
        </w:rPr>
        <w:t>visnost kao i uvozni prodor</w:t>
      </w:r>
      <w:r w:rsidRPr="004E6412">
        <w:rPr>
          <w:rFonts w:ascii="Times New Roman" w:hAnsi="Times New Roman"/>
        </w:rPr>
        <w:t xml:space="preserve"> djelatnosti proizvodnje rafiniranih naftnih proizvoda.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Ostvarena bruto dodana vrijednost je, uz privremeno povećanje u 201</w:t>
      </w:r>
      <w:r w:rsidR="00D21E8B" w:rsidRPr="004E6412">
        <w:rPr>
          <w:rFonts w:ascii="Times New Roman" w:hAnsi="Times New Roman"/>
        </w:rPr>
        <w:t>1</w:t>
      </w:r>
      <w:r w:rsidRPr="004E6412">
        <w:rPr>
          <w:rFonts w:ascii="Times New Roman" w:hAnsi="Times New Roman"/>
        </w:rPr>
        <w:t>.</w:t>
      </w:r>
      <w:r w:rsidR="00D21E8B" w:rsidRPr="004E6412">
        <w:rPr>
          <w:rFonts w:ascii="Times New Roman" w:hAnsi="Times New Roman"/>
        </w:rPr>
        <w:t xml:space="preserve"> na 7,66 milijardi kuna</w:t>
      </w:r>
      <w:r w:rsidRPr="004E6412">
        <w:rPr>
          <w:rFonts w:ascii="Times New Roman" w:hAnsi="Times New Roman"/>
        </w:rPr>
        <w:t>, znatno smanjena u 2012. i to na 5,74</w:t>
      </w:r>
      <w:r w:rsidR="00555182" w:rsidRPr="004E6412">
        <w:rPr>
          <w:rFonts w:ascii="Times New Roman" w:hAnsi="Times New Roman"/>
        </w:rPr>
        <w:t xml:space="preserve"> milijardi kuna. Radi usporedbe</w:t>
      </w:r>
      <w:r w:rsidRPr="004E6412">
        <w:rPr>
          <w:rFonts w:ascii="Times New Roman" w:hAnsi="Times New Roman"/>
        </w:rPr>
        <w:t xml:space="preserve"> valja napomenuti da je u 2010. bruto dodana vrijednost iznosila 6,78 milijardi kuna.</w:t>
      </w:r>
    </w:p>
    <w:p w:rsidR="001B41B0" w:rsidRPr="004E6412" w:rsidRDefault="001B41B0" w:rsidP="001B41B0">
      <w:pPr>
        <w:pStyle w:val="ListParagraph"/>
        <w:spacing w:after="0"/>
        <w:jc w:val="both"/>
        <w:rPr>
          <w:rFonts w:ascii="Times New Roman" w:hAnsi="Times New Roman"/>
        </w:rPr>
      </w:pPr>
    </w:p>
    <w:p w:rsidR="001B41B0" w:rsidRPr="004E6412" w:rsidRDefault="001B41B0" w:rsidP="00555182">
      <w:pPr>
        <w:pStyle w:val="ListParagraph"/>
        <w:numPr>
          <w:ilvl w:val="0"/>
          <w:numId w:val="30"/>
        </w:numPr>
        <w:spacing w:after="0"/>
        <w:jc w:val="both"/>
        <w:rPr>
          <w:rFonts w:ascii="Times New Roman" w:hAnsi="Times New Roman"/>
        </w:rPr>
      </w:pPr>
      <w:r w:rsidRPr="004E6412">
        <w:rPr>
          <w:rFonts w:ascii="Times New Roman" w:hAnsi="Times New Roman"/>
        </w:rPr>
        <w:t>Proizvodnost rada u promatranom</w:t>
      </w:r>
      <w:r w:rsidR="00555182" w:rsidRPr="004E6412">
        <w:rPr>
          <w:rFonts w:ascii="Times New Roman" w:hAnsi="Times New Roman"/>
        </w:rPr>
        <w:t>e razdoblju neprestano raste</w:t>
      </w:r>
      <w:r w:rsidR="002138FA" w:rsidRPr="004E6412">
        <w:rPr>
          <w:rFonts w:ascii="Times New Roman" w:hAnsi="Times New Roman"/>
        </w:rPr>
        <w:t xml:space="preserve"> od 2010. do 2011., no pad u 2012. je u konačnici ipak doveo do negativne trogodišnje promjene rasta proizvodnosti rada od</w:t>
      </w:r>
      <w:r w:rsidR="00555182" w:rsidRPr="004E6412">
        <w:rPr>
          <w:rFonts w:ascii="Times New Roman" w:hAnsi="Times New Roman"/>
        </w:rPr>
        <w:t xml:space="preserve"> 5,68%. Proizvodnost kapitala</w:t>
      </w:r>
      <w:r w:rsidR="002138FA" w:rsidRPr="004E6412">
        <w:rPr>
          <w:rFonts w:ascii="Times New Roman" w:hAnsi="Times New Roman"/>
        </w:rPr>
        <w:t xml:space="preserve"> također </w:t>
      </w:r>
      <w:r w:rsidR="00555182" w:rsidRPr="004E6412">
        <w:rPr>
          <w:rFonts w:ascii="Times New Roman" w:hAnsi="Times New Roman"/>
        </w:rPr>
        <w:t>je povećana u 2011., ali je</w:t>
      </w:r>
      <w:r w:rsidR="002138FA" w:rsidRPr="004E6412">
        <w:rPr>
          <w:rFonts w:ascii="Times New Roman" w:hAnsi="Times New Roman"/>
        </w:rPr>
        <w:t xml:space="preserve"> trogodišn</w:t>
      </w:r>
      <w:r w:rsidR="00555182" w:rsidRPr="004E6412">
        <w:rPr>
          <w:rFonts w:ascii="Times New Roman" w:hAnsi="Times New Roman"/>
        </w:rPr>
        <w:t>ja promjena</w:t>
      </w:r>
      <w:r w:rsidR="002138FA" w:rsidRPr="004E6412">
        <w:rPr>
          <w:rFonts w:ascii="Times New Roman" w:hAnsi="Times New Roman"/>
        </w:rPr>
        <w:t xml:space="preserve"> ipak bila nega</w:t>
      </w:r>
      <w:r w:rsidR="004823E2" w:rsidRPr="004E6412">
        <w:rPr>
          <w:rFonts w:ascii="Times New Roman" w:hAnsi="Times New Roman"/>
        </w:rPr>
        <w:t>tivna</w:t>
      </w:r>
      <w:r w:rsidR="00555182" w:rsidRPr="004E6412">
        <w:rPr>
          <w:rFonts w:ascii="Times New Roman" w:hAnsi="Times New Roman"/>
        </w:rPr>
        <w:t>,</w:t>
      </w:r>
      <w:r w:rsidR="004823E2" w:rsidRPr="004E6412">
        <w:rPr>
          <w:rFonts w:ascii="Times New Roman" w:hAnsi="Times New Roman"/>
        </w:rPr>
        <w:t xml:space="preserve"> i to za 3,45%. Razlog se n</w:t>
      </w:r>
      <w:r w:rsidR="002138FA" w:rsidRPr="004E6412">
        <w:rPr>
          <w:rFonts w:ascii="Times New Roman" w:hAnsi="Times New Roman"/>
        </w:rPr>
        <w:t xml:space="preserve">alazi u padu bruto dodane vrijednosti u 2012. </w:t>
      </w:r>
      <w:r w:rsidRPr="004E6412">
        <w:rPr>
          <w:rFonts w:ascii="Times New Roman" w:hAnsi="Times New Roman"/>
        </w:rPr>
        <w:t>Jedinični troša</w:t>
      </w:r>
      <w:r w:rsidR="00555182" w:rsidRPr="004E6412">
        <w:rPr>
          <w:rFonts w:ascii="Times New Roman" w:hAnsi="Times New Roman"/>
        </w:rPr>
        <w:t>k rada je u trogodišnjem razdoblju</w:t>
      </w:r>
      <w:r w:rsidRPr="004E6412">
        <w:rPr>
          <w:rFonts w:ascii="Times New Roman" w:hAnsi="Times New Roman"/>
        </w:rPr>
        <w:t xml:space="preserve"> ostao isti </w:t>
      </w:r>
      <w:r w:rsidR="00555182" w:rsidRPr="004E6412">
        <w:rPr>
          <w:rFonts w:ascii="Times New Roman" w:hAnsi="Times New Roman"/>
        </w:rPr>
        <w:t xml:space="preserve">– </w:t>
      </w:r>
      <w:r w:rsidRPr="004E6412">
        <w:rPr>
          <w:rFonts w:ascii="Times New Roman" w:hAnsi="Times New Roman"/>
        </w:rPr>
        <w:t>na 0</w:t>
      </w:r>
      <w:r w:rsidR="00555182" w:rsidRPr="004E6412">
        <w:rPr>
          <w:rFonts w:ascii="Times New Roman" w:hAnsi="Times New Roman"/>
        </w:rPr>
        <w:t>,25 kuna,</w:t>
      </w:r>
      <w:r w:rsidR="00887C92" w:rsidRPr="004E6412">
        <w:rPr>
          <w:rFonts w:ascii="Times New Roman" w:hAnsi="Times New Roman"/>
        </w:rPr>
        <w:t xml:space="preserve"> uz privremeni pad u 2011. </w:t>
      </w:r>
      <w:r w:rsidRPr="004E6412">
        <w:rPr>
          <w:rFonts w:ascii="Times New Roman" w:hAnsi="Times New Roman"/>
        </w:rPr>
        <w:t>Vrijednost jediničnog troška rada govori o niskom udjelu</w:t>
      </w:r>
      <w:r w:rsidR="00555182" w:rsidRPr="004E6412">
        <w:rPr>
          <w:rFonts w:ascii="Times New Roman" w:hAnsi="Times New Roman"/>
        </w:rPr>
        <w:t xml:space="preserve"> troškova rada. Povećani prihodi</w:t>
      </w:r>
      <w:r w:rsidRPr="004E6412">
        <w:rPr>
          <w:rFonts w:ascii="Times New Roman" w:hAnsi="Times New Roman"/>
        </w:rPr>
        <w:t xml:space="preserve"> od prodaje</w:t>
      </w:r>
      <w:r w:rsidR="00555182" w:rsidRPr="004E6412">
        <w:rPr>
          <w:rFonts w:ascii="Times New Roman" w:hAnsi="Times New Roman"/>
        </w:rPr>
        <w:t>,</w:t>
      </w:r>
      <w:r w:rsidRPr="004E6412">
        <w:rPr>
          <w:rFonts w:ascii="Times New Roman" w:hAnsi="Times New Roman"/>
        </w:rPr>
        <w:t xml:space="preserve"> uz smanjenje broja radnika</w:t>
      </w:r>
      <w:r w:rsidR="00555182" w:rsidRPr="004E6412">
        <w:rPr>
          <w:rFonts w:ascii="Times New Roman" w:hAnsi="Times New Roman"/>
        </w:rPr>
        <w:t>, prividno ukazuju na povećanje učinkovitost</w:t>
      </w:r>
      <w:r w:rsidRPr="004E6412">
        <w:rPr>
          <w:rFonts w:ascii="Times New Roman" w:hAnsi="Times New Roman"/>
        </w:rPr>
        <w:t xml:space="preserve">i korištenja radne snage, iako proporcionalno smanjenje bruto dodane </w:t>
      </w:r>
      <w:r w:rsidR="00555182" w:rsidRPr="004E6412">
        <w:rPr>
          <w:rFonts w:ascii="Times New Roman" w:hAnsi="Times New Roman"/>
        </w:rPr>
        <w:t>vrijednosti i troška rada ukazuje na to</w:t>
      </w:r>
      <w:r w:rsidRPr="004E6412">
        <w:rPr>
          <w:rFonts w:ascii="Times New Roman" w:hAnsi="Times New Roman"/>
        </w:rPr>
        <w:t xml:space="preserve"> da željena iskoristivost radne snage još nije postignuta. Naime, rast cijena deri</w:t>
      </w:r>
      <w:r w:rsidR="00555182" w:rsidRPr="004E6412">
        <w:rPr>
          <w:rFonts w:ascii="Times New Roman" w:hAnsi="Times New Roman"/>
        </w:rPr>
        <w:t xml:space="preserve">vata, a ne proizvodnje, </w:t>
      </w:r>
      <w:r w:rsidRPr="004E6412">
        <w:rPr>
          <w:rFonts w:ascii="Times New Roman" w:hAnsi="Times New Roman"/>
        </w:rPr>
        <w:t xml:space="preserve">većim </w:t>
      </w:r>
      <w:r w:rsidR="00555182" w:rsidRPr="004E6412">
        <w:rPr>
          <w:rFonts w:ascii="Times New Roman" w:hAnsi="Times New Roman"/>
        </w:rPr>
        <w:t xml:space="preserve">je </w:t>
      </w:r>
      <w:r w:rsidRPr="004E6412">
        <w:rPr>
          <w:rFonts w:ascii="Times New Roman" w:hAnsi="Times New Roman"/>
        </w:rPr>
        <w:t xml:space="preserve">dijelom zaslužna za rast prihoda.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lastRenderedPageBreak/>
        <w:t>Iz</w:t>
      </w:r>
      <w:r w:rsidR="00555182" w:rsidRPr="004E6412">
        <w:rPr>
          <w:rFonts w:ascii="Times New Roman" w:hAnsi="Times New Roman"/>
        </w:rPr>
        <w:t>voz po zaposlenome u stalnom</w:t>
      </w:r>
      <w:r w:rsidRPr="004E6412">
        <w:rPr>
          <w:rFonts w:ascii="Times New Roman" w:hAnsi="Times New Roman"/>
        </w:rPr>
        <w:t xml:space="preserve"> je </w:t>
      </w:r>
      <w:r w:rsidR="00555182" w:rsidRPr="004E6412">
        <w:rPr>
          <w:rFonts w:ascii="Times New Roman" w:hAnsi="Times New Roman"/>
        </w:rPr>
        <w:t>porastu, što je posljedica i</w:t>
      </w:r>
      <w:r w:rsidRPr="004E6412">
        <w:rPr>
          <w:rFonts w:ascii="Times New Roman" w:hAnsi="Times New Roman"/>
        </w:rPr>
        <w:t xml:space="preserve"> poveća</w:t>
      </w:r>
      <w:r w:rsidR="00555182" w:rsidRPr="004E6412">
        <w:rPr>
          <w:rFonts w:ascii="Times New Roman" w:hAnsi="Times New Roman"/>
        </w:rPr>
        <w:t xml:space="preserve">nja apsolutnog iznosa izvoza i smanjenja broja zaposlenih. </w:t>
      </w:r>
      <w:r w:rsidRPr="004E6412">
        <w:rPr>
          <w:rFonts w:ascii="Times New Roman" w:hAnsi="Times New Roman"/>
        </w:rPr>
        <w:t>Usporedno s kretanjem uvoza i izvoza djelatnosti</w:t>
      </w:r>
      <w:r w:rsidR="00555182" w:rsidRPr="004E6412">
        <w:rPr>
          <w:rFonts w:ascii="Times New Roman" w:hAnsi="Times New Roman"/>
        </w:rPr>
        <w:t>,</w:t>
      </w:r>
      <w:r w:rsidRPr="004E6412">
        <w:rPr>
          <w:rFonts w:ascii="Times New Roman" w:hAnsi="Times New Roman"/>
        </w:rPr>
        <w:t xml:space="preserve"> doš</w:t>
      </w:r>
      <w:r w:rsidR="00555182" w:rsidRPr="004E6412">
        <w:rPr>
          <w:rFonts w:ascii="Times New Roman" w:hAnsi="Times New Roman"/>
        </w:rPr>
        <w:t>lo je do povećanja usporednih</w:t>
      </w:r>
      <w:r w:rsidRPr="004E6412">
        <w:rPr>
          <w:rFonts w:ascii="Times New Roman" w:hAnsi="Times New Roman"/>
        </w:rPr>
        <w:t xml:space="preserve"> prednosti djelatnosti u promatranom</w:t>
      </w:r>
      <w:r w:rsidR="00555182"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Koeficijenti tekuće likvidnosti i ubrzane likvidnosti u promatranom</w:t>
      </w:r>
      <w:r w:rsidR="00555182" w:rsidRPr="004E6412">
        <w:rPr>
          <w:rFonts w:ascii="Times New Roman" w:hAnsi="Times New Roman"/>
        </w:rPr>
        <w:t>e</w:t>
      </w:r>
      <w:r w:rsidRPr="004E6412">
        <w:rPr>
          <w:rFonts w:ascii="Times New Roman" w:hAnsi="Times New Roman"/>
        </w:rPr>
        <w:t xml:space="preserve"> razdoblju su u padu, što ukazuje na nedovoljnu likvidnost djelatnosti. Razina koeficijenta trenutne likvidnosti u svim razdo</w:t>
      </w:r>
      <w:r w:rsidR="00555182" w:rsidRPr="004E6412">
        <w:rPr>
          <w:rFonts w:ascii="Times New Roman" w:hAnsi="Times New Roman"/>
        </w:rPr>
        <w:t>bljima je na vrlo niskih 0,03 što</w:t>
      </w:r>
      <w:r w:rsidRPr="004E6412">
        <w:rPr>
          <w:rFonts w:ascii="Times New Roman" w:hAnsi="Times New Roman"/>
        </w:rPr>
        <w:t xml:space="preserve"> potvrđuje problem likvidnosti u promatranoj djelatnosti (poddjelatnosti) proizvodnje rafiniranih naftnih proizvoda.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 zaduženosti ne ukazuje na visoku</w:t>
      </w:r>
      <w:r w:rsidR="00555182" w:rsidRPr="004E6412">
        <w:rPr>
          <w:rFonts w:ascii="Times New Roman" w:hAnsi="Times New Roman"/>
        </w:rPr>
        <w:t xml:space="preserve"> zaduženost djelatnosti, ali</w:t>
      </w:r>
      <w:r w:rsidRPr="004E6412">
        <w:rPr>
          <w:rFonts w:ascii="Times New Roman" w:hAnsi="Times New Roman"/>
        </w:rPr>
        <w:t xml:space="preserve"> ukazuje na smanjenje zaduženosti u razdoblju 2010.</w:t>
      </w:r>
      <w:r w:rsidR="00555182" w:rsidRPr="004E6412">
        <w:rPr>
          <w:rFonts w:ascii="Times New Roman" w:hAnsi="Times New Roman"/>
        </w:rPr>
        <w:t xml:space="preserve"> – </w:t>
      </w:r>
      <w:r w:rsidRPr="004E6412">
        <w:rPr>
          <w:rFonts w:ascii="Times New Roman" w:hAnsi="Times New Roman"/>
        </w:rPr>
        <w:t>2012. Opterećenje dugotrajne imovine s dugoročnim obvezama smanjilo se u promatranom razdoblju. Iako se primjećuje problem likvidnosti u ovoj djelatnosti, vrlo dobri pokazatelji zaduženosti otklanjanju sumnju u stabilnost djelatnosti. Nužno je p</w:t>
      </w:r>
      <w:r w:rsidR="00555182" w:rsidRPr="004E6412">
        <w:rPr>
          <w:rFonts w:ascii="Times New Roman" w:hAnsi="Times New Roman"/>
        </w:rPr>
        <w:t>ozornost usmjeriti na učinkovitije</w:t>
      </w:r>
      <w:r w:rsidRPr="004E6412">
        <w:rPr>
          <w:rFonts w:ascii="Times New Roman" w:hAnsi="Times New Roman"/>
        </w:rPr>
        <w:t xml:space="preserve"> upravljanje kratkotrajnom imovinom i kratkoročnim obvezama.</w:t>
      </w:r>
    </w:p>
    <w:p w:rsidR="001B41B0" w:rsidRPr="004E6412" w:rsidRDefault="001B41B0" w:rsidP="001B41B0">
      <w:pPr>
        <w:rPr>
          <w:sz w:val="22"/>
        </w:rPr>
      </w:pPr>
    </w:p>
    <w:p w:rsidR="001B41B0" w:rsidRPr="004E6412" w:rsidRDefault="00555182"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Broj zaposlenih u ovoj djelatnosti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razdoblju pao za 10,34%,</w:t>
      </w:r>
      <w:r w:rsidRPr="004E6412">
        <w:rPr>
          <w:rFonts w:ascii="Times New Roman" w:hAnsi="Times New Roman"/>
        </w:rPr>
        <w:t xml:space="preserve"> neto plaće</w:t>
      </w:r>
      <w:r w:rsidR="001B41B0" w:rsidRPr="004E6412">
        <w:rPr>
          <w:rFonts w:ascii="Times New Roman" w:hAnsi="Times New Roman"/>
        </w:rPr>
        <w:t xml:space="preserve"> pale </w:t>
      </w:r>
      <w:r w:rsidRPr="004E6412">
        <w:rPr>
          <w:rFonts w:ascii="Times New Roman" w:hAnsi="Times New Roman"/>
        </w:rPr>
        <w:t xml:space="preserve">su </w:t>
      </w:r>
      <w:r w:rsidR="001B41B0" w:rsidRPr="004E6412">
        <w:rPr>
          <w:rFonts w:ascii="Times New Roman" w:hAnsi="Times New Roman"/>
        </w:rPr>
        <w:t xml:space="preserve">za 1,58% dok su bruto plaće </w:t>
      </w:r>
      <w:r w:rsidRPr="004E6412">
        <w:rPr>
          <w:rFonts w:ascii="Times New Roman" w:hAnsi="Times New Roman"/>
        </w:rPr>
        <w:t xml:space="preserve">u prosjeku </w:t>
      </w:r>
      <w:r w:rsidR="001B41B0" w:rsidRPr="004E6412">
        <w:rPr>
          <w:rFonts w:ascii="Times New Roman" w:hAnsi="Times New Roman"/>
        </w:rPr>
        <w:t>pale za 5,23%. Najveći udio zaposlenih ima srednju stručnu spremu (48,10% u 2012.), dok se posebno izdvaja udio visokoobrazovanih osoba od 25,02% u 2012.</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naftnih proizvoda čini 100% cjelokupne aktive (pasive) djelatnosti</w:t>
      </w:r>
      <w:r w:rsidR="00555182" w:rsidRPr="004E6412">
        <w:rPr>
          <w:rFonts w:ascii="Times New Roman" w:hAnsi="Times New Roman"/>
        </w:rPr>
        <w:t>,</w:t>
      </w:r>
      <w:r w:rsidRPr="004E6412">
        <w:rPr>
          <w:rFonts w:ascii="Times New Roman" w:hAnsi="Times New Roman"/>
        </w:rPr>
        <w:t xml:space="preserve"> osim u 2010.</w:t>
      </w:r>
      <w:r w:rsidR="00555182" w:rsidRPr="004E6412">
        <w:rPr>
          <w:rFonts w:ascii="Times New Roman" w:hAnsi="Times New Roman"/>
        </w:rPr>
        <w:t>, iako je i tada udio</w:t>
      </w:r>
      <w:r w:rsidRPr="004E6412">
        <w:rPr>
          <w:rFonts w:ascii="Times New Roman" w:hAnsi="Times New Roman"/>
        </w:rPr>
        <w:t xml:space="preserve"> druge poddjelatnosti bio zanemariv.</w:t>
      </w:r>
    </w:p>
    <w:p w:rsidR="001B41B0" w:rsidRPr="004E6412" w:rsidRDefault="001B41B0" w:rsidP="001B41B0">
      <w:pPr>
        <w:rPr>
          <w:sz w:val="22"/>
        </w:rPr>
      </w:pPr>
    </w:p>
    <w:p w:rsidR="001B41B0" w:rsidRPr="004E6412" w:rsidRDefault="001B41B0" w:rsidP="003132CD">
      <w:pPr>
        <w:pStyle w:val="ListParagraph"/>
        <w:numPr>
          <w:ilvl w:val="0"/>
          <w:numId w:val="30"/>
        </w:numPr>
        <w:spacing w:after="0"/>
        <w:jc w:val="both"/>
        <w:rPr>
          <w:rFonts w:ascii="Times New Roman" w:hAnsi="Times New Roman"/>
        </w:rPr>
      </w:pPr>
      <w:r w:rsidRPr="004E6412">
        <w:rPr>
          <w:rFonts w:ascii="Times New Roman" w:hAnsi="Times New Roman"/>
        </w:rPr>
        <w:t xml:space="preserve">Poddjelatnost Proizvodnja rafiniranih naftnih proizvoda u Hrvatskoj </w:t>
      </w:r>
      <w:r w:rsidR="00555182" w:rsidRPr="004E6412">
        <w:rPr>
          <w:rFonts w:ascii="Times New Roman" w:hAnsi="Times New Roman"/>
        </w:rPr>
        <w:t>je obilježena relativno stabilnim poslovnim</w:t>
      </w:r>
      <w:r w:rsidRPr="004E6412">
        <w:rPr>
          <w:rFonts w:ascii="Times New Roman" w:hAnsi="Times New Roman"/>
        </w:rPr>
        <w:t xml:space="preserve"> okruženje</w:t>
      </w:r>
      <w:r w:rsidR="00555182" w:rsidRPr="004E6412">
        <w:rPr>
          <w:rFonts w:ascii="Times New Roman" w:hAnsi="Times New Roman"/>
        </w:rPr>
        <w:t>m</w:t>
      </w:r>
      <w:r w:rsidRPr="004E6412">
        <w:rPr>
          <w:rFonts w:ascii="Times New Roman" w:hAnsi="Times New Roman"/>
        </w:rPr>
        <w:t xml:space="preserve">. Vodeći proizvođači proteklih </w:t>
      </w:r>
      <w:r w:rsidR="00555182" w:rsidRPr="004E6412">
        <w:rPr>
          <w:rFonts w:ascii="Times New Roman" w:hAnsi="Times New Roman"/>
        </w:rPr>
        <w:t xml:space="preserve">su godina uložili </w:t>
      </w:r>
      <w:r w:rsidRPr="004E6412">
        <w:rPr>
          <w:rFonts w:ascii="Times New Roman" w:hAnsi="Times New Roman"/>
        </w:rPr>
        <w:t>značajna sredstva u reorg</w:t>
      </w:r>
      <w:r w:rsidR="00555182" w:rsidRPr="004E6412">
        <w:rPr>
          <w:rFonts w:ascii="Times New Roman" w:hAnsi="Times New Roman"/>
        </w:rPr>
        <w:t>anizaciju poslovanja usmjerenu prema</w:t>
      </w:r>
      <w:r w:rsidRPr="004E6412">
        <w:rPr>
          <w:rFonts w:ascii="Times New Roman" w:hAnsi="Times New Roman"/>
        </w:rPr>
        <w:t xml:space="preserve"> povećanju produktivnosti radne snage i imovine, čime su stekli preduvjete za rast i razvoj u budućnosti.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Izvozni potencijal djelatnosti postoji, no većinom je usmjeren na tr</w:t>
      </w:r>
      <w:r w:rsidR="00555182" w:rsidRPr="004E6412">
        <w:rPr>
          <w:rFonts w:ascii="Times New Roman" w:hAnsi="Times New Roman"/>
        </w:rPr>
        <w:t>žišta regije. Većina proizvodnje</w:t>
      </w:r>
      <w:r w:rsidRPr="004E6412">
        <w:rPr>
          <w:rFonts w:ascii="Times New Roman" w:hAnsi="Times New Roman"/>
        </w:rPr>
        <w:t xml:space="preserve"> plasira</w:t>
      </w:r>
      <w:r w:rsidR="00555182" w:rsidRPr="004E6412">
        <w:rPr>
          <w:rFonts w:ascii="Times New Roman" w:hAnsi="Times New Roman"/>
        </w:rPr>
        <w:t xml:space="preserve"> se na domaće tržište</w:t>
      </w:r>
      <w:r w:rsidRPr="004E6412">
        <w:rPr>
          <w:rFonts w:ascii="Times New Roman" w:hAnsi="Times New Roman"/>
        </w:rPr>
        <w:t xml:space="preserve"> (oko 2/3 ukupne proizvodnje), dok se preostali dio plasira na strana tržišta.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Sirovine za proizvodnju </w:t>
      </w:r>
      <w:r w:rsidR="00555182" w:rsidRPr="004E6412">
        <w:rPr>
          <w:rFonts w:ascii="Times New Roman" w:hAnsi="Times New Roman"/>
        </w:rPr>
        <w:t>rafiniranih naftnih proizvoda</w:t>
      </w:r>
      <w:r w:rsidRPr="004E6412">
        <w:rPr>
          <w:rFonts w:ascii="Times New Roman" w:hAnsi="Times New Roman"/>
        </w:rPr>
        <w:t xml:space="preserve"> gotovo </w:t>
      </w:r>
      <w:r w:rsidR="00555182" w:rsidRPr="004E6412">
        <w:rPr>
          <w:rFonts w:ascii="Times New Roman" w:hAnsi="Times New Roman"/>
        </w:rPr>
        <w:t xml:space="preserve">se </w:t>
      </w:r>
      <w:r w:rsidRPr="004E6412">
        <w:rPr>
          <w:rFonts w:ascii="Times New Roman" w:hAnsi="Times New Roman"/>
        </w:rPr>
        <w:t xml:space="preserve">u cijelosti uvoze sa stranih tržišta, budući da u Hrvatskoj nije razvijena njihova proizvodnja (uz iznimku manjeg broja sirovina potrebnih za proizvodnju industrijskih ulja i maziva).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Tehnološka opremljenost na razini djelatnosti na</w:t>
      </w:r>
      <w:r w:rsidR="00555182" w:rsidRPr="004E6412">
        <w:rPr>
          <w:rFonts w:ascii="Times New Roman" w:hAnsi="Times New Roman"/>
        </w:rPr>
        <w:t>stoji pratiti globalne trendove</w:t>
      </w:r>
      <w:r w:rsidRPr="004E6412">
        <w:rPr>
          <w:rFonts w:ascii="Times New Roman" w:hAnsi="Times New Roman"/>
        </w:rPr>
        <w:t xml:space="preserve"> te se očekuju daljnje investicije u tehnološka rješenja u nadolazećem razdoblju. Ula</w:t>
      </w:r>
      <w:r w:rsidR="00555182" w:rsidRPr="004E6412">
        <w:rPr>
          <w:rFonts w:ascii="Times New Roman" w:hAnsi="Times New Roman"/>
        </w:rPr>
        <w:t>ganja u istraživanje i razvoj</w:t>
      </w:r>
      <w:r w:rsidRPr="004E6412">
        <w:rPr>
          <w:rFonts w:ascii="Times New Roman" w:hAnsi="Times New Roman"/>
        </w:rPr>
        <w:t xml:space="preserve"> izrazito </w:t>
      </w:r>
      <w:r w:rsidR="00555182" w:rsidRPr="004E6412">
        <w:rPr>
          <w:rFonts w:ascii="Times New Roman" w:hAnsi="Times New Roman"/>
        </w:rPr>
        <w:t xml:space="preserve">su </w:t>
      </w:r>
      <w:r w:rsidRPr="004E6412">
        <w:rPr>
          <w:rFonts w:ascii="Times New Roman" w:hAnsi="Times New Roman"/>
        </w:rPr>
        <w:t>značajna, posebno za proizvodnju industrijskih maziva i ulja, gdje postoji potencijal</w:t>
      </w:r>
      <w:r w:rsidR="00555182" w:rsidRPr="004E6412">
        <w:rPr>
          <w:rFonts w:ascii="Times New Roman" w:hAnsi="Times New Roman"/>
        </w:rPr>
        <w:t xml:space="preserve"> za razvoj specifičnih proizvoda</w:t>
      </w:r>
      <w:r w:rsidRPr="004E6412">
        <w:rPr>
          <w:rFonts w:ascii="Times New Roman" w:hAnsi="Times New Roman"/>
        </w:rPr>
        <w:t xml:space="preserve"> za tržišne niše.</w:t>
      </w:r>
    </w:p>
    <w:p w:rsidR="001B41B0" w:rsidRPr="004E6412" w:rsidRDefault="001B41B0" w:rsidP="001B41B0">
      <w:pPr>
        <w:rPr>
          <w:sz w:val="22"/>
        </w:rPr>
      </w:pP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611" w:name="_Toc372088016"/>
      <w:bookmarkStart w:id="612" w:name="_Toc378069077"/>
      <w:r w:rsidRPr="004E6412">
        <w:lastRenderedPageBreak/>
        <w:t>Zaključni prikaz pokazatelja</w:t>
      </w:r>
      <w:bookmarkEnd w:id="611"/>
      <w:bookmarkEnd w:id="612"/>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13" w:name="_Toc372088151"/>
      <w:bookmarkStart w:id="614" w:name="_Toc377551086"/>
      <w:bookmarkStart w:id="615" w:name="_Toc37763527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74</w:t>
      </w:r>
      <w:r w:rsidRPr="007D0CFD">
        <w:rPr>
          <w:rStyle w:val="IntenseEmphasis"/>
          <w:b/>
          <w:bCs w:val="0"/>
          <w:iCs w:val="0"/>
          <w:color w:val="548DD4" w:themeColor="text2" w:themeTint="99"/>
          <w:sz w:val="20"/>
        </w:rPr>
        <w:t>. Kvantitativni pokazatelji (C19)</w:t>
      </w:r>
      <w:bookmarkEnd w:id="613"/>
      <w:bookmarkEnd w:id="614"/>
      <w:bookmarkEnd w:id="61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120,40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125,70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113,29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82,7</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106,3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9.843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8.899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8.825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24.694.965.600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28.371.192.123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27.883.514.680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4.176.803.712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5.540.124.453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3.600.428.472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11,74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2.508.886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3.188.133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3.159.605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6.795.108.097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7.664.423.411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5.746.155.514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183.177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221.075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150.206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2.922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1.037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32,22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6.872.077.151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9.857.836.363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8.981.996.682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37,09%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33,24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2,672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4,848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6,293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555182"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17,10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16,51%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0,119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0,060</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690.349</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861.268</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651.122</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0,34</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0,41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0,33</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16" w:name="_Toc372088152"/>
      <w:bookmarkStart w:id="617" w:name="_Toc377551087"/>
      <w:bookmarkStart w:id="618" w:name="_Toc37763527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75</w:t>
      </w:r>
      <w:r w:rsidRPr="007D0CFD">
        <w:rPr>
          <w:rStyle w:val="IntenseEmphasis"/>
          <w:b/>
          <w:bCs w:val="0"/>
          <w:iCs w:val="0"/>
          <w:color w:val="548DD4" w:themeColor="text2" w:themeTint="99"/>
          <w:sz w:val="20"/>
        </w:rPr>
        <w:t>. Kvalitativni pokazatelji (C19)</w:t>
      </w:r>
      <w:bookmarkEnd w:id="616"/>
      <w:bookmarkEnd w:id="617"/>
      <w:bookmarkEnd w:id="61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55182"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555182" w:rsidP="0097195F">
            <w:pPr>
              <w:spacing w:line="240" w:lineRule="auto"/>
              <w:rPr>
                <w:sz w:val="22"/>
              </w:rPr>
            </w:pPr>
            <w:r w:rsidRPr="004E6412">
              <w:rPr>
                <w:sz w:val="22"/>
              </w:rPr>
              <w:t>Prikladna</w:t>
            </w:r>
            <w:r w:rsidR="001B41B0" w:rsidRPr="004E6412">
              <w:rPr>
                <w:sz w:val="22"/>
              </w:rPr>
              <w:t xml:space="preserve"> dostupnost radne snage, kapitala i potrebnih resursa.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Proizvodnja energenata za tržište široke potrošnje i industrije.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Zakonodavstvo značajno utječe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6A37CD" w:rsidP="0097195F">
            <w:pPr>
              <w:spacing w:line="240" w:lineRule="auto"/>
              <w:rPr>
                <w:sz w:val="22"/>
              </w:rPr>
            </w:pPr>
            <w:r w:rsidRPr="004E6412">
              <w:rPr>
                <w:sz w:val="22"/>
              </w:rPr>
              <w:t xml:space="preserve">Izrazito </w:t>
            </w:r>
            <w:r w:rsidR="001B41B0" w:rsidRPr="004E6412">
              <w:rPr>
                <w:sz w:val="22"/>
              </w:rPr>
              <w:t>visoka koncentracija. Jedno poduzeće ostvaruje 99%</w:t>
            </w:r>
            <w:r w:rsidRPr="004E6412">
              <w:rPr>
                <w:sz w:val="22"/>
              </w:rPr>
              <w:t xml:space="preserve"> ukupnih prihoda djelatnosti, a</w:t>
            </w:r>
            <w:r w:rsidR="001B41B0" w:rsidRPr="004E6412">
              <w:rPr>
                <w:sz w:val="22"/>
              </w:rPr>
              <w:t xml:space="preserve">  zapošljava 97% radne snage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Visok izvozni potencijal, većinom usmjeren na tržišta regije.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Umjeren potencijal rasta. Potencijal za stvaranje novih radnih mjesta na razini industrije trenutno ne postoji.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rPr>
          <w:szCs w:val="24"/>
        </w:rPr>
      </w:pPr>
    </w:p>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bookmarkStart w:id="619" w:name="_Toc366152986"/>
      <w:bookmarkStart w:id="620" w:name="_Toc366154292"/>
      <w:bookmarkStart w:id="621" w:name="_Toc366154412"/>
      <w:bookmarkStart w:id="622" w:name="_Toc366409955"/>
    </w:p>
    <w:p w:rsidR="001B41B0" w:rsidRPr="004E6412" w:rsidRDefault="001B41B0" w:rsidP="001B41B0">
      <w:pPr>
        <w:pStyle w:val="Heading2"/>
      </w:pPr>
      <w:bookmarkStart w:id="623" w:name="_Toc372088017"/>
      <w:bookmarkStart w:id="624" w:name="_Toc378069078"/>
      <w:r w:rsidRPr="004E6412">
        <w:lastRenderedPageBreak/>
        <w:t>C20 Proizvodnja kemikalija i kemijskih proizvoda</w:t>
      </w:r>
      <w:bookmarkEnd w:id="619"/>
      <w:bookmarkEnd w:id="620"/>
      <w:bookmarkEnd w:id="621"/>
      <w:bookmarkEnd w:id="622"/>
      <w:bookmarkEnd w:id="623"/>
      <w:bookmarkEnd w:id="624"/>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kemikalija i kemijskih proizvoda (C20) uključuje proizvodnju osnovnih kemikalija, gnojiva i dušičnih spojeva, plastike i sintetičkoga kaučuka u primarnim oblicima (C20.1), proizvodnju pesticida i</w:t>
      </w:r>
      <w:r w:rsidR="0034573D" w:rsidRPr="004E6412">
        <w:rPr>
          <w:sz w:val="22"/>
        </w:rPr>
        <w:t xml:space="preserve"> drugih agrokemijskih proizvoda (C20.2), proizvodnju boja,</w:t>
      </w:r>
      <w:r w:rsidRPr="004E6412">
        <w:rPr>
          <w:sz w:val="22"/>
        </w:rPr>
        <w:t xml:space="preserve"> lakova i sličnih p</w:t>
      </w:r>
      <w:r w:rsidR="0034573D" w:rsidRPr="004E6412">
        <w:rPr>
          <w:sz w:val="22"/>
        </w:rPr>
        <w:t>remaza, grafičkih boja i kitova</w:t>
      </w:r>
      <w:r w:rsidRPr="004E6412">
        <w:rPr>
          <w:sz w:val="22"/>
        </w:rPr>
        <w:t xml:space="preserve"> (C20.3), proizvodnju sapuna i deterdženata, sredstava za čišćenje i poliranje, parfema i toaletno-kozmetičkih prepara</w:t>
      </w:r>
      <w:r w:rsidR="0034573D" w:rsidRPr="004E6412">
        <w:rPr>
          <w:sz w:val="22"/>
        </w:rPr>
        <w:t>ta</w:t>
      </w:r>
      <w:r w:rsidRPr="004E6412">
        <w:rPr>
          <w:sz w:val="22"/>
        </w:rPr>
        <w:t xml:space="preserve"> (C20.4), proizvodnju ostalih kemijskih proizvoda  (C20.5)</w:t>
      </w:r>
      <w:r w:rsidR="0034573D" w:rsidRPr="004E6412">
        <w:rPr>
          <w:sz w:val="22"/>
        </w:rPr>
        <w:t xml:space="preserve"> i proizvodnju umjetnih vlakana</w:t>
      </w:r>
      <w:r w:rsidRPr="004E6412">
        <w:rPr>
          <w:sz w:val="22"/>
        </w:rPr>
        <w:t xml:space="preserve"> (C20.6). </w:t>
      </w:r>
    </w:p>
    <w:p w:rsidR="001B41B0" w:rsidRPr="004E6412" w:rsidRDefault="001B41B0" w:rsidP="001B41B0">
      <w:pPr>
        <w:rPr>
          <w:szCs w:val="24"/>
        </w:rPr>
      </w:pPr>
    </w:p>
    <w:p w:rsidR="001B41B0" w:rsidRPr="004E6412" w:rsidRDefault="001B41B0" w:rsidP="00D001B9">
      <w:pPr>
        <w:pStyle w:val="Heading3"/>
      </w:pPr>
      <w:bookmarkStart w:id="625" w:name="_Toc366154293"/>
      <w:bookmarkStart w:id="626" w:name="_Toc366154413"/>
      <w:bookmarkStart w:id="627" w:name="_Toc366409956"/>
      <w:bookmarkStart w:id="628" w:name="_Toc372088018"/>
      <w:bookmarkStart w:id="629" w:name="_Toc378069079"/>
      <w:r w:rsidRPr="004E6412">
        <w:t>Globalni trendovi razvoja</w:t>
      </w:r>
      <w:bookmarkEnd w:id="625"/>
      <w:bookmarkEnd w:id="626"/>
      <w:bookmarkEnd w:id="627"/>
      <w:bookmarkEnd w:id="628"/>
      <w:bookmarkEnd w:id="629"/>
    </w:p>
    <w:p w:rsidR="001B41B0" w:rsidRPr="004E6412" w:rsidRDefault="00A71601"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Proizvodnja kemikalija i kemijskih proizvoda djelatnost je čiji se proizvodi koriste u gotovo svim segmentima gospodarstva i širokoj potrošnji. </w:t>
      </w:r>
      <w:r w:rsidR="001B41B0" w:rsidRPr="004E6412">
        <w:rPr>
          <w:rFonts w:ascii="Times New Roman" w:hAnsi="Times New Roman"/>
        </w:rPr>
        <w:t xml:space="preserve">Stoga je ova djelatnost vrlo značajna za funkcioniranje i razvoj cjelokupnog gospodarstva, ali je ujedno i ciklički snažno ovisna o stanju i kretanjima u nacionalnom gospodarstvu. </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pPr>
      <w:r w:rsidRPr="004E6412">
        <w:rPr>
          <w:rFonts w:ascii="Times New Roman" w:hAnsi="Times New Roman"/>
        </w:rPr>
        <w:t>Globalno tržište kemikalija i kemijskih proizvoda u posljedn</w:t>
      </w:r>
      <w:r w:rsidR="0034573D" w:rsidRPr="004E6412">
        <w:rPr>
          <w:rFonts w:ascii="Times New Roman" w:hAnsi="Times New Roman"/>
        </w:rPr>
        <w:t>jih dvadeset godina obilježeno je velikim strukturnim promjenama</w:t>
      </w:r>
      <w:r w:rsidRPr="004E6412">
        <w:rPr>
          <w:rFonts w:ascii="Times New Roman" w:hAnsi="Times New Roman"/>
        </w:rPr>
        <w:t>, kao i</w:t>
      </w:r>
      <w:r w:rsidR="0034573D" w:rsidRPr="004E6412">
        <w:rPr>
          <w:rFonts w:ascii="Times New Roman" w:hAnsi="Times New Roman"/>
        </w:rPr>
        <w:t xml:space="preserve"> geografskom redistribucijom</w:t>
      </w:r>
      <w:r w:rsidRPr="004E6412">
        <w:rPr>
          <w:rFonts w:ascii="Times New Roman" w:hAnsi="Times New Roman"/>
        </w:rPr>
        <w:t xml:space="preserve"> proizvodnj</w:t>
      </w:r>
      <w:r w:rsidR="0034573D" w:rsidRPr="004E6412">
        <w:rPr>
          <w:rFonts w:ascii="Times New Roman" w:hAnsi="Times New Roman"/>
        </w:rPr>
        <w:t>e i potrošnje. Jasno se uočava</w:t>
      </w:r>
      <w:r w:rsidRPr="004E6412">
        <w:rPr>
          <w:rFonts w:ascii="Times New Roman" w:hAnsi="Times New Roman"/>
        </w:rPr>
        <w:t xml:space="preserve"> i izmještanje svjetske proizvodnje iz razvijenih zemalja u zemlje u razvoju, poglavito u Kinu i zemlje jugoistočne Azije. Razloge prvenstveno treba tražiti u potrazi za nižim troškovima proizvodnje gdje je znatnu ulogu odigrala svjetska gospodarska kriza</w:t>
      </w:r>
      <w:r w:rsidR="0034573D" w:rsidRPr="004E6412">
        <w:rPr>
          <w:rFonts w:ascii="Times New Roman" w:hAnsi="Times New Roman"/>
        </w:rPr>
        <w:t>,</w:t>
      </w:r>
      <w:r w:rsidRPr="004E6412">
        <w:rPr>
          <w:rFonts w:ascii="Times New Roman" w:hAnsi="Times New Roman"/>
        </w:rPr>
        <w:t xml:space="preserve"> ali i u pojačanoj svijesti o dobrobiti čovjeka i prirodnog okoliša u razvijenim</w:t>
      </w:r>
      <w:r w:rsidR="0034573D" w:rsidRPr="004E6412">
        <w:rPr>
          <w:rFonts w:ascii="Times New Roman" w:hAnsi="Times New Roman"/>
        </w:rPr>
        <w:t xml:space="preserve"> zapadnim zemljama zbog čega </w:t>
      </w:r>
      <w:r w:rsidRPr="004E6412">
        <w:rPr>
          <w:rFonts w:ascii="Times New Roman" w:hAnsi="Times New Roman"/>
        </w:rPr>
        <w:t>kemijsk</w:t>
      </w:r>
      <w:r w:rsidR="0034573D" w:rsidRPr="004E6412">
        <w:rPr>
          <w:rFonts w:ascii="Times New Roman" w:hAnsi="Times New Roman"/>
        </w:rPr>
        <w:t>a industrija ponekad ima pridjevak nepoželjne</w:t>
      </w:r>
      <w:r w:rsidRPr="004E6412">
        <w:rPr>
          <w:rFonts w:ascii="Times New Roman" w:hAnsi="Times New Roman"/>
        </w:rPr>
        <w:t xml:space="preserve"> od strane udruga civilnog društva i/ili šire društvene zajednice.</w:t>
      </w:r>
      <w:r w:rsidR="00A71601" w:rsidRPr="004E6412">
        <w:rPr>
          <w:rFonts w:ascii="Times New Roman" w:hAnsi="Times New Roman"/>
        </w:rPr>
        <w:t xml:space="preserve"> Stoga zakonodavstva razvijenih zapadnih zemalja od proizvođača zahtjevaju zadovoljavanje visokih standarda zaštite okoliša i zdravlja ljudi u proizvodnim procesima. Takva zakonska regulativa u razvijenim zemljama nametnula je dodatni pritisak na profitabilnost industrije, zbog čega se proizvodni pogoni sele u zemlje u kojima ekološki standardi nisu na razini onih koji se primjenjuju u razvijenim zemljama, pogotovo u one istočne zemlje koje raspolažu sa sirovinskom bazom.</w:t>
      </w:r>
      <w:r w:rsidRPr="004E6412">
        <w:rPr>
          <w:rFonts w:ascii="Times New Roman" w:hAnsi="Times New Roman"/>
        </w:rPr>
        <w:t xml:space="preserve"> </w:t>
      </w:r>
    </w:p>
    <w:p w:rsidR="00A71601" w:rsidRPr="004E6412" w:rsidRDefault="00A71601" w:rsidP="00A71601">
      <w:pPr>
        <w:pStyle w:val="ListParagraph"/>
        <w:spacing w:after="0"/>
        <w:jc w:val="both"/>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Ukupan promet kemikalijama i kemijskim proizvodima na </w:t>
      </w:r>
      <w:r w:rsidR="0034573D" w:rsidRPr="004E6412">
        <w:rPr>
          <w:rFonts w:ascii="Times New Roman" w:hAnsi="Times New Roman"/>
        </w:rPr>
        <w:t xml:space="preserve">je </w:t>
      </w:r>
      <w:r w:rsidRPr="004E6412">
        <w:rPr>
          <w:rFonts w:ascii="Times New Roman" w:hAnsi="Times New Roman"/>
        </w:rPr>
        <w:t>svjetskoj razini iz</w:t>
      </w:r>
      <w:r w:rsidR="0034573D" w:rsidRPr="004E6412">
        <w:rPr>
          <w:rFonts w:ascii="Times New Roman" w:hAnsi="Times New Roman"/>
        </w:rPr>
        <w:t xml:space="preserve">nosio </w:t>
      </w:r>
      <w:r w:rsidRPr="004E6412">
        <w:rPr>
          <w:rFonts w:ascii="Times New Roman" w:hAnsi="Times New Roman"/>
        </w:rPr>
        <w:t>2.744 milijarde eura u 2011. Razina prometa potvrdila je značajan oporavak ove djelatnosti na globalnoj razini i predstavlja porast od 11,6% u odnosu na 2010. U razdoblju 2001.</w:t>
      </w:r>
      <w:r w:rsidR="0034573D" w:rsidRPr="004E6412">
        <w:rPr>
          <w:rFonts w:ascii="Times New Roman" w:hAnsi="Times New Roman"/>
        </w:rPr>
        <w:t xml:space="preserve"> – </w:t>
      </w:r>
      <w:r w:rsidRPr="004E6412">
        <w:rPr>
          <w:rFonts w:ascii="Times New Roman" w:hAnsi="Times New Roman"/>
        </w:rPr>
        <w:t>2011. vrijednost prometa kemikalijama i kemijskim proizvodima porasla je za 95%</w:t>
      </w:r>
      <w:r w:rsidR="0034573D" w:rsidRPr="004E6412">
        <w:rPr>
          <w:rFonts w:ascii="Times New Roman" w:hAnsi="Times New Roman"/>
        </w:rPr>
        <w:t>,</w:t>
      </w:r>
      <w:r w:rsidRPr="004E6412">
        <w:rPr>
          <w:rFonts w:ascii="Times New Roman" w:hAnsi="Times New Roman"/>
        </w:rPr>
        <w:t xml:space="preserve"> što ukazuje na potencijal za rastom.</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Snažan razvoj kemijske industrije u zemljama u razvoju omogućili su transferi tehnologija iz razvijenih zemalja, putem za</w:t>
      </w:r>
      <w:r w:rsidR="0034573D" w:rsidRPr="004E6412">
        <w:rPr>
          <w:rFonts w:ascii="Times New Roman" w:hAnsi="Times New Roman"/>
        </w:rPr>
        <w:t>jedničkih i strateških ulaganja kao i</w:t>
      </w:r>
      <w:r w:rsidRPr="004E6412">
        <w:rPr>
          <w:rFonts w:ascii="Times New Roman" w:hAnsi="Times New Roman"/>
        </w:rPr>
        <w:t xml:space="preserve"> drugih oblika investicija u te zemlje.</w:t>
      </w:r>
    </w:p>
    <w:p w:rsidR="001B41B0" w:rsidRPr="004E6412" w:rsidRDefault="001B41B0" w:rsidP="001B41B0">
      <w:pPr>
        <w:rPr>
          <w:szCs w:val="24"/>
        </w:rPr>
      </w:pPr>
    </w:p>
    <w:p w:rsidR="001B41B0" w:rsidRPr="004E6412" w:rsidRDefault="001B41B0" w:rsidP="00D001B9">
      <w:pPr>
        <w:pStyle w:val="Heading3"/>
      </w:pPr>
      <w:bookmarkStart w:id="630" w:name="_Toc366154294"/>
      <w:bookmarkStart w:id="631" w:name="_Toc366154414"/>
      <w:bookmarkStart w:id="632" w:name="_Toc366409957"/>
      <w:bookmarkStart w:id="633" w:name="_Toc372088019"/>
      <w:bookmarkStart w:id="634" w:name="_Toc378069080"/>
      <w:r w:rsidRPr="004E6412">
        <w:t>Trendovi razvoja u Europskoj uniji</w:t>
      </w:r>
      <w:bookmarkEnd w:id="630"/>
      <w:bookmarkEnd w:id="631"/>
      <w:bookmarkEnd w:id="632"/>
      <w:bookmarkEnd w:id="633"/>
      <w:bookmarkEnd w:id="634"/>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Europska proizvodnja kemikalija i kemijskih proizv</w:t>
      </w:r>
      <w:r w:rsidR="0034573D" w:rsidRPr="004E6412">
        <w:rPr>
          <w:rFonts w:ascii="Times New Roman" w:hAnsi="Times New Roman"/>
        </w:rPr>
        <w:t>oda i dalje je pri samom vrhu</w:t>
      </w:r>
      <w:r w:rsidRPr="004E6412">
        <w:rPr>
          <w:rFonts w:ascii="Times New Roman" w:hAnsi="Times New Roman"/>
        </w:rPr>
        <w:t xml:space="preserve"> na globalnoj razini, premda je izgubila značajan tržišni udio prvenstveno od </w:t>
      </w:r>
      <w:r w:rsidR="0034573D" w:rsidRPr="004E6412">
        <w:rPr>
          <w:rFonts w:ascii="Times New Roman" w:hAnsi="Times New Roman"/>
        </w:rPr>
        <w:t xml:space="preserve">strane </w:t>
      </w:r>
      <w:r w:rsidRPr="004E6412">
        <w:rPr>
          <w:rFonts w:ascii="Times New Roman" w:hAnsi="Times New Roman"/>
        </w:rPr>
        <w:t>azijskih zemalja. Vrijednost proizvedenih dobara u zemljama EU</w:t>
      </w:r>
      <w:r w:rsidR="0034573D" w:rsidRPr="004E6412">
        <w:rPr>
          <w:rFonts w:ascii="Times New Roman" w:hAnsi="Times New Roman"/>
        </w:rPr>
        <w:t>-a</w:t>
      </w:r>
      <w:r w:rsidRPr="004E6412">
        <w:rPr>
          <w:rFonts w:ascii="Times New Roman" w:hAnsi="Times New Roman"/>
        </w:rPr>
        <w:t xml:space="preserve"> iznosila je 539 milijardi eura odnosno 19,64% ukupne svjetske proizvodnje u 2011. Zajedno s ostalim europskim zemljama, ukupna vrijednost proizvodnje kemikalija iznosila je 642 milijarde eura iz čega je razvidno da Europa doprinosi globalnoj kemijskoj industriji s 23,4%.</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Unatoč neprestanome</w:t>
      </w:r>
      <w:r w:rsidR="001B41B0" w:rsidRPr="004E6412">
        <w:rPr>
          <w:rFonts w:ascii="Times New Roman" w:hAnsi="Times New Roman"/>
        </w:rPr>
        <w:t xml:space="preserve"> rastu</w:t>
      </w:r>
      <w:r w:rsidRPr="004E6412">
        <w:rPr>
          <w:rFonts w:ascii="Times New Roman" w:hAnsi="Times New Roman"/>
        </w:rPr>
        <w:t xml:space="preserve"> proizvodnje, Europska unija </w:t>
      </w:r>
      <w:r w:rsidR="001B41B0" w:rsidRPr="004E6412">
        <w:rPr>
          <w:rFonts w:ascii="Times New Roman" w:hAnsi="Times New Roman"/>
        </w:rPr>
        <w:t xml:space="preserve">izgubila </w:t>
      </w:r>
      <w:r w:rsidRPr="004E6412">
        <w:rPr>
          <w:rFonts w:ascii="Times New Roman" w:hAnsi="Times New Roman"/>
        </w:rPr>
        <w:t xml:space="preserve">je </w:t>
      </w:r>
      <w:r w:rsidR="001B41B0" w:rsidRPr="004E6412">
        <w:rPr>
          <w:rFonts w:ascii="Times New Roman" w:hAnsi="Times New Roman"/>
        </w:rPr>
        <w:t>svoju lidersku poziciju na globalnom tržištu gdje ju je nadmašila Kina. Premda je prosječna godišnja stopa rasta vrijednosti proizvodnje u razdoblju 2001.</w:t>
      </w:r>
      <w:r w:rsidRPr="004E6412">
        <w:rPr>
          <w:rFonts w:ascii="Times New Roman" w:hAnsi="Times New Roman"/>
        </w:rPr>
        <w:t xml:space="preserve"> – </w:t>
      </w:r>
      <w:r w:rsidR="001B41B0" w:rsidRPr="004E6412">
        <w:rPr>
          <w:rFonts w:ascii="Times New Roman" w:hAnsi="Times New Roman"/>
        </w:rPr>
        <w:t>2011. u EU iznosila zadovoljavajućih 2,52%, Kina je u istom</w:t>
      </w:r>
      <w:r w:rsidRPr="004E6412">
        <w:rPr>
          <w:rFonts w:ascii="Times New Roman" w:hAnsi="Times New Roman"/>
        </w:rPr>
        <w:t>e</w:t>
      </w:r>
      <w:r w:rsidR="001B41B0" w:rsidRPr="004E6412">
        <w:rPr>
          <w:rFonts w:ascii="Times New Roman" w:hAnsi="Times New Roman"/>
        </w:rPr>
        <w:t xml:space="preserve"> razdoblju zabilježila rast po prosječnoj godišnjoj stopi od 20,5%</w:t>
      </w:r>
      <w:r w:rsidRPr="004E6412">
        <w:rPr>
          <w:rFonts w:ascii="Times New Roman" w:hAnsi="Times New Roman"/>
        </w:rPr>
        <w:t>,</w:t>
      </w:r>
      <w:r w:rsidR="001B41B0" w:rsidRPr="004E6412">
        <w:rPr>
          <w:rFonts w:ascii="Times New Roman" w:hAnsi="Times New Roman"/>
        </w:rPr>
        <w:t xml:space="preserve"> čime je </w:t>
      </w:r>
      <w:r w:rsidRPr="004E6412">
        <w:rPr>
          <w:rFonts w:ascii="Times New Roman" w:hAnsi="Times New Roman"/>
        </w:rPr>
        <w:t>zauzela vodeće globalno mjesto</w:t>
      </w:r>
      <w:r w:rsidR="001B41B0" w:rsidRPr="004E6412">
        <w:rPr>
          <w:rFonts w:ascii="Times New Roman" w:hAnsi="Times New Roman"/>
        </w:rPr>
        <w:t xml:space="preserve"> u kemijskoj industriji. Kemijska industrija EU</w:t>
      </w:r>
      <w:r w:rsidRPr="004E6412">
        <w:rPr>
          <w:rFonts w:ascii="Times New Roman" w:hAnsi="Times New Roman"/>
        </w:rPr>
        <w:t>-a</w:t>
      </w:r>
      <w:r w:rsidR="001B41B0" w:rsidRPr="004E6412">
        <w:rPr>
          <w:rFonts w:ascii="Times New Roman" w:hAnsi="Times New Roman"/>
        </w:rPr>
        <w:t xml:space="preserve"> raste znatno sporije od svjetskog</w:t>
      </w:r>
      <w:r w:rsidRPr="004E6412">
        <w:rPr>
          <w:rFonts w:ascii="Times New Roman" w:hAnsi="Times New Roman"/>
        </w:rPr>
        <w:t>a prosjeka, i to zbog strogog zakonodavstva</w:t>
      </w:r>
      <w:r w:rsidR="001B41B0" w:rsidRPr="004E6412">
        <w:rPr>
          <w:rFonts w:ascii="Times New Roman" w:hAnsi="Times New Roman"/>
        </w:rPr>
        <w:t xml:space="preserve"> po pitanju ekoloških standarda i relativno visoki</w:t>
      </w:r>
      <w:r w:rsidRPr="004E6412">
        <w:rPr>
          <w:rFonts w:ascii="Times New Roman" w:hAnsi="Times New Roman"/>
        </w:rPr>
        <w:t xml:space="preserve">h troškova </w:t>
      </w:r>
      <w:r w:rsidR="001B41B0" w:rsidRPr="004E6412">
        <w:rPr>
          <w:rFonts w:ascii="Times New Roman" w:hAnsi="Times New Roman"/>
        </w:rPr>
        <w:t>rada u odnosu na globalnu konkurenciju.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 i dalje ostaje vodeći svjetski izvoznik kemikalija i kemijskih proizvoda s udjelom u svjetskom izvozu od 43%. Druga je Kina s udjelom u svjetskom izv</w:t>
      </w:r>
      <w:r w:rsidR="0034573D" w:rsidRPr="004E6412">
        <w:rPr>
          <w:rFonts w:ascii="Times New Roman" w:hAnsi="Times New Roman"/>
        </w:rPr>
        <w:t>ozu od 34%, a potom zemlje NAFTA-e</w:t>
      </w:r>
      <w:r w:rsidRPr="004E6412">
        <w:rPr>
          <w:rFonts w:ascii="Times New Roman" w:hAnsi="Times New Roman"/>
        </w:rPr>
        <w:t xml:space="preserve"> s 14% ukupnog svjetskog izvoza. Zemlje EU</w:t>
      </w:r>
      <w:r w:rsidR="0034573D" w:rsidRPr="004E6412">
        <w:rPr>
          <w:rFonts w:ascii="Times New Roman" w:hAnsi="Times New Roman"/>
        </w:rPr>
        <w:t>-a</w:t>
      </w:r>
      <w:r w:rsidRPr="004E6412">
        <w:rPr>
          <w:rFonts w:ascii="Times New Roman" w:hAnsi="Times New Roman"/>
        </w:rPr>
        <w:t xml:space="preserve"> s udjelom od 37% u ukupnom svjetskom uvozu dijele prvo mjesto s Kinom. Kemijska industrija zemalja Latinske Amerike, Afrike i Oceanije sudjeluju sa svega 4% u ukupnom svjetskom izvozu, odnosno s 9% u uvozu.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Najveći suficit u trgovini s inozemstvom ostvaruju specijalne kemikalije i potrošačke kemikalije, koje ujedno bilježe i najveće stope rasta u bilanci međunarodne razmjene. Petrokemijski proizvodi i polimeri bilježe pad suficita vanjskotrgovinske razmjene, s time da je pad suficita međunarodne razmjene petrokemijskih proizvoda vrlo snažno izražen, dok je kod polimera gotovo neprimjetan. Osnovni anorganski spojevi jedine su vrste kemikalije kod kojih Europska unija ostvaruje deficit u razmjeni s inozemstvom.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Kemijska industrija EU</w:t>
      </w:r>
      <w:r w:rsidR="0034573D" w:rsidRPr="004E6412">
        <w:rPr>
          <w:rFonts w:ascii="Times New Roman" w:hAnsi="Times New Roman"/>
        </w:rPr>
        <w:t>-a</w:t>
      </w:r>
      <w:r w:rsidRPr="004E6412">
        <w:rPr>
          <w:rFonts w:ascii="Times New Roman" w:hAnsi="Times New Roman"/>
        </w:rPr>
        <w:t xml:space="preserve"> izravno zapošljava 1,19 milijuna</w:t>
      </w:r>
      <w:r w:rsidR="0034573D" w:rsidRPr="004E6412">
        <w:rPr>
          <w:rFonts w:ascii="Times New Roman" w:hAnsi="Times New Roman"/>
        </w:rPr>
        <w:t xml:space="preserve"> radnika, dok je broj posredno</w:t>
      </w:r>
      <w:r w:rsidRPr="004E6412">
        <w:rPr>
          <w:rFonts w:ascii="Times New Roman" w:hAnsi="Times New Roman"/>
        </w:rPr>
        <w:t xml:space="preserve"> zaposlenih radnika dvostruko veći. U razdoblju 2001.</w:t>
      </w:r>
      <w:r w:rsidR="0034573D" w:rsidRPr="004E6412">
        <w:rPr>
          <w:rFonts w:ascii="Times New Roman" w:hAnsi="Times New Roman"/>
        </w:rPr>
        <w:t xml:space="preserve"> – </w:t>
      </w:r>
      <w:r w:rsidRPr="004E6412">
        <w:rPr>
          <w:rFonts w:ascii="Times New Roman" w:hAnsi="Times New Roman"/>
        </w:rPr>
        <w:t>2011</w:t>
      </w:r>
      <w:r w:rsidR="0034573D" w:rsidRPr="004E6412">
        <w:rPr>
          <w:rFonts w:ascii="Times New Roman" w:hAnsi="Times New Roman"/>
        </w:rPr>
        <w:t xml:space="preserve">. broj zaposlenih </w:t>
      </w:r>
      <w:r w:rsidRPr="004E6412">
        <w:rPr>
          <w:rFonts w:ascii="Times New Roman" w:hAnsi="Times New Roman"/>
        </w:rPr>
        <w:t>smanjivao</w:t>
      </w:r>
      <w:r w:rsidR="0034573D" w:rsidRPr="004E6412">
        <w:rPr>
          <w:rFonts w:ascii="Times New Roman" w:hAnsi="Times New Roman"/>
        </w:rPr>
        <w:t xml:space="preserve"> se</w:t>
      </w:r>
      <w:r w:rsidRPr="004E6412">
        <w:rPr>
          <w:rFonts w:ascii="Times New Roman" w:hAnsi="Times New Roman"/>
        </w:rPr>
        <w:t xml:space="preserve"> po prosječnoj godišnjoj stopi od 1,9%. Smanjenje je bilo uzrokovano zahtjevima za povećanjem učinkovitosti u proizvodnji, a kasnije i izravnim djelovanjem globalne gospodarske krize. S gospodarskim oporavkom broj zaposlenika se opet lagano počeo povećavati.</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2001.</w:t>
      </w:r>
      <w:r w:rsidR="0034573D" w:rsidRPr="004E6412">
        <w:rPr>
          <w:rFonts w:ascii="Times New Roman" w:hAnsi="Times New Roman"/>
        </w:rPr>
        <w:t xml:space="preserve"> – </w:t>
      </w:r>
      <w:r w:rsidRPr="004E6412">
        <w:rPr>
          <w:rFonts w:ascii="Times New Roman" w:hAnsi="Times New Roman"/>
        </w:rPr>
        <w:t xml:space="preserve">2011. prosječni trošak radnika u kemijskoj industriji porastao je za 35%. Trošak radne snage u kemijskoj </w:t>
      </w:r>
      <w:r w:rsidR="0034573D" w:rsidRPr="004E6412">
        <w:rPr>
          <w:rFonts w:ascii="Times New Roman" w:hAnsi="Times New Roman"/>
        </w:rPr>
        <w:t xml:space="preserve">je industriji za 56% </w:t>
      </w:r>
      <w:r w:rsidRPr="004E6412">
        <w:rPr>
          <w:rFonts w:ascii="Times New Roman" w:hAnsi="Times New Roman"/>
        </w:rPr>
        <w:t>veći</w:t>
      </w:r>
      <w:r w:rsidR="0034573D" w:rsidRPr="004E6412">
        <w:rPr>
          <w:rFonts w:ascii="Times New Roman" w:hAnsi="Times New Roman"/>
        </w:rPr>
        <w:t xml:space="preserve"> od industrijskog prosjeka u EU</w:t>
      </w:r>
      <w:r w:rsidRPr="004E6412">
        <w:rPr>
          <w:rFonts w:ascii="Times New Roman" w:hAnsi="Times New Roman"/>
        </w:rPr>
        <w:t xml:space="preserve"> te čini 12,5% ukupnih troškova proizvodnje.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Zajedno s povećanjem učinkovitosti radne snage, u djelatnosti su jasno izraž</w:t>
      </w:r>
      <w:r w:rsidR="0034573D" w:rsidRPr="004E6412">
        <w:rPr>
          <w:rFonts w:ascii="Times New Roman" w:hAnsi="Times New Roman"/>
        </w:rPr>
        <w:t xml:space="preserve">ena nastojanja za učinkovitijim </w:t>
      </w:r>
      <w:r w:rsidRPr="004E6412">
        <w:rPr>
          <w:rFonts w:ascii="Times New Roman" w:hAnsi="Times New Roman"/>
        </w:rPr>
        <w:t>korištenjem energije i potrebnih sirovina, koji zajedno predstavljaju najznačajnije troškove u industriji. Najviše se smanjila potrošnja plina</w:t>
      </w:r>
      <w:r w:rsidR="0034573D" w:rsidRPr="004E6412">
        <w:rPr>
          <w:rFonts w:ascii="Times New Roman" w:hAnsi="Times New Roman"/>
        </w:rPr>
        <w:t>,</w:t>
      </w:r>
      <w:r w:rsidRPr="004E6412">
        <w:rPr>
          <w:rFonts w:ascii="Times New Roman" w:hAnsi="Times New Roman"/>
        </w:rPr>
        <w:t xml:space="preserve"> i to za čak 30% u razdoblju 2010.</w:t>
      </w:r>
      <w:r w:rsidR="0034573D" w:rsidRPr="004E6412">
        <w:rPr>
          <w:rFonts w:ascii="Times New Roman" w:hAnsi="Times New Roman"/>
        </w:rPr>
        <w:t xml:space="preserve"> – </w:t>
      </w:r>
      <w:r w:rsidRPr="004E6412">
        <w:rPr>
          <w:rFonts w:ascii="Times New Roman" w:hAnsi="Times New Roman"/>
        </w:rPr>
        <w:t>2012., dok se potrošnja nafte i električne energije smanjila za 18% odnosno 10%. Unatoč ukupnom smanjenju potrošnje energije za 20%, proizvodnja je porasla za preko 70%</w:t>
      </w:r>
      <w:r w:rsidR="0034573D" w:rsidRPr="004E6412">
        <w:rPr>
          <w:rFonts w:ascii="Times New Roman" w:hAnsi="Times New Roman"/>
        </w:rPr>
        <w:t>,</w:t>
      </w:r>
      <w:r w:rsidRPr="004E6412">
        <w:rPr>
          <w:rFonts w:ascii="Times New Roman" w:hAnsi="Times New Roman"/>
        </w:rPr>
        <w:t xml:space="preserve"> što je </w:t>
      </w:r>
      <w:r w:rsidR="0034573D" w:rsidRPr="004E6412">
        <w:rPr>
          <w:rFonts w:ascii="Times New Roman" w:hAnsi="Times New Roman"/>
        </w:rPr>
        <w:t>za učinak imalo</w:t>
      </w:r>
      <w:r w:rsidRPr="004E6412">
        <w:rPr>
          <w:rFonts w:ascii="Times New Roman" w:hAnsi="Times New Roman"/>
        </w:rPr>
        <w:t xml:space="preserve"> smanjenje intenziteta potrošnje energije za 53,4% u promatranom razdoblju. Prosječno smanjenje intenziteta potrošnje energije u promatranom</w:t>
      </w:r>
      <w:r w:rsidR="0034573D" w:rsidRPr="004E6412">
        <w:rPr>
          <w:rFonts w:ascii="Times New Roman" w:hAnsi="Times New Roman"/>
        </w:rPr>
        <w:t>e</w:t>
      </w:r>
      <w:r w:rsidRPr="004E6412">
        <w:rPr>
          <w:rFonts w:ascii="Times New Roman" w:hAnsi="Times New Roman"/>
        </w:rPr>
        <w:t xml:space="preserve"> razdo</w:t>
      </w:r>
      <w:r w:rsidR="0034573D" w:rsidRPr="004E6412">
        <w:rPr>
          <w:rFonts w:ascii="Times New Roman" w:hAnsi="Times New Roman"/>
        </w:rPr>
        <w:t>blju iznosilo je 3,8% godišnje, pri čemu</w:t>
      </w:r>
      <w:r w:rsidRPr="004E6412">
        <w:rPr>
          <w:rFonts w:ascii="Times New Roman" w:hAnsi="Times New Roman"/>
        </w:rPr>
        <w:t xml:space="preserve"> nadmašuje prosjek EU industrije (smanjenje od 2,1% godišnje</w:t>
      </w:r>
      <w:r w:rsidR="0034573D" w:rsidRPr="004E6412">
        <w:rPr>
          <w:rFonts w:ascii="Times New Roman" w:hAnsi="Times New Roman"/>
        </w:rPr>
        <w:t>,</w:t>
      </w:r>
      <w:r w:rsidRPr="004E6412">
        <w:rPr>
          <w:rFonts w:ascii="Times New Roman" w:hAnsi="Times New Roman"/>
        </w:rPr>
        <w:t xml:space="preserve"> odnosno </w:t>
      </w:r>
      <w:r w:rsidR="0034573D" w:rsidRPr="004E6412">
        <w:rPr>
          <w:rFonts w:ascii="Times New Roman" w:hAnsi="Times New Roman"/>
        </w:rPr>
        <w:t xml:space="preserve">ukupno 34,6% </w:t>
      </w:r>
      <w:r w:rsidRPr="004E6412">
        <w:rPr>
          <w:rFonts w:ascii="Times New Roman" w:hAnsi="Times New Roman"/>
        </w:rPr>
        <w:t xml:space="preserve">u promatranom razdoblju).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Godišnji prosjek ulaganja u istraživanje i razvoj na razini EU</w:t>
      </w:r>
      <w:r w:rsidR="0034573D" w:rsidRPr="004E6412">
        <w:rPr>
          <w:rFonts w:ascii="Times New Roman" w:hAnsi="Times New Roman"/>
        </w:rPr>
        <w:t>-a</w:t>
      </w:r>
      <w:r w:rsidRPr="004E6412">
        <w:rPr>
          <w:rFonts w:ascii="Times New Roman" w:hAnsi="Times New Roman"/>
        </w:rPr>
        <w:t xml:space="preserve"> u razdoblju 1991.</w:t>
      </w:r>
      <w:r w:rsidR="0034573D" w:rsidRPr="004E6412">
        <w:rPr>
          <w:rFonts w:ascii="Times New Roman" w:hAnsi="Times New Roman"/>
        </w:rPr>
        <w:t xml:space="preserve"> – </w:t>
      </w:r>
      <w:r w:rsidRPr="004E6412">
        <w:rPr>
          <w:rFonts w:ascii="Times New Roman" w:hAnsi="Times New Roman"/>
        </w:rPr>
        <w:t>2009. iznosio je 7,7 milijardi eura. U navedenom</w:t>
      </w:r>
      <w:r w:rsidR="0034573D" w:rsidRPr="004E6412">
        <w:rPr>
          <w:rFonts w:ascii="Times New Roman" w:hAnsi="Times New Roman"/>
        </w:rPr>
        <w:t>e</w:t>
      </w:r>
      <w:r w:rsidRPr="004E6412">
        <w:rPr>
          <w:rFonts w:ascii="Times New Roman" w:hAnsi="Times New Roman"/>
        </w:rPr>
        <w:t xml:space="preserve"> razdoblju ne postoje velika godišnja odstupanja</w:t>
      </w:r>
      <w:r w:rsidR="0034573D" w:rsidRPr="004E6412">
        <w:rPr>
          <w:rFonts w:ascii="Times New Roman" w:hAnsi="Times New Roman"/>
        </w:rPr>
        <w:t xml:space="preserve">  s obzirom na</w:t>
      </w:r>
      <w:r w:rsidRPr="004E6412">
        <w:rPr>
          <w:rFonts w:ascii="Times New Roman" w:hAnsi="Times New Roman"/>
        </w:rPr>
        <w:t xml:space="preserve"> apsolutni iznos ulaganja. Ipak, promatrajući intenzitet istraživanja i razvoja, odnosno udio investicija u istraživanje i razvoj u odnosu na prihode od prodaje, zamjetno je opadanje ukupnih izdataka u istraživanje i razvoj. </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Japan i SAD </w:t>
      </w:r>
      <w:r w:rsidR="001B41B0" w:rsidRPr="004E6412">
        <w:rPr>
          <w:rFonts w:ascii="Times New Roman" w:hAnsi="Times New Roman"/>
        </w:rPr>
        <w:t xml:space="preserve">značajno </w:t>
      </w:r>
      <w:r w:rsidRPr="004E6412">
        <w:rPr>
          <w:rFonts w:ascii="Times New Roman" w:hAnsi="Times New Roman"/>
        </w:rPr>
        <w:t xml:space="preserve">su ispred </w:t>
      </w:r>
      <w:r w:rsidR="001B41B0" w:rsidRPr="004E6412">
        <w:rPr>
          <w:rFonts w:ascii="Times New Roman" w:hAnsi="Times New Roman"/>
        </w:rPr>
        <w:t xml:space="preserve">zemalja </w:t>
      </w:r>
      <w:r w:rsidRPr="004E6412">
        <w:rPr>
          <w:rFonts w:ascii="Times New Roman" w:hAnsi="Times New Roman"/>
        </w:rPr>
        <w:t xml:space="preserve">EU-a </w:t>
      </w:r>
      <w:r w:rsidR="001B41B0" w:rsidRPr="004E6412">
        <w:rPr>
          <w:rFonts w:ascii="Times New Roman" w:hAnsi="Times New Roman"/>
        </w:rPr>
        <w:t xml:space="preserve">po razini ulaganja u istraživanje i razvoj </w:t>
      </w:r>
      <w:r w:rsidRPr="004E6412">
        <w:rPr>
          <w:rFonts w:ascii="Times New Roman" w:hAnsi="Times New Roman"/>
        </w:rPr>
        <w:t xml:space="preserve">u odnosu na prihode od prodaje. </w:t>
      </w:r>
      <w:r w:rsidR="001B41B0" w:rsidRPr="004E6412">
        <w:rPr>
          <w:rFonts w:ascii="Times New Roman" w:hAnsi="Times New Roman"/>
        </w:rPr>
        <w:t>Prosjek intenz</w:t>
      </w:r>
      <w:r w:rsidRPr="004E6412">
        <w:rPr>
          <w:rFonts w:ascii="Times New Roman" w:hAnsi="Times New Roman"/>
        </w:rPr>
        <w:t xml:space="preserve">iteta istraživanja i razvoja </w:t>
      </w:r>
      <w:r w:rsidR="001B41B0" w:rsidRPr="004E6412">
        <w:rPr>
          <w:rFonts w:ascii="Times New Roman" w:hAnsi="Times New Roman"/>
        </w:rPr>
        <w:t>zemalja</w:t>
      </w:r>
      <w:r w:rsidRPr="004E6412">
        <w:rPr>
          <w:rFonts w:ascii="Times New Roman" w:hAnsi="Times New Roman"/>
        </w:rPr>
        <w:t xml:space="preserve"> EU-a u promatranome je razdoblju iznosio </w:t>
      </w:r>
      <w:r w:rsidR="001B41B0" w:rsidRPr="004E6412">
        <w:rPr>
          <w:rFonts w:ascii="Times New Roman" w:hAnsi="Times New Roman"/>
        </w:rPr>
        <w:t>2% godišnje, dok je prosjek SAD-a iznosio 2,8%, a Japana čak 5,1% godišnje.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1990.</w:t>
      </w:r>
      <w:r w:rsidR="00BF02AB" w:rsidRPr="004E6412">
        <w:rPr>
          <w:rFonts w:ascii="Times New Roman" w:hAnsi="Times New Roman"/>
        </w:rPr>
        <w:t xml:space="preserve"> – </w:t>
      </w:r>
      <w:r w:rsidRPr="004E6412">
        <w:rPr>
          <w:rFonts w:ascii="Times New Roman" w:hAnsi="Times New Roman"/>
        </w:rPr>
        <w:t>2010. emisija stakle</w:t>
      </w:r>
      <w:r w:rsidR="00BF02AB" w:rsidRPr="004E6412">
        <w:rPr>
          <w:rFonts w:ascii="Times New Roman" w:hAnsi="Times New Roman"/>
        </w:rPr>
        <w:t>ničkih plinova u stalnom je padu i odražava</w:t>
      </w:r>
      <w:r w:rsidRPr="004E6412">
        <w:rPr>
          <w:rFonts w:ascii="Times New Roman" w:hAnsi="Times New Roman"/>
        </w:rPr>
        <w:t xml:space="preserve"> uspjeh zacrtane politike zemalja EU</w:t>
      </w:r>
      <w:r w:rsidR="00BF02AB" w:rsidRPr="004E6412">
        <w:rPr>
          <w:rFonts w:ascii="Times New Roman" w:hAnsi="Times New Roman"/>
        </w:rPr>
        <w:t>-a</w:t>
      </w:r>
      <w:r w:rsidRPr="004E6412">
        <w:rPr>
          <w:rFonts w:ascii="Times New Roman" w:hAnsi="Times New Roman"/>
        </w:rPr>
        <w:t xml:space="preserve"> o ograničavanju ispuštanja stakleničkih plinova u atmosferu. U promatranom</w:t>
      </w:r>
      <w:r w:rsidR="00BF02AB" w:rsidRPr="004E6412">
        <w:rPr>
          <w:rFonts w:ascii="Times New Roman" w:hAnsi="Times New Roman"/>
        </w:rPr>
        <w:t>e se razdoblju</w:t>
      </w:r>
      <w:r w:rsidRPr="004E6412">
        <w:rPr>
          <w:rFonts w:ascii="Times New Roman" w:hAnsi="Times New Roman"/>
        </w:rPr>
        <w:t xml:space="preserve"> emisija s</w:t>
      </w:r>
      <w:r w:rsidR="00BF02AB" w:rsidRPr="004E6412">
        <w:rPr>
          <w:rFonts w:ascii="Times New Roman" w:hAnsi="Times New Roman"/>
        </w:rPr>
        <w:t xml:space="preserve">takleničkih plinova smanjila </w:t>
      </w:r>
      <w:r w:rsidRPr="004E6412">
        <w:rPr>
          <w:rFonts w:ascii="Times New Roman" w:hAnsi="Times New Roman"/>
        </w:rPr>
        <w:t xml:space="preserve">za 50%. </w:t>
      </w:r>
    </w:p>
    <w:p w:rsidR="001B41B0" w:rsidRPr="004E6412" w:rsidRDefault="001B41B0" w:rsidP="001B41B0">
      <w:pPr>
        <w:rPr>
          <w:sz w:val="22"/>
        </w:rPr>
      </w:pPr>
    </w:p>
    <w:p w:rsidR="001B41B0" w:rsidRPr="004E6412" w:rsidRDefault="001B41B0" w:rsidP="00D001B9">
      <w:pPr>
        <w:pStyle w:val="Heading3"/>
      </w:pPr>
      <w:bookmarkStart w:id="635" w:name="_Toc366154295"/>
      <w:bookmarkStart w:id="636" w:name="_Toc366154415"/>
      <w:bookmarkStart w:id="637" w:name="_Toc366409958"/>
      <w:bookmarkStart w:id="638" w:name="_Toc372088020"/>
      <w:bookmarkStart w:id="639" w:name="_Toc378069081"/>
      <w:r w:rsidRPr="004E6412">
        <w:t>Stanje i perspektive razvoja u Republici Hrvatskoj</w:t>
      </w:r>
      <w:bookmarkEnd w:id="635"/>
      <w:bookmarkEnd w:id="636"/>
      <w:bookmarkEnd w:id="637"/>
      <w:bookmarkEnd w:id="638"/>
      <w:bookmarkEnd w:id="639"/>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Proizvodnja kemikalija i kemijskih proizvoda je 2012. zapošljavala 7.180 zaposlenika. U 2012. </w:t>
      </w:r>
      <w:r w:rsidR="00EF7BCA" w:rsidRPr="004E6412">
        <w:rPr>
          <w:rFonts w:ascii="Times New Roman" w:hAnsi="Times New Roman"/>
        </w:rPr>
        <w:t xml:space="preserve">godini </w:t>
      </w:r>
      <w:r w:rsidRPr="004E6412">
        <w:rPr>
          <w:rFonts w:ascii="Times New Roman" w:hAnsi="Times New Roman"/>
        </w:rPr>
        <w:t>u ovoj</w:t>
      </w:r>
      <w:r w:rsidR="00EF7BCA" w:rsidRPr="004E6412">
        <w:rPr>
          <w:rFonts w:ascii="Times New Roman" w:hAnsi="Times New Roman"/>
        </w:rPr>
        <w:t xml:space="preserve"> je djelatnosti </w:t>
      </w:r>
      <w:r w:rsidRPr="004E6412">
        <w:rPr>
          <w:rFonts w:ascii="Times New Roman" w:hAnsi="Times New Roman"/>
        </w:rPr>
        <w:t>pos</w:t>
      </w:r>
      <w:r w:rsidR="00BF02AB" w:rsidRPr="004E6412">
        <w:rPr>
          <w:rFonts w:ascii="Times New Roman" w:hAnsi="Times New Roman"/>
        </w:rPr>
        <w:t>lovalo 278 poduzeća. Može se za</w:t>
      </w:r>
      <w:r w:rsidRPr="004E6412">
        <w:rPr>
          <w:rFonts w:ascii="Times New Roman" w:hAnsi="Times New Roman"/>
        </w:rPr>
        <w:t>mijetiti da</w:t>
      </w:r>
      <w:r w:rsidR="00BF02AB" w:rsidRPr="004E6412">
        <w:rPr>
          <w:rFonts w:ascii="Times New Roman" w:hAnsi="Times New Roman"/>
        </w:rPr>
        <w:t>,</w:t>
      </w:r>
      <w:r w:rsidRPr="004E6412">
        <w:rPr>
          <w:rFonts w:ascii="Times New Roman" w:hAnsi="Times New Roman"/>
        </w:rPr>
        <w:t xml:space="preserve"> iako je došlo do povećanja b</w:t>
      </w:r>
      <w:r w:rsidR="00BF02AB" w:rsidRPr="004E6412">
        <w:rPr>
          <w:rFonts w:ascii="Times New Roman" w:hAnsi="Times New Roman"/>
        </w:rPr>
        <w:t xml:space="preserve">roja aktivnih poduzeća, u istome se razdoblju </w:t>
      </w:r>
      <w:r w:rsidRPr="004E6412">
        <w:rPr>
          <w:rFonts w:ascii="Times New Roman" w:hAnsi="Times New Roman"/>
        </w:rPr>
        <w:t>smanjio broj zaposlenih, što znači da je došlo do otpuštanja radnika</w:t>
      </w:r>
      <w:r w:rsidR="00EF7BCA" w:rsidRPr="004E6412">
        <w:rPr>
          <w:rFonts w:ascii="Times New Roman" w:hAnsi="Times New Roman"/>
        </w:rPr>
        <w:t>. T</w:t>
      </w:r>
      <w:r w:rsidRPr="004E6412">
        <w:rPr>
          <w:rFonts w:ascii="Times New Roman" w:hAnsi="Times New Roman"/>
        </w:rPr>
        <w:t xml:space="preserve">ako je u </w:t>
      </w:r>
      <w:r w:rsidR="00EF7BCA" w:rsidRPr="004E6412">
        <w:rPr>
          <w:rFonts w:ascii="Times New Roman" w:hAnsi="Times New Roman"/>
        </w:rPr>
        <w:t xml:space="preserve">2011. uodini u </w:t>
      </w:r>
      <w:r w:rsidRPr="004E6412">
        <w:rPr>
          <w:rFonts w:ascii="Times New Roman" w:hAnsi="Times New Roman"/>
        </w:rPr>
        <w:t xml:space="preserve">prosjeku svako poduzeće zapošljavalo 27,74 radnika, a </w:t>
      </w:r>
      <w:r w:rsidR="00EF7BCA" w:rsidRPr="004E6412">
        <w:rPr>
          <w:rFonts w:ascii="Times New Roman" w:hAnsi="Times New Roman"/>
        </w:rPr>
        <w:t xml:space="preserve">taj se broj </w:t>
      </w:r>
      <w:r w:rsidRPr="004E6412">
        <w:rPr>
          <w:rFonts w:ascii="Times New Roman" w:hAnsi="Times New Roman"/>
        </w:rPr>
        <w:t xml:space="preserve">godinu </w:t>
      </w:r>
      <w:r w:rsidR="00EF7BCA" w:rsidRPr="004E6412">
        <w:rPr>
          <w:rFonts w:ascii="Times New Roman" w:hAnsi="Times New Roman"/>
        </w:rPr>
        <w:t>dana kasnije smanjio na</w:t>
      </w:r>
      <w:r w:rsidRPr="004E6412">
        <w:rPr>
          <w:rFonts w:ascii="Times New Roman" w:hAnsi="Times New Roman"/>
        </w:rPr>
        <w:t xml:space="preserve"> 25,83 radnika.</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Gotovo 80% prihoda cjelokupne djelatnosti stvara tek 13 poduzeća (4,67%). Oko 73% aktive i 75% zaposlenih imaju 23 poduzeća. Gledano prema aktivnostima uvoza i izvoza</w:t>
      </w:r>
      <w:r w:rsidR="00CD3E35" w:rsidRPr="004E6412">
        <w:rPr>
          <w:rFonts w:ascii="Times New Roman" w:hAnsi="Times New Roman"/>
        </w:rPr>
        <w:t xml:space="preserve">, koncentracija djelatnosti </w:t>
      </w:r>
      <w:r w:rsidRPr="004E6412">
        <w:rPr>
          <w:rFonts w:ascii="Times New Roman" w:hAnsi="Times New Roman"/>
        </w:rPr>
        <w:t>relativno</w:t>
      </w:r>
      <w:r w:rsidR="00CD3E35" w:rsidRPr="004E6412">
        <w:rPr>
          <w:rFonts w:ascii="Times New Roman" w:hAnsi="Times New Roman"/>
        </w:rPr>
        <w:t xml:space="preserve"> je jača </w:t>
      </w:r>
      <w:r w:rsidRPr="004E6412">
        <w:rPr>
          <w:rFonts w:ascii="Times New Roman" w:hAnsi="Times New Roman"/>
        </w:rPr>
        <w:t>pa tako 5 poduzeća sudjeluje u 77% ukupnog izvoza dj</w:t>
      </w:r>
      <w:r w:rsidR="00CD3E35" w:rsidRPr="004E6412">
        <w:rPr>
          <w:rFonts w:ascii="Times New Roman" w:hAnsi="Times New Roman"/>
        </w:rPr>
        <w:t>elatnosti, dok je kod uvoza</w:t>
      </w:r>
      <w:r w:rsidRPr="004E6412">
        <w:rPr>
          <w:rFonts w:ascii="Times New Roman" w:hAnsi="Times New Roman"/>
        </w:rPr>
        <w:t xml:space="preserve"> </w:t>
      </w:r>
      <w:r w:rsidR="00CD3E35" w:rsidRPr="004E6412">
        <w:rPr>
          <w:rFonts w:ascii="Times New Roman" w:hAnsi="Times New Roman"/>
        </w:rPr>
        <w:t xml:space="preserve">riječ o </w:t>
      </w:r>
      <w:r w:rsidRPr="004E6412">
        <w:rPr>
          <w:rFonts w:ascii="Times New Roman" w:hAnsi="Times New Roman"/>
        </w:rPr>
        <w:t>9 poduzeća. Prema strukturi vlasn</w:t>
      </w:r>
      <w:r w:rsidR="00CD3E35" w:rsidRPr="004E6412">
        <w:rPr>
          <w:rFonts w:ascii="Times New Roman" w:hAnsi="Times New Roman"/>
        </w:rPr>
        <w:t xml:space="preserve">ištva približno 30% kapitala </w:t>
      </w:r>
      <w:r w:rsidRPr="004E6412">
        <w:rPr>
          <w:rFonts w:ascii="Times New Roman" w:hAnsi="Times New Roman"/>
        </w:rPr>
        <w:t xml:space="preserve">inozemnog </w:t>
      </w:r>
      <w:r w:rsidR="00CD3E35" w:rsidRPr="004E6412">
        <w:rPr>
          <w:rFonts w:ascii="Times New Roman" w:hAnsi="Times New Roman"/>
        </w:rPr>
        <w:t>je porijekla,</w:t>
      </w:r>
      <w:r w:rsidRPr="004E6412">
        <w:rPr>
          <w:rFonts w:ascii="Times New Roman" w:hAnsi="Times New Roman"/>
        </w:rPr>
        <w:t xml:space="preserve"> dok je ostatak u domaćem vlasništvu.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 razdoblju 2010.</w:t>
      </w:r>
      <w:r w:rsidR="00CD3E35" w:rsidRPr="004E6412">
        <w:rPr>
          <w:rFonts w:ascii="Times New Roman" w:hAnsi="Times New Roman"/>
        </w:rPr>
        <w:t xml:space="preserve"> – </w:t>
      </w:r>
      <w:r w:rsidRPr="004E6412">
        <w:rPr>
          <w:rFonts w:ascii="Times New Roman" w:hAnsi="Times New Roman"/>
        </w:rPr>
        <w:t>2012. aktiva na raz</w:t>
      </w:r>
      <w:r w:rsidR="00CD3E35" w:rsidRPr="004E6412">
        <w:rPr>
          <w:rFonts w:ascii="Times New Roman" w:hAnsi="Times New Roman"/>
        </w:rPr>
        <w:t xml:space="preserve">ini industrijske djelatnosti </w:t>
      </w:r>
      <w:r w:rsidRPr="004E6412">
        <w:rPr>
          <w:rFonts w:ascii="Times New Roman" w:hAnsi="Times New Roman"/>
        </w:rPr>
        <w:t xml:space="preserve">smanjila </w:t>
      </w:r>
      <w:r w:rsidR="00CD3E35" w:rsidRPr="004E6412">
        <w:rPr>
          <w:rFonts w:ascii="Times New Roman" w:hAnsi="Times New Roman"/>
        </w:rPr>
        <w:t xml:space="preserve">se </w:t>
      </w:r>
      <w:r w:rsidRPr="004E6412">
        <w:rPr>
          <w:rFonts w:ascii="Times New Roman" w:hAnsi="Times New Roman"/>
        </w:rPr>
        <w:t>za 9,02%. Slična dinamika kretanja zamjetna je i kod kratkotrajne i dugotrajne imovine. U du</w:t>
      </w:r>
      <w:r w:rsidR="00CD3E35" w:rsidRPr="004E6412">
        <w:rPr>
          <w:rFonts w:ascii="Times New Roman" w:hAnsi="Times New Roman"/>
        </w:rPr>
        <w:t>gotrajnoj imovini najveći pad zabilježila je</w:t>
      </w:r>
      <w:r w:rsidRPr="004E6412">
        <w:rPr>
          <w:rFonts w:ascii="Times New Roman" w:hAnsi="Times New Roman"/>
        </w:rPr>
        <w:t xml:space="preserve"> dugotrajna financijska imo</w:t>
      </w:r>
      <w:r w:rsidR="00CD3E35" w:rsidRPr="004E6412">
        <w:rPr>
          <w:rFonts w:ascii="Times New Roman" w:hAnsi="Times New Roman"/>
        </w:rPr>
        <w:t>vina s 2.506.217.809 kuna u 2010. na 672.422.771 kunu</w:t>
      </w:r>
      <w:r w:rsidRPr="004E6412">
        <w:rPr>
          <w:rFonts w:ascii="Times New Roman" w:hAnsi="Times New Roman"/>
        </w:rPr>
        <w:t xml:space="preserve"> u 2012. (pad od 73%), najviše zbog smanjenja udjela kod povezanih poduzetnika (78%).</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2010. </w:t>
      </w:r>
      <w:r w:rsidR="00CD3E35" w:rsidRPr="004E6412">
        <w:rPr>
          <w:rFonts w:ascii="Times New Roman" w:hAnsi="Times New Roman"/>
        </w:rPr>
        <w:t xml:space="preserve">godini </w:t>
      </w:r>
      <w:r w:rsidRPr="004E6412">
        <w:rPr>
          <w:rFonts w:ascii="Times New Roman" w:hAnsi="Times New Roman"/>
        </w:rPr>
        <w:t>u st</w:t>
      </w:r>
      <w:r w:rsidR="00CD3E35" w:rsidRPr="004E6412">
        <w:rPr>
          <w:rFonts w:ascii="Times New Roman" w:hAnsi="Times New Roman"/>
        </w:rPr>
        <w:t>rukturi pasive, najveći udio imali su kapital i rezerve te</w:t>
      </w:r>
      <w:r w:rsidRPr="004E6412">
        <w:rPr>
          <w:rFonts w:ascii="Times New Roman" w:hAnsi="Times New Roman"/>
        </w:rPr>
        <w:t xml:space="preserve"> kratkoročne obveze. U 2012. najveći udio imaju k</w:t>
      </w:r>
      <w:r w:rsidR="00CD3E35" w:rsidRPr="004E6412">
        <w:rPr>
          <w:rFonts w:ascii="Times New Roman" w:hAnsi="Times New Roman"/>
        </w:rPr>
        <w:t>ratkoročne obveze (56%), a potom</w:t>
      </w:r>
      <w:r w:rsidRPr="004E6412">
        <w:rPr>
          <w:rFonts w:ascii="Times New Roman" w:hAnsi="Times New Roman"/>
        </w:rPr>
        <w:t xml:space="preserve"> kapital i rezerve (</w:t>
      </w:r>
      <w:r w:rsidR="00CD3E35" w:rsidRPr="004E6412">
        <w:rPr>
          <w:rFonts w:ascii="Times New Roman" w:hAnsi="Times New Roman"/>
        </w:rPr>
        <w:t xml:space="preserve">31%). Pad kapitala i rezervi </w:t>
      </w:r>
      <w:r w:rsidRPr="004E6412">
        <w:rPr>
          <w:rFonts w:ascii="Times New Roman" w:hAnsi="Times New Roman"/>
        </w:rPr>
        <w:t xml:space="preserve">uzrokovan </w:t>
      </w:r>
      <w:r w:rsidR="00CD3E35" w:rsidRPr="004E6412">
        <w:rPr>
          <w:rFonts w:ascii="Times New Roman" w:hAnsi="Times New Roman"/>
        </w:rPr>
        <w:t xml:space="preserve">je </w:t>
      </w:r>
      <w:r w:rsidRPr="004E6412">
        <w:rPr>
          <w:rFonts w:ascii="Times New Roman" w:hAnsi="Times New Roman"/>
        </w:rPr>
        <w:t>velikim povećanjem prenes</w:t>
      </w:r>
      <w:r w:rsidR="00CD3E35" w:rsidRPr="004E6412">
        <w:rPr>
          <w:rFonts w:ascii="Times New Roman" w:hAnsi="Times New Roman"/>
        </w:rPr>
        <w:t>enog gubitka, sa 458.440.217 kuna u 2010. na 1.454.668.196 kuna</w:t>
      </w:r>
      <w:r w:rsidRPr="004E6412">
        <w:rPr>
          <w:rFonts w:ascii="Times New Roman" w:hAnsi="Times New Roman"/>
        </w:rPr>
        <w:t xml:space="preserve"> u 2012. Također, u promatranom</w:t>
      </w:r>
      <w:r w:rsidR="00CD3E35" w:rsidRPr="004E6412">
        <w:rPr>
          <w:rFonts w:ascii="Times New Roman" w:hAnsi="Times New Roman"/>
        </w:rPr>
        <w:t xml:space="preserve">e je razdoblju djelatnost </w:t>
      </w:r>
      <w:r w:rsidRPr="004E6412">
        <w:rPr>
          <w:rFonts w:ascii="Times New Roman" w:hAnsi="Times New Roman"/>
        </w:rPr>
        <w:t>povećala kumulati</w:t>
      </w:r>
      <w:r w:rsidR="00CD3E35" w:rsidRPr="004E6412">
        <w:rPr>
          <w:rFonts w:ascii="Times New Roman" w:hAnsi="Times New Roman"/>
        </w:rPr>
        <w:t>vni gubitak za gotovo 4 puta, s 250 milijuna kuna u 2010. na 935 milijuna kuna</w:t>
      </w:r>
      <w:r w:rsidRPr="004E6412">
        <w:rPr>
          <w:rFonts w:ascii="Times New Roman" w:hAnsi="Times New Roman"/>
        </w:rPr>
        <w:t xml:space="preserve"> u 2012</w:t>
      </w:r>
      <w:r w:rsidR="00CD3E35" w:rsidRPr="004E6412">
        <w:rPr>
          <w:rFonts w:ascii="Times New Roman" w:hAnsi="Times New Roman"/>
        </w:rPr>
        <w:t xml:space="preserve">. Ukupne dugoročne obveze </w:t>
      </w:r>
      <w:r w:rsidRPr="004E6412">
        <w:rPr>
          <w:rFonts w:ascii="Times New Roman" w:hAnsi="Times New Roman"/>
        </w:rPr>
        <w:t xml:space="preserve">smanjile </w:t>
      </w:r>
      <w:r w:rsidR="00CD3E35" w:rsidRPr="004E6412">
        <w:rPr>
          <w:rFonts w:ascii="Times New Roman" w:hAnsi="Times New Roman"/>
        </w:rPr>
        <w:t xml:space="preserve">su se </w:t>
      </w:r>
      <w:r w:rsidRPr="004E6412">
        <w:rPr>
          <w:rFonts w:ascii="Times New Roman" w:hAnsi="Times New Roman"/>
        </w:rPr>
        <w:t>za 43,47%, ponajviše zbog smanjenja obveza za zajmove, depozite i ostalo za čak 92%. S druge strane, povećale su se kratkoročne obveze za 49%, i to zbog povećanja obveza prema</w:t>
      </w:r>
      <w:r w:rsidR="00CD3E35" w:rsidRPr="004E6412">
        <w:rPr>
          <w:rFonts w:ascii="Times New Roman" w:hAnsi="Times New Roman"/>
        </w:rPr>
        <w:t xml:space="preserve"> povezanim poduzetnicima (72%) te</w:t>
      </w:r>
      <w:r w:rsidRPr="004E6412">
        <w:rPr>
          <w:rFonts w:ascii="Times New Roman" w:hAnsi="Times New Roman"/>
        </w:rPr>
        <w:t xml:space="preserve"> obveza prema bankama i drugim financijskim institucijama (52%).</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Obujam p</w:t>
      </w:r>
      <w:r w:rsidR="00CD3E35" w:rsidRPr="004E6412">
        <w:rPr>
          <w:rFonts w:ascii="Times New Roman" w:hAnsi="Times New Roman"/>
        </w:rPr>
        <w:t xml:space="preserve">oslovanja u ovoj je djelatnosti </w:t>
      </w:r>
      <w:r w:rsidRPr="004E6412">
        <w:rPr>
          <w:rFonts w:ascii="Times New Roman" w:hAnsi="Times New Roman"/>
        </w:rPr>
        <w:t>smanjen u razdoblju 2010.</w:t>
      </w:r>
      <w:r w:rsidR="00CD3E35" w:rsidRPr="004E6412">
        <w:rPr>
          <w:rFonts w:ascii="Times New Roman" w:hAnsi="Times New Roman"/>
        </w:rPr>
        <w:t xml:space="preserve"> – </w:t>
      </w:r>
      <w:r w:rsidRPr="004E6412">
        <w:rPr>
          <w:rFonts w:ascii="Times New Roman" w:hAnsi="Times New Roman"/>
        </w:rPr>
        <w:t>2012</w:t>
      </w:r>
      <w:r w:rsidR="00CD3E35" w:rsidRPr="004E6412">
        <w:rPr>
          <w:rFonts w:ascii="Times New Roman" w:hAnsi="Times New Roman"/>
        </w:rPr>
        <w:t xml:space="preserve">. Poslovni prihodi </w:t>
      </w:r>
      <w:r w:rsidRPr="004E6412">
        <w:rPr>
          <w:rFonts w:ascii="Times New Roman" w:hAnsi="Times New Roman"/>
        </w:rPr>
        <w:t xml:space="preserve">pali </w:t>
      </w:r>
      <w:r w:rsidR="00CD3E35" w:rsidRPr="004E6412">
        <w:rPr>
          <w:rFonts w:ascii="Times New Roman" w:hAnsi="Times New Roman"/>
        </w:rPr>
        <w:t xml:space="preserve">su </w:t>
      </w:r>
      <w:r w:rsidRPr="004E6412">
        <w:rPr>
          <w:rFonts w:ascii="Times New Roman" w:hAnsi="Times New Roman"/>
        </w:rPr>
        <w:t>na razinu ispo</w:t>
      </w:r>
      <w:r w:rsidR="00CD3E35" w:rsidRPr="004E6412">
        <w:rPr>
          <w:rFonts w:ascii="Times New Roman" w:hAnsi="Times New Roman"/>
        </w:rPr>
        <w:t>d razine</w:t>
      </w:r>
      <w:r w:rsidRPr="004E6412">
        <w:rPr>
          <w:rFonts w:ascii="Times New Roman" w:hAnsi="Times New Roman"/>
        </w:rPr>
        <w:t xml:space="preserve"> iz 2010. Poslovni prihodi činili su 98% ukupno ostvarenih prihoda u ovoj djelatnosti, dok su poslovni rashodi činili 89% ukupno ostvarenih rashoda. Nai</w:t>
      </w:r>
      <w:r w:rsidR="00CD3E35" w:rsidRPr="004E6412">
        <w:rPr>
          <w:rFonts w:ascii="Times New Roman" w:hAnsi="Times New Roman"/>
        </w:rPr>
        <w:t>me, u sve tri promatrane godine</w:t>
      </w:r>
      <w:r w:rsidRPr="004E6412">
        <w:rPr>
          <w:rFonts w:ascii="Times New Roman" w:hAnsi="Times New Roman"/>
        </w:rPr>
        <w:t xml:space="preserve"> kum</w:t>
      </w:r>
      <w:r w:rsidR="00CD3E35" w:rsidRPr="004E6412">
        <w:rPr>
          <w:rFonts w:ascii="Times New Roman" w:hAnsi="Times New Roman"/>
        </w:rPr>
        <w:t xml:space="preserve">ulativni gubitak djelatnosti </w:t>
      </w:r>
      <w:r w:rsidRPr="004E6412">
        <w:rPr>
          <w:rFonts w:ascii="Times New Roman" w:hAnsi="Times New Roman"/>
        </w:rPr>
        <w:t xml:space="preserve">znatno </w:t>
      </w:r>
      <w:r w:rsidR="00CD3E35" w:rsidRPr="004E6412">
        <w:rPr>
          <w:rFonts w:ascii="Times New Roman" w:hAnsi="Times New Roman"/>
        </w:rPr>
        <w:t xml:space="preserve">je </w:t>
      </w:r>
      <w:r w:rsidRPr="004E6412">
        <w:rPr>
          <w:rFonts w:ascii="Times New Roman" w:hAnsi="Times New Roman"/>
        </w:rPr>
        <w:t>viši od kumulativne dobiti, pogotovo u zadnjoj promatranoj godini kad</w:t>
      </w:r>
      <w:r w:rsidR="00CD3E35" w:rsidRPr="004E6412">
        <w:rPr>
          <w:rFonts w:ascii="Times New Roman" w:hAnsi="Times New Roman"/>
        </w:rPr>
        <w:t>a</w:t>
      </w:r>
      <w:r w:rsidRPr="004E6412">
        <w:rPr>
          <w:rFonts w:ascii="Times New Roman" w:hAnsi="Times New Roman"/>
        </w:rPr>
        <w:t xml:space="preserve"> ukupni gubitak razdoblja </w:t>
      </w:r>
      <w:r w:rsidR="00CD3E35" w:rsidRPr="004E6412">
        <w:rPr>
          <w:rFonts w:ascii="Times New Roman" w:hAnsi="Times New Roman"/>
        </w:rPr>
        <w:t>iznosi -935.064.830 kuna</w:t>
      </w:r>
      <w:r w:rsidRPr="004E6412">
        <w:rPr>
          <w:rFonts w:ascii="Times New Roman" w:hAnsi="Times New Roman"/>
        </w:rPr>
        <w:t xml:space="preserve">. U odnosu na prvu promatranu godinu, to je povećanje gubitka od 273%. </w:t>
      </w:r>
      <w:r w:rsidR="00150C7C" w:rsidRPr="004E6412">
        <w:rPr>
          <w:rFonts w:ascii="Times New Roman" w:hAnsi="Times New Roman"/>
        </w:rPr>
        <w:t>Gubitak je uzrokovan prestankom proizvodnje plastike u primarnom obliku u tvrtki Dioki.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Tri poddjelatnosti (proizvodnja osnovnih kemikalija, gnojiva i dušičnih spojeva, plastike i sintetičkog kaučuka u primarnim oblicima; proizvodnja pesticida i drugih agrokemijskih proizvoda; proizvodnja boja, lakova i sličnih premaza, grafičkih boja i kitova) najviše pridonose stvaranj</w:t>
      </w:r>
      <w:r w:rsidR="00DF6E97" w:rsidRPr="004E6412">
        <w:rPr>
          <w:rFonts w:ascii="Times New Roman" w:hAnsi="Times New Roman"/>
        </w:rPr>
        <w:t>u dobiti djelatnosti, s</w:t>
      </w:r>
      <w:r w:rsidRPr="004E6412">
        <w:rPr>
          <w:rFonts w:ascii="Times New Roman" w:hAnsi="Times New Roman"/>
        </w:rPr>
        <w:t xml:space="preserve"> ukupno 70%. U stvaranju gubitka, posebno se ističe proizvodnja osnovnih kemikalija, gnojiva i dušičnih spojeva, plastike i sintetičkog kaučuka u primarnim oblicima</w:t>
      </w:r>
      <w:r w:rsidR="00DF6E97" w:rsidRPr="004E6412">
        <w:rPr>
          <w:rFonts w:ascii="Times New Roman" w:hAnsi="Times New Roman"/>
        </w:rPr>
        <w:t>,</w:t>
      </w:r>
      <w:r w:rsidRPr="004E6412">
        <w:rPr>
          <w:rFonts w:ascii="Times New Roman" w:hAnsi="Times New Roman"/>
        </w:rPr>
        <w:t xml:space="preserve"> koja stvara 93% gubitka djelatnosti.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Operativna marža profita je</w:t>
      </w:r>
      <w:r w:rsidR="00DF6E97" w:rsidRPr="004E6412">
        <w:rPr>
          <w:rFonts w:ascii="Times New Roman" w:hAnsi="Times New Roman"/>
        </w:rPr>
        <w:t xml:space="preserve"> u razdoblju</w:t>
      </w:r>
      <w:r w:rsidRPr="004E6412">
        <w:rPr>
          <w:rFonts w:ascii="Times New Roman" w:hAnsi="Times New Roman"/>
        </w:rPr>
        <w:t xml:space="preserve"> 2010.</w:t>
      </w:r>
      <w:r w:rsidR="00DF6E97" w:rsidRPr="004E6412">
        <w:rPr>
          <w:rFonts w:ascii="Times New Roman" w:hAnsi="Times New Roman"/>
        </w:rPr>
        <w:t xml:space="preserve"> – </w:t>
      </w:r>
      <w:r w:rsidRPr="004E6412">
        <w:rPr>
          <w:rFonts w:ascii="Times New Roman" w:hAnsi="Times New Roman"/>
        </w:rPr>
        <w:t xml:space="preserve">2012. smanjena, a u svim je razdobljima negativna što je uzrokovano negativnom vrijednosti neto financijske imovine. Pri tome sve poddjelatnosti osim C20.1 imaju pozitivnu operativnu maržu profita. Vidljiv je pad i stope bruto operativnog viška djelatnosti kao i vrijednosti stvorene dodane vrijednosti. Dobit po zaposlenome </w:t>
      </w:r>
      <w:r w:rsidR="00DF6E97" w:rsidRPr="004E6412">
        <w:rPr>
          <w:rFonts w:ascii="Times New Roman" w:hAnsi="Times New Roman"/>
        </w:rPr>
        <w:t>je u padu</w:t>
      </w:r>
      <w:r w:rsidRPr="004E6412">
        <w:rPr>
          <w:rFonts w:ascii="Times New Roman" w:hAnsi="Times New Roman"/>
        </w:rPr>
        <w:t>, dok je gubitak po zaposlenom</w:t>
      </w:r>
      <w:r w:rsidR="00DF6E97" w:rsidRPr="004E6412">
        <w:rPr>
          <w:rFonts w:ascii="Times New Roman" w:hAnsi="Times New Roman"/>
        </w:rPr>
        <w:t>e u stalnome</w:t>
      </w:r>
      <w:r w:rsidRPr="004E6412">
        <w:rPr>
          <w:rFonts w:ascii="Times New Roman" w:hAnsi="Times New Roman"/>
        </w:rPr>
        <w:t xml:space="preserve"> rastu u promatranom</w:t>
      </w:r>
      <w:r w:rsidR="00DF6E97" w:rsidRPr="004E6412">
        <w:rPr>
          <w:rFonts w:ascii="Times New Roman" w:hAnsi="Times New Roman"/>
        </w:rPr>
        <w:t>e</w:t>
      </w:r>
      <w:r w:rsidRPr="004E6412">
        <w:rPr>
          <w:rFonts w:ascii="Times New Roman" w:hAnsi="Times New Roman"/>
        </w:rPr>
        <w:t xml:space="preserve"> razdoblju na razini industrije.</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Djelatnost u promatranom</w:t>
      </w:r>
      <w:r w:rsidR="00DF6E97" w:rsidRPr="004E6412">
        <w:rPr>
          <w:rFonts w:ascii="Times New Roman" w:hAnsi="Times New Roman"/>
        </w:rPr>
        <w:t>e</w:t>
      </w:r>
      <w:r w:rsidRPr="004E6412">
        <w:rPr>
          <w:rFonts w:ascii="Times New Roman" w:hAnsi="Times New Roman"/>
        </w:rPr>
        <w:t xml:space="preserve"> razdoblju ima nezadovoljavajući stupanj ekonomičnosti, odnosno omj</w:t>
      </w:r>
      <w:r w:rsidR="00DF6E97" w:rsidRPr="004E6412">
        <w:rPr>
          <w:rFonts w:ascii="Times New Roman" w:hAnsi="Times New Roman"/>
        </w:rPr>
        <w:t xml:space="preserve">er ukupnih prihoda i rashoda </w:t>
      </w:r>
      <w:r w:rsidRPr="004E6412">
        <w:rPr>
          <w:rFonts w:ascii="Times New Roman" w:hAnsi="Times New Roman"/>
        </w:rPr>
        <w:t xml:space="preserve">manji </w:t>
      </w:r>
      <w:r w:rsidR="00DF6E97" w:rsidRPr="004E6412">
        <w:rPr>
          <w:rFonts w:ascii="Times New Roman" w:hAnsi="Times New Roman"/>
        </w:rPr>
        <w:t xml:space="preserve">je </w:t>
      </w:r>
      <w:r w:rsidRPr="004E6412">
        <w:rPr>
          <w:rFonts w:ascii="Times New Roman" w:hAnsi="Times New Roman"/>
        </w:rPr>
        <w:t>od jedan. Također, pokazatelj zaduženosti neto dug</w:t>
      </w:r>
      <w:r w:rsidR="00DF6E97" w:rsidRPr="004E6412">
        <w:rPr>
          <w:rFonts w:ascii="Times New Roman" w:hAnsi="Times New Roman"/>
        </w:rPr>
        <w:t>a</w:t>
      </w:r>
      <w:r w:rsidRPr="004E6412">
        <w:rPr>
          <w:rFonts w:ascii="Times New Roman" w:hAnsi="Times New Roman"/>
        </w:rPr>
        <w:t>/</w:t>
      </w:r>
      <w:r w:rsidR="00DF6E97" w:rsidRPr="004E6412">
        <w:rPr>
          <w:rFonts w:ascii="Times New Roman" w:hAnsi="Times New Roman"/>
        </w:rPr>
        <w:t xml:space="preserve">EBITDA na razini djelatnosti </w:t>
      </w:r>
      <w:r w:rsidRPr="004E6412">
        <w:rPr>
          <w:rFonts w:ascii="Times New Roman" w:hAnsi="Times New Roman"/>
        </w:rPr>
        <w:t>u padu</w:t>
      </w:r>
      <w:r w:rsidR="00DF6E97" w:rsidRPr="004E6412">
        <w:rPr>
          <w:rFonts w:ascii="Times New Roman" w:hAnsi="Times New Roman"/>
        </w:rPr>
        <w:t xml:space="preserve"> je</w:t>
      </w:r>
      <w:r w:rsidRPr="004E6412">
        <w:rPr>
          <w:rFonts w:ascii="Times New Roman" w:hAnsi="Times New Roman"/>
        </w:rPr>
        <w:t xml:space="preserve"> u promatranom</w:t>
      </w:r>
      <w:r w:rsidR="00DF6E97" w:rsidRPr="004E6412">
        <w:rPr>
          <w:rFonts w:ascii="Times New Roman" w:hAnsi="Times New Roman"/>
        </w:rPr>
        <w:t>e</w:t>
      </w:r>
      <w:r w:rsidRPr="004E6412">
        <w:rPr>
          <w:rFonts w:ascii="Times New Roman" w:hAnsi="Times New Roman"/>
        </w:rPr>
        <w:t xml:space="preserve"> razdoblju, pri čemu ni jedna od pripadajućih poddjelatnosti nema zadovoljavajuće vrijednosti mjerene ovim pokazateljem. ROA, ROE i ROI bilježe negativne vrijednosti i primjetan pad u promatranom</w:t>
      </w:r>
      <w:r w:rsidR="00DF6E97"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DF6E97"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2012. </w:t>
      </w:r>
      <w:r w:rsidR="001B41B0" w:rsidRPr="004E6412">
        <w:rPr>
          <w:rFonts w:ascii="Times New Roman" w:hAnsi="Times New Roman"/>
        </w:rPr>
        <w:t xml:space="preserve">primjetan </w:t>
      </w:r>
      <w:r w:rsidRPr="004E6412">
        <w:rPr>
          <w:rFonts w:ascii="Times New Roman" w:hAnsi="Times New Roman"/>
        </w:rPr>
        <w:t xml:space="preserve">je </w:t>
      </w:r>
      <w:r w:rsidR="001B41B0" w:rsidRPr="004E6412">
        <w:rPr>
          <w:rFonts w:ascii="Times New Roman" w:hAnsi="Times New Roman"/>
        </w:rPr>
        <w:t>pad vrijednosti izvoza u odnosu na 2011. (pad od 16,77%), ali i uvoza (pad od 26,83%) promatrane djelatnosti. S obzirom da je pad uvoza veći od pada izvoza, na neto razini dolazi do povećanja neto izvoza od 29,07%, koji je</w:t>
      </w:r>
      <w:r w:rsidRPr="004E6412">
        <w:rPr>
          <w:rFonts w:ascii="Times New Roman" w:hAnsi="Times New Roman"/>
        </w:rPr>
        <w:t xml:space="preserve"> u 2012. iznosio 891 milijun kuna</w:t>
      </w:r>
      <w:r w:rsidR="001B41B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Bruto dodana vrijednost djelatnosti u promatranom</w:t>
      </w:r>
      <w:r w:rsidR="004D2D1A" w:rsidRPr="004E6412">
        <w:rPr>
          <w:rFonts w:ascii="Times New Roman" w:hAnsi="Times New Roman"/>
        </w:rPr>
        <w:t>e</w:t>
      </w:r>
      <w:r w:rsidRPr="004E6412">
        <w:rPr>
          <w:rFonts w:ascii="Times New Roman" w:hAnsi="Times New Roman"/>
        </w:rPr>
        <w:t xml:space="preserve"> je razdoblju iskazala ukupni pad od 8,13%, dok se na razini poddjelatnosti izdvaja C20.2 s relativnim porastom od 64,23%. </w:t>
      </w:r>
    </w:p>
    <w:p w:rsidR="001B41B0" w:rsidRPr="004E6412" w:rsidRDefault="001B41B0" w:rsidP="001B41B0">
      <w:pPr>
        <w:rPr>
          <w:sz w:val="22"/>
        </w:rPr>
      </w:pPr>
    </w:p>
    <w:p w:rsidR="001B41B0" w:rsidRPr="004E6412" w:rsidRDefault="001B41B0" w:rsidP="001B41B0">
      <w:pPr>
        <w:pStyle w:val="ListParagraph"/>
        <w:numPr>
          <w:ilvl w:val="0"/>
          <w:numId w:val="33"/>
        </w:numPr>
        <w:tabs>
          <w:tab w:val="left" w:pos="1710"/>
        </w:tabs>
        <w:spacing w:after="0"/>
        <w:jc w:val="both"/>
        <w:rPr>
          <w:rFonts w:ascii="Times New Roman" w:hAnsi="Times New Roman"/>
        </w:rPr>
      </w:pPr>
      <w:r w:rsidRPr="004E6412">
        <w:rPr>
          <w:rFonts w:ascii="Times New Roman" w:hAnsi="Times New Roman"/>
        </w:rPr>
        <w:t>U ukupnoj bruto dodanoj vrijednosti gospodarstva ova djelatnost čini udio od 0,46% u 2011. (podaci za 2012. su nedostupni). Udio bruto dodane vrijednosti djelatnosti u bruto dodanoj vrijednosti prerađivačke</w:t>
      </w:r>
      <w:r w:rsidR="004D2D1A" w:rsidRPr="004E6412">
        <w:rPr>
          <w:rFonts w:ascii="Times New Roman" w:hAnsi="Times New Roman"/>
        </w:rPr>
        <w:t xml:space="preserve"> industrije u stalnome</w:t>
      </w:r>
      <w:r w:rsidRPr="004E6412">
        <w:rPr>
          <w:rFonts w:ascii="Times New Roman" w:hAnsi="Times New Roman"/>
        </w:rPr>
        <w:t xml:space="preserve"> je padu u promatranom</w:t>
      </w:r>
      <w:r w:rsidR="004D2D1A" w:rsidRPr="004E6412">
        <w:rPr>
          <w:rFonts w:ascii="Times New Roman" w:hAnsi="Times New Roman"/>
        </w:rPr>
        <w:t>e</w:t>
      </w:r>
      <w:r w:rsidRPr="004E6412">
        <w:rPr>
          <w:rFonts w:ascii="Times New Roman" w:hAnsi="Times New Roman"/>
        </w:rPr>
        <w:t xml:space="preserve"> razdoblju, što je sukladno apsolutnom smanjenju BDV-a.</w:t>
      </w:r>
    </w:p>
    <w:p w:rsidR="001B41B0" w:rsidRPr="004E6412" w:rsidRDefault="001B41B0" w:rsidP="001B41B0">
      <w:pPr>
        <w:tabs>
          <w:tab w:val="left" w:pos="1710"/>
        </w:tabs>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Ukupni pad prihoda 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iznosio </w:t>
      </w:r>
      <w:r w:rsidR="004D2D1A" w:rsidRPr="004E6412">
        <w:rPr>
          <w:rFonts w:ascii="Times New Roman" w:hAnsi="Times New Roman"/>
        </w:rPr>
        <w:t xml:space="preserve">je </w:t>
      </w:r>
      <w:r w:rsidRPr="004E6412">
        <w:rPr>
          <w:rFonts w:ascii="Times New Roman" w:hAnsi="Times New Roman"/>
        </w:rPr>
        <w:t>3,91%, što je manje od pada bruto dodane vrijednosti. Porast prihoda od dotacija, državnih potpora i subvencija u istom</w:t>
      </w:r>
      <w:r w:rsidR="004D2D1A" w:rsidRPr="004E6412">
        <w:rPr>
          <w:rFonts w:ascii="Times New Roman" w:hAnsi="Times New Roman"/>
        </w:rPr>
        <w:t>e je razdoblju iznosio 2533%, pa</w:t>
      </w:r>
      <w:r w:rsidRPr="004E6412">
        <w:rPr>
          <w:rFonts w:ascii="Times New Roman" w:hAnsi="Times New Roman"/>
        </w:rPr>
        <w:t xml:space="preserve"> u poslj</w:t>
      </w:r>
      <w:r w:rsidR="004D2D1A" w:rsidRPr="004E6412">
        <w:rPr>
          <w:rFonts w:ascii="Times New Roman" w:hAnsi="Times New Roman"/>
        </w:rPr>
        <w:t>ednjoj promatranoj godini iznosi 113 milijuna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887C92">
      <w:pPr>
        <w:pStyle w:val="ListParagraph"/>
        <w:numPr>
          <w:ilvl w:val="0"/>
          <w:numId w:val="33"/>
        </w:numPr>
        <w:spacing w:after="0"/>
        <w:jc w:val="both"/>
        <w:rPr>
          <w:rFonts w:ascii="Times New Roman" w:hAnsi="Times New Roman"/>
        </w:rPr>
      </w:pPr>
      <w:r w:rsidRPr="004E6412">
        <w:rPr>
          <w:rFonts w:ascii="Times New Roman" w:hAnsi="Times New Roman"/>
        </w:rPr>
        <w:t>Proizvodnost rada je u razdoblju 2010.</w:t>
      </w:r>
      <w:r w:rsidR="004D2D1A" w:rsidRPr="004E6412">
        <w:rPr>
          <w:rFonts w:ascii="Times New Roman" w:hAnsi="Times New Roman"/>
        </w:rPr>
        <w:t xml:space="preserve"> – </w:t>
      </w:r>
      <w:r w:rsidRPr="004E6412">
        <w:rPr>
          <w:rFonts w:ascii="Times New Roman" w:hAnsi="Times New Roman"/>
        </w:rPr>
        <w:t>2012.</w:t>
      </w:r>
      <w:r w:rsidR="001378FF" w:rsidRPr="004E6412">
        <w:rPr>
          <w:rFonts w:ascii="Times New Roman" w:hAnsi="Times New Roman"/>
        </w:rPr>
        <w:t xml:space="preserve"> smanjena</w:t>
      </w:r>
      <w:r w:rsidRPr="004E6412">
        <w:rPr>
          <w:rFonts w:ascii="Times New Roman" w:hAnsi="Times New Roman"/>
        </w:rPr>
        <w:t xml:space="preserve"> </w:t>
      </w:r>
      <w:r w:rsidR="00887C92" w:rsidRPr="004E6412">
        <w:rPr>
          <w:rFonts w:ascii="Times New Roman" w:hAnsi="Times New Roman"/>
        </w:rPr>
        <w:t>i to za</w:t>
      </w:r>
      <w:r w:rsidR="004D2D1A" w:rsidRPr="004E6412">
        <w:rPr>
          <w:rFonts w:ascii="Times New Roman" w:hAnsi="Times New Roman"/>
        </w:rPr>
        <w:t xml:space="preserve"> 4,61%. Proizvodnost kapitala</w:t>
      </w:r>
      <w:r w:rsidR="00887C92" w:rsidRPr="004E6412">
        <w:rPr>
          <w:rFonts w:ascii="Times New Roman" w:hAnsi="Times New Roman"/>
        </w:rPr>
        <w:t xml:space="preserve"> smanjena </w:t>
      </w:r>
      <w:r w:rsidR="004D2D1A" w:rsidRPr="004E6412">
        <w:rPr>
          <w:rFonts w:ascii="Times New Roman" w:hAnsi="Times New Roman"/>
        </w:rPr>
        <w:t xml:space="preserve">je </w:t>
      </w:r>
      <w:r w:rsidR="00887C92" w:rsidRPr="004E6412">
        <w:rPr>
          <w:rFonts w:ascii="Times New Roman" w:hAnsi="Times New Roman"/>
        </w:rPr>
        <w:t>za još većih 20,32%. Naime, bruto dod</w:t>
      </w:r>
      <w:r w:rsidR="004D2D1A" w:rsidRPr="004E6412">
        <w:rPr>
          <w:rFonts w:ascii="Times New Roman" w:hAnsi="Times New Roman"/>
        </w:rPr>
        <w:t xml:space="preserve">ana vrijednost </w:t>
      </w:r>
      <w:r w:rsidR="00887C92" w:rsidRPr="004E6412">
        <w:rPr>
          <w:rFonts w:ascii="Times New Roman" w:hAnsi="Times New Roman"/>
        </w:rPr>
        <w:t xml:space="preserve">proporcionalno </w:t>
      </w:r>
      <w:r w:rsidR="004D2D1A" w:rsidRPr="004E6412">
        <w:rPr>
          <w:rFonts w:ascii="Times New Roman" w:hAnsi="Times New Roman"/>
        </w:rPr>
        <w:t xml:space="preserve">je </w:t>
      </w:r>
      <w:r w:rsidR="00887C92" w:rsidRPr="004E6412">
        <w:rPr>
          <w:rFonts w:ascii="Times New Roman" w:hAnsi="Times New Roman"/>
        </w:rPr>
        <w:t>smanjena više nego što je smanjen broj zaposlenih, a istovremeno je djelatnost povećala vrije</w:t>
      </w:r>
      <w:r w:rsidR="00472508" w:rsidRPr="004E6412">
        <w:rPr>
          <w:rFonts w:ascii="Times New Roman" w:hAnsi="Times New Roman"/>
        </w:rPr>
        <w:t>dnost kapitalne imovine za 15%.</w:t>
      </w:r>
      <w:r w:rsidR="00887C92" w:rsidRPr="004E6412">
        <w:rPr>
          <w:rFonts w:ascii="Times New Roman" w:hAnsi="Times New Roman"/>
        </w:rPr>
        <w:t xml:space="preserve"> J</w:t>
      </w:r>
      <w:r w:rsidRPr="004E6412">
        <w:rPr>
          <w:rFonts w:ascii="Times New Roman" w:hAnsi="Times New Roman"/>
        </w:rPr>
        <w:t>edinični troša</w:t>
      </w:r>
      <w:r w:rsidR="004D2D1A" w:rsidRPr="004E6412">
        <w:rPr>
          <w:rFonts w:ascii="Times New Roman" w:hAnsi="Times New Roman"/>
        </w:rPr>
        <w:t>k rada je u trogodišnjem razdoblju porastao na 0,68 kuna</w:t>
      </w:r>
      <w:r w:rsidRPr="004E6412">
        <w:rPr>
          <w:rFonts w:ascii="Times New Roman" w:hAnsi="Times New Roman"/>
        </w:rPr>
        <w:t xml:space="preserve"> uslijed istovremenog povećanja troška rada</w:t>
      </w:r>
      <w:r w:rsidR="00887C92" w:rsidRPr="004E6412">
        <w:rPr>
          <w:rFonts w:ascii="Times New Roman" w:hAnsi="Times New Roman"/>
        </w:rPr>
        <w:t xml:space="preserve"> (unatoč smanjenju zaposlenih)</w:t>
      </w:r>
      <w:r w:rsidRPr="004E6412">
        <w:rPr>
          <w:rFonts w:ascii="Times New Roman" w:hAnsi="Times New Roman"/>
        </w:rPr>
        <w:t xml:space="preserve"> i smanjenja ostvarene bruto dodane vrijednosti.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Udio ulaganja u istraživanje i razvoj djelatnosti u ukupnim ulaganjima u istraživanje razvoj cjelokupne prerađivačke industrije iznosi 4,27%; u apsolutnom iznosu t</w:t>
      </w:r>
      <w:r w:rsidR="004D2D1A" w:rsidRPr="004E6412">
        <w:rPr>
          <w:rFonts w:ascii="Times New Roman" w:hAnsi="Times New Roman"/>
        </w:rPr>
        <w:t xml:space="preserve">o je 17,2 milijuna </w:t>
      </w:r>
      <w:r w:rsidR="004D2D1A" w:rsidRPr="004E6412">
        <w:rPr>
          <w:rFonts w:ascii="Times New Roman" w:hAnsi="Times New Roman"/>
        </w:rPr>
        <w:lastRenderedPageBreak/>
        <w:t>kuna</w:t>
      </w:r>
      <w:r w:rsidRPr="004E6412">
        <w:rPr>
          <w:rFonts w:ascii="Times New Roman" w:hAnsi="Times New Roman"/>
        </w:rPr>
        <w:t>. Odnos ulaganja u istraživanje i razvoj i bruto dodane vrijednosti prerađivačke industrije čini zanemarivih 0,04%.</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Primjetan je pad vrijednosti koeficijenata tekuće, ubrzane i trenutne likvidnosti u razdoblju 2010.</w:t>
      </w:r>
      <w:r w:rsidR="004D2D1A" w:rsidRPr="004E6412">
        <w:rPr>
          <w:rFonts w:ascii="Times New Roman" w:hAnsi="Times New Roman"/>
        </w:rPr>
        <w:t xml:space="preserve"> – </w:t>
      </w:r>
      <w:r w:rsidRPr="004E6412">
        <w:rPr>
          <w:rFonts w:ascii="Times New Roman" w:hAnsi="Times New Roman"/>
        </w:rPr>
        <w:t xml:space="preserve">2012., ukazujući time na nedovoljnu likvidnost djelatnosti. Pojedinačno </w:t>
      </w:r>
      <w:r w:rsidR="004D2D1A" w:rsidRPr="004E6412">
        <w:rPr>
          <w:rFonts w:ascii="Times New Roman" w:hAnsi="Times New Roman"/>
        </w:rPr>
        <w:t xml:space="preserve">je najlošija </w:t>
      </w:r>
      <w:r w:rsidRPr="004E6412">
        <w:rPr>
          <w:rFonts w:ascii="Times New Roman" w:hAnsi="Times New Roman"/>
        </w:rPr>
        <w:t>poddjelatnost C20.1, a primjerenu razinu likvidnosti iskazuje poddjelatnost C20.5. Najveći pad pokazatelja likvidnosti iskazala je poddjelatnost C20.2, dok se za poddjelatnost C20.3 može reći da ima pretjeranu likvidnost u posljednjem promatranom</w:t>
      </w:r>
      <w:r w:rsidR="004D2D1A"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Koeficijent zaduženosti ne ukazuje na visoku zaduženost djelatnosti, ali ukazuje na povećanje zaduženosti u promatranom</w:t>
      </w:r>
      <w:r w:rsidR="004D2D1A" w:rsidRPr="004E6412">
        <w:rPr>
          <w:rFonts w:ascii="Times New Roman" w:hAnsi="Times New Roman"/>
        </w:rPr>
        <w:t>e</w:t>
      </w:r>
      <w:r w:rsidRPr="004E6412">
        <w:rPr>
          <w:rFonts w:ascii="Times New Roman" w:hAnsi="Times New Roman"/>
        </w:rPr>
        <w:t xml:space="preserve"> razdoblju. Na razini djelatnosti zabrinjavaju iznimno niske vrijednosti pok</w:t>
      </w:r>
      <w:r w:rsidR="004D2D1A" w:rsidRPr="004E6412">
        <w:rPr>
          <w:rFonts w:ascii="Times New Roman" w:hAnsi="Times New Roman"/>
        </w:rPr>
        <w:t>rića troškova kamata operativnoj zaradi, što je uzrokovano već spomenutim iznimnim smanjenjem</w:t>
      </w:r>
      <w:r w:rsidRPr="004E6412">
        <w:rPr>
          <w:rFonts w:ascii="Times New Roman" w:hAnsi="Times New Roman"/>
        </w:rPr>
        <w:t xml:space="preserve"> EBITDA.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Broj zaposlenih u ovoj </w:t>
      </w:r>
      <w:r w:rsidR="004D2D1A" w:rsidRPr="004E6412">
        <w:rPr>
          <w:rFonts w:ascii="Times New Roman" w:hAnsi="Times New Roman"/>
        </w:rPr>
        <w:t xml:space="preserve">se </w:t>
      </w:r>
      <w:r w:rsidRPr="004E6412">
        <w:rPr>
          <w:rFonts w:ascii="Times New Roman" w:hAnsi="Times New Roman"/>
        </w:rPr>
        <w:t>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kretao redom 7.455, 7.546 i 7.180, što je pad od 3,69% ili 275 osoba </w:t>
      </w:r>
      <w:r w:rsidR="004D2D1A" w:rsidRPr="004E6412">
        <w:rPr>
          <w:rFonts w:ascii="Times New Roman" w:hAnsi="Times New Roman"/>
        </w:rPr>
        <w:t xml:space="preserve">u </w:t>
      </w:r>
      <w:r w:rsidRPr="004E6412">
        <w:rPr>
          <w:rFonts w:ascii="Times New Roman" w:hAnsi="Times New Roman"/>
        </w:rPr>
        <w:t>promatranom</w:t>
      </w:r>
      <w:r w:rsidR="004D2D1A" w:rsidRPr="004E6412">
        <w:rPr>
          <w:rFonts w:ascii="Times New Roman" w:hAnsi="Times New Roman"/>
        </w:rPr>
        <w:t>e</w:t>
      </w:r>
      <w:r w:rsidRPr="004E6412">
        <w:rPr>
          <w:rFonts w:ascii="Times New Roman" w:hAnsi="Times New Roman"/>
        </w:rPr>
        <w:t xml:space="preserve"> razdoblju. U prerađivačkoj industriji to predstavlja udio od 3,20% ukupnog broja zaposlenih, a u ukupnom gospodarstvu 0,50%.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Najveći pad broja zaposlenih odnosi se na poddjelatnost C20.1 (pad od 3,96%) koja zapošljava najveći broj zaposlenih u ukupnoj djelatnosti (52,73%), dok je blagi rast broja zaposlenih primjetan u djelatnosti C20.4 koja zapošljava 20,88% ukupnog broja zaposlenih u djelatnosti. U ostalim poddjelatnostima dolazi do pada broja zaposlenih.</w:t>
      </w:r>
      <w:r w:rsidR="00150C7C" w:rsidRPr="004E6412">
        <w:rPr>
          <w:rFonts w:ascii="Times New Roman" w:hAnsi="Times New Roman"/>
        </w:rPr>
        <w:t xml:space="preserve"> Prestanak proizvodnje plastike u primarnom obliku u tvrtki Dioki bio je i razlog najvećeg pada broja zaposlenih.</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 razini djelatnosti u razdoblju 2010.</w:t>
      </w:r>
      <w:r w:rsidR="004D2D1A" w:rsidRPr="004E6412">
        <w:rPr>
          <w:rFonts w:ascii="Times New Roman" w:hAnsi="Times New Roman"/>
        </w:rPr>
        <w:t xml:space="preserve"> – </w:t>
      </w:r>
      <w:r w:rsidRPr="004E6412">
        <w:rPr>
          <w:rFonts w:ascii="Times New Roman" w:hAnsi="Times New Roman"/>
        </w:rPr>
        <w:t>2012. dolazi do rasta neto plaća od 7,41%, dok su u prosjeku bruto plaće porasle za 5,03%. Dinamika kretanja neto i bruto plaća na razini poddjelatnosti približno je jednaka prethodno navedenoj, a jedino se izdvaja poddjelatnost C20.2 s rastom neto plać</w:t>
      </w:r>
      <w:r w:rsidR="004D2D1A" w:rsidRPr="004E6412">
        <w:rPr>
          <w:rFonts w:ascii="Times New Roman" w:hAnsi="Times New Roman"/>
        </w:rPr>
        <w:t xml:space="preserve">a od 70,01% i </w:t>
      </w:r>
      <w:r w:rsidRPr="004E6412">
        <w:rPr>
          <w:rFonts w:ascii="Times New Roman" w:hAnsi="Times New Roman"/>
        </w:rPr>
        <w:t>bruto plaća od 62,26%.</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Prema uvidu u strukturu poddjelatnosti, najveći udio mjeren prema aktivi u djelatnosti proizvodnje kemikalija i kemijskih proizvoda ostvaruje poddjelatnost Proizvodnja osnovnih kemikalija, gnojiva i dušičnih spojeva, plastike i sintetičkog kaučuka u primarnim oblicima</w:t>
      </w:r>
      <w:r w:rsidR="004D2D1A" w:rsidRPr="004E6412">
        <w:rPr>
          <w:rFonts w:ascii="Times New Roman" w:hAnsi="Times New Roman"/>
        </w:rPr>
        <w:t>,</w:t>
      </w:r>
      <w:r w:rsidRPr="004E6412">
        <w:rPr>
          <w:rFonts w:ascii="Times New Roman" w:hAnsi="Times New Roman"/>
        </w:rPr>
        <w:t xml:space="preserve"> koja je u 2012. prema svim promatra</w:t>
      </w:r>
      <w:r w:rsidR="004D2D1A" w:rsidRPr="004E6412">
        <w:rPr>
          <w:rFonts w:ascii="Times New Roman" w:hAnsi="Times New Roman"/>
        </w:rPr>
        <w:t>nim vrijednostima sudjelovala s</w:t>
      </w:r>
      <w:r w:rsidRPr="004E6412">
        <w:rPr>
          <w:rFonts w:ascii="Times New Roman" w:hAnsi="Times New Roman"/>
        </w:rPr>
        <w:t xml:space="preserve"> više od 50% udjela. Slijede poddjelatnosti proizvodnj</w:t>
      </w:r>
      <w:r w:rsidR="004D2D1A" w:rsidRPr="004E6412">
        <w:rPr>
          <w:rFonts w:ascii="Times New Roman" w:hAnsi="Times New Roman"/>
        </w:rPr>
        <w:t>e ostalih kemijskih proizvoda s udjelima od 13% i</w:t>
      </w:r>
      <w:r w:rsidRPr="004E6412">
        <w:rPr>
          <w:rFonts w:ascii="Times New Roman" w:hAnsi="Times New Roman"/>
        </w:rPr>
        <w:t xml:space="preserve"> više, te proizvodnja sapuna i deterdženata, sredstava za čišćenje i poliranje, parfema i t</w:t>
      </w:r>
      <w:r w:rsidR="004D2D1A" w:rsidRPr="004E6412">
        <w:rPr>
          <w:rFonts w:ascii="Times New Roman" w:hAnsi="Times New Roman"/>
        </w:rPr>
        <w:t>oaletno-kozmetičkih preparata s</w:t>
      </w:r>
      <w:r w:rsidRPr="004E6412">
        <w:rPr>
          <w:rFonts w:ascii="Times New Roman" w:hAnsi="Times New Roman"/>
        </w:rPr>
        <w:t xml:space="preserve"> udjelima </w:t>
      </w:r>
      <w:r w:rsidR="004D2D1A" w:rsidRPr="004E6412">
        <w:rPr>
          <w:rFonts w:ascii="Times New Roman" w:hAnsi="Times New Roman"/>
        </w:rPr>
        <w:t>od 10% i</w:t>
      </w:r>
      <w:r w:rsidRPr="004E6412">
        <w:rPr>
          <w:rFonts w:ascii="Times New Roman" w:hAnsi="Times New Roman"/>
        </w:rPr>
        <w:t xml:space="preserve"> više. Ostale poddjelatnosti prema udjelima aktive i njenih podstavki čine manje od 10% djelatnosti C20.</w:t>
      </w:r>
    </w:p>
    <w:p w:rsidR="001B41B0" w:rsidRPr="004E6412" w:rsidRDefault="001B41B0" w:rsidP="001B41B0">
      <w:pPr>
        <w:rPr>
          <w:sz w:val="22"/>
        </w:rPr>
      </w:pPr>
    </w:p>
    <w:p w:rsidR="001B41B0" w:rsidRPr="004E6412" w:rsidRDefault="001B41B0" w:rsidP="001B41B0">
      <w:pPr>
        <w:pStyle w:val="ListParagraph"/>
        <w:numPr>
          <w:ilvl w:val="0"/>
          <w:numId w:val="33"/>
        </w:numPr>
        <w:autoSpaceDE w:val="0"/>
        <w:autoSpaceDN w:val="0"/>
        <w:adjustRightInd w:val="0"/>
        <w:spacing w:after="0"/>
        <w:jc w:val="both"/>
        <w:rPr>
          <w:rFonts w:ascii="Times New Roman" w:hAnsi="Times New Roman"/>
        </w:rPr>
      </w:pPr>
      <w:r w:rsidRPr="004E6412">
        <w:rPr>
          <w:rFonts w:ascii="Times New Roman" w:hAnsi="Times New Roman"/>
        </w:rPr>
        <w:t>Proizvodnja kemik</w:t>
      </w:r>
      <w:r w:rsidR="009F6A74" w:rsidRPr="004E6412">
        <w:rPr>
          <w:rFonts w:ascii="Times New Roman" w:hAnsi="Times New Roman"/>
        </w:rPr>
        <w:t xml:space="preserve">alija i kemijskih proizvoda  </w:t>
      </w:r>
      <w:r w:rsidRPr="004E6412">
        <w:rPr>
          <w:rFonts w:ascii="Times New Roman" w:hAnsi="Times New Roman"/>
        </w:rPr>
        <w:t xml:space="preserve">ovisna </w:t>
      </w:r>
      <w:r w:rsidR="009F6A74" w:rsidRPr="004E6412">
        <w:rPr>
          <w:rFonts w:ascii="Times New Roman" w:hAnsi="Times New Roman"/>
        </w:rPr>
        <w:t xml:space="preserve">je </w:t>
      </w:r>
      <w:r w:rsidRPr="004E6412">
        <w:rPr>
          <w:rFonts w:ascii="Times New Roman" w:hAnsi="Times New Roman"/>
        </w:rPr>
        <w:t>o stanju op</w:t>
      </w:r>
      <w:r w:rsidR="009F6A74" w:rsidRPr="004E6412">
        <w:rPr>
          <w:rFonts w:ascii="Times New Roman" w:hAnsi="Times New Roman"/>
        </w:rPr>
        <w:t>ćeg gospodarstva, odnosno stanju</w:t>
      </w:r>
      <w:r w:rsidRPr="004E6412">
        <w:rPr>
          <w:rFonts w:ascii="Times New Roman" w:hAnsi="Times New Roman"/>
        </w:rPr>
        <w:t xml:space="preserve"> u industrijskim granama koje su tradicionalno veliki potrošači kemijskih proizvoda. Trenutno je ova djelatnost izložena velikim t</w:t>
      </w:r>
      <w:r w:rsidR="009F6A74" w:rsidRPr="004E6412">
        <w:rPr>
          <w:rFonts w:ascii="Times New Roman" w:hAnsi="Times New Roman"/>
        </w:rPr>
        <w:t>roškovnim pritiscima uzrokovanima</w:t>
      </w:r>
      <w:r w:rsidRPr="004E6412">
        <w:rPr>
          <w:rFonts w:ascii="Times New Roman" w:hAnsi="Times New Roman"/>
        </w:rPr>
        <w:t xml:space="preserve"> povećanjem cijena ulaznih sirovina, kao i povećanjem cijena energenata na domaćem tržištu. Prosječne plaće </w:t>
      </w:r>
      <w:r w:rsidR="009F6A74" w:rsidRPr="004E6412">
        <w:rPr>
          <w:rFonts w:ascii="Times New Roman" w:hAnsi="Times New Roman"/>
        </w:rPr>
        <w:t xml:space="preserve">zaposlenika u djelatnosti </w:t>
      </w:r>
      <w:r w:rsidRPr="004E6412">
        <w:rPr>
          <w:rFonts w:ascii="Times New Roman" w:hAnsi="Times New Roman"/>
        </w:rPr>
        <w:t xml:space="preserve">smanjile </w:t>
      </w:r>
      <w:r w:rsidR="009F6A74" w:rsidRPr="004E6412">
        <w:rPr>
          <w:rFonts w:ascii="Times New Roman" w:hAnsi="Times New Roman"/>
        </w:rPr>
        <w:t xml:space="preserve">su se </w:t>
      </w:r>
      <w:r w:rsidRPr="004E6412">
        <w:rPr>
          <w:rFonts w:ascii="Times New Roman" w:hAnsi="Times New Roman"/>
        </w:rPr>
        <w:t>u posljednjih nekoliko godina. Na prihodovnu stranu najsnažnije je izražen utj</w:t>
      </w:r>
      <w:r w:rsidR="009F6A74" w:rsidRPr="004E6412">
        <w:rPr>
          <w:rFonts w:ascii="Times New Roman" w:hAnsi="Times New Roman"/>
        </w:rPr>
        <w:t>ecaj smanjene potražnje, kako s</w:t>
      </w:r>
      <w:r w:rsidRPr="004E6412">
        <w:rPr>
          <w:rFonts w:ascii="Times New Roman" w:hAnsi="Times New Roman"/>
        </w:rPr>
        <w:t xml:space="preserve"> domaćeg, tako i sa stranih tržišta. Ova </w:t>
      </w:r>
      <w:r w:rsidR="009F6A74" w:rsidRPr="004E6412">
        <w:rPr>
          <w:rFonts w:ascii="Times New Roman" w:hAnsi="Times New Roman"/>
        </w:rPr>
        <w:t>djelatnost s druge strane ovisi</w:t>
      </w:r>
      <w:r w:rsidRPr="004E6412">
        <w:rPr>
          <w:rFonts w:ascii="Times New Roman" w:hAnsi="Times New Roman"/>
        </w:rPr>
        <w:t xml:space="preserve"> o uvozu sirovina, prvenstveno s tržišta EU</w:t>
      </w:r>
      <w:r w:rsidR="009F6A74" w:rsidRPr="004E6412">
        <w:rPr>
          <w:rFonts w:ascii="Times New Roman" w:hAnsi="Times New Roman"/>
        </w:rPr>
        <w:t>-a</w:t>
      </w:r>
      <w:r w:rsidRPr="004E6412">
        <w:rPr>
          <w:rFonts w:ascii="Times New Roman" w:hAnsi="Times New Roman"/>
        </w:rPr>
        <w:t xml:space="preserve">, budući da u Hrvatskoj ne postoji proizvodnja istih. Troškovi nabave sirovina na inozemnim </w:t>
      </w:r>
      <w:r w:rsidR="009F6A74" w:rsidRPr="004E6412">
        <w:rPr>
          <w:rFonts w:ascii="Times New Roman" w:hAnsi="Times New Roman"/>
        </w:rPr>
        <w:lastRenderedPageBreak/>
        <w:t>tržištima,</w:t>
      </w:r>
      <w:r w:rsidRPr="004E6412">
        <w:rPr>
          <w:rFonts w:ascii="Times New Roman" w:hAnsi="Times New Roman"/>
        </w:rPr>
        <w:t xml:space="preserve"> kao i trošak transporta do krajnjih potrošača</w:t>
      </w:r>
      <w:r w:rsidR="009F6A74" w:rsidRPr="004E6412">
        <w:rPr>
          <w:rFonts w:ascii="Times New Roman" w:hAnsi="Times New Roman"/>
        </w:rPr>
        <w:t>,</w:t>
      </w:r>
      <w:r w:rsidRPr="004E6412">
        <w:rPr>
          <w:rFonts w:ascii="Times New Roman" w:hAnsi="Times New Roman"/>
        </w:rPr>
        <w:t xml:space="preserve"> dodatno opterećuju marže proizvođača kemikalija.</w:t>
      </w:r>
    </w:p>
    <w:p w:rsidR="001B41B0" w:rsidRPr="004E6412" w:rsidRDefault="001B41B0" w:rsidP="001B41B0">
      <w:pPr>
        <w:rPr>
          <w:sz w:val="22"/>
        </w:rPr>
      </w:pPr>
    </w:p>
    <w:p w:rsidR="003D3044" w:rsidRPr="004E6412" w:rsidRDefault="001B41B0" w:rsidP="001B41B0">
      <w:pPr>
        <w:pStyle w:val="ListParagraph"/>
        <w:numPr>
          <w:ilvl w:val="0"/>
          <w:numId w:val="33"/>
        </w:numPr>
        <w:spacing w:after="0"/>
        <w:jc w:val="both"/>
        <w:rPr>
          <w:rFonts w:ascii="Times New Roman" w:hAnsi="Times New Roman"/>
          <w:szCs w:val="24"/>
        </w:rPr>
      </w:pPr>
      <w:r w:rsidRPr="004E6412">
        <w:rPr>
          <w:rFonts w:ascii="Times New Roman" w:hAnsi="Times New Roman"/>
        </w:rPr>
        <w:t xml:space="preserve">Glavno ograničenje razvoja ove djelatnosti u Hrvatskoj je primjena relativno zastarjele tehnologije u odnosu na konkurente u EU. </w:t>
      </w:r>
      <w:r w:rsidR="003D3044" w:rsidRPr="004E6412">
        <w:rPr>
          <w:rFonts w:ascii="Times New Roman" w:hAnsi="Times New Roman"/>
        </w:rPr>
        <w:t>Djelatnost opterećuju i visoki troškovi vezani uz usklađivanje sa zakonodavstvom EU. Kako su u postupku pristupanja EU proizvođači prilagodili svoju proizvodnju standardima EU, najznačajnija kapitalna ulaganja bila su u postrojenja za smanjenje štetnih emisija u okoliš.</w:t>
      </w:r>
    </w:p>
    <w:p w:rsidR="003D3044" w:rsidRPr="004E6412" w:rsidRDefault="003D3044" w:rsidP="003D3044">
      <w:pPr>
        <w:pStyle w:val="ListParagraph"/>
        <w:rPr>
          <w:rFonts w:ascii="Times New Roman" w:hAnsi="Times New Roman"/>
          <w:szCs w:val="24"/>
        </w:rPr>
      </w:pPr>
    </w:p>
    <w:p w:rsidR="001B41B0" w:rsidRPr="004E6412" w:rsidRDefault="003D3044" w:rsidP="003D3044">
      <w:pPr>
        <w:pStyle w:val="ListParagraph"/>
        <w:spacing w:after="0"/>
        <w:jc w:val="both"/>
        <w:rPr>
          <w:rFonts w:ascii="Times New Roman" w:hAnsi="Times New Roman"/>
          <w:szCs w:val="24"/>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szCs w:val="24"/>
        </w:rPr>
        <w:t xml:space="preserve"> </w:t>
      </w:r>
    </w:p>
    <w:p w:rsidR="001B41B0" w:rsidRPr="004E6412" w:rsidRDefault="001B41B0" w:rsidP="001B41B0">
      <w:pPr>
        <w:rPr>
          <w:szCs w:val="24"/>
        </w:rPr>
      </w:pPr>
    </w:p>
    <w:p w:rsidR="001B41B0" w:rsidRPr="004E6412" w:rsidRDefault="001B41B0" w:rsidP="00D001B9">
      <w:pPr>
        <w:pStyle w:val="Heading3"/>
      </w:pPr>
      <w:bookmarkStart w:id="640" w:name="_Toc372088021"/>
      <w:bookmarkStart w:id="641" w:name="_Toc378069082"/>
      <w:bookmarkStart w:id="642" w:name="_Toc365992550"/>
      <w:bookmarkStart w:id="643" w:name="_Toc366152987"/>
      <w:bookmarkStart w:id="644" w:name="_Toc366154296"/>
      <w:bookmarkStart w:id="645" w:name="_Toc366154416"/>
      <w:bookmarkStart w:id="646" w:name="_Toc366409959"/>
      <w:r w:rsidRPr="004E6412">
        <w:t>Zaključni prikaz pokazatelja</w:t>
      </w:r>
      <w:bookmarkEnd w:id="640"/>
      <w:bookmarkEnd w:id="641"/>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47" w:name="_Toc372088153"/>
      <w:bookmarkStart w:id="648" w:name="_Toc377551088"/>
      <w:bookmarkStart w:id="649" w:name="_Toc37763527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76</w:t>
      </w:r>
      <w:r w:rsidRPr="007D0CFD">
        <w:rPr>
          <w:rStyle w:val="IntenseEmphasis"/>
          <w:b/>
          <w:bCs w:val="0"/>
          <w:iCs w:val="0"/>
          <w:color w:val="548DD4" w:themeColor="text2" w:themeTint="99"/>
          <w:sz w:val="20"/>
        </w:rPr>
        <w:t>. Kvantitativni pokazatelji (C20)</w:t>
      </w:r>
      <w:bookmarkEnd w:id="647"/>
      <w:bookmarkEnd w:id="648"/>
      <w:bookmarkEnd w:id="64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109,10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107,80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105,01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99,4</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92,8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7.455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7.546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7.180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7.378.692.433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7.805.196.311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7.089.978.410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191.839.037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359.873.424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74.178.673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989.764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1.034.349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987.462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1.168.026.921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1.346.438.966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1.073.102.013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24.017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32.409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22.131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57.579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78.145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152.363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1,219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1,288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1,387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690.907.509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874.096.653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891.754.119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52,03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45,06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0,444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0,593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9F6A74"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2,35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0,901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0,874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0,838</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156.677</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178.431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149.457</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0,67</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50" w:name="_Toc372088154"/>
      <w:bookmarkStart w:id="651" w:name="_Toc377551089"/>
      <w:bookmarkStart w:id="652" w:name="_Toc37763527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77</w:t>
      </w:r>
      <w:r w:rsidRPr="007D0CFD">
        <w:rPr>
          <w:rStyle w:val="IntenseEmphasis"/>
          <w:b/>
          <w:bCs w:val="0"/>
          <w:iCs w:val="0"/>
          <w:color w:val="548DD4" w:themeColor="text2" w:themeTint="99"/>
          <w:sz w:val="20"/>
        </w:rPr>
        <w:t>. Kvalitativni pokazatelji (C20)</w:t>
      </w:r>
      <w:bookmarkEnd w:id="650"/>
      <w:bookmarkEnd w:id="651"/>
      <w:bookmarkEnd w:id="65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proizvodnih</w:t>
            </w:r>
            <w:r w:rsidR="009F6A74" w:rsidRPr="004E6412">
              <w:rPr>
                <w:b/>
                <w:sz w:val="22"/>
              </w:rPr>
              <w:t xml:space="preserve"> čimbenika</w:t>
            </w:r>
          </w:p>
        </w:tc>
        <w:tc>
          <w:tcPr>
            <w:tcW w:w="3110" w:type="pct"/>
            <w:shd w:val="clear" w:color="auto" w:fill="auto"/>
          </w:tcPr>
          <w:p w:rsidR="001B41B0" w:rsidRPr="004E6412" w:rsidRDefault="001B41B0" w:rsidP="0097195F">
            <w:pPr>
              <w:spacing w:line="240" w:lineRule="auto"/>
              <w:rPr>
                <w:sz w:val="22"/>
              </w:rPr>
            </w:pPr>
            <w:r w:rsidRPr="004E6412">
              <w:rPr>
                <w:sz w:val="22"/>
              </w:rPr>
              <w:t>Dostupnost radne snage i kapitala je zadovoljavajuća. U Hrvatskoj ne postoji proizvodnja potrebnih proizvodnih resursa.</w:t>
            </w:r>
            <w:r w:rsidRPr="004E6412">
              <w:rPr>
                <w:rStyle w:val="Heading3Char"/>
                <w:rFonts w:eastAsia="Calibri"/>
                <w:sz w:val="22"/>
              </w:rPr>
              <w:t xml:space="preserve"> </w:t>
            </w:r>
            <w:r w:rsidRPr="004E6412">
              <w:rPr>
                <w:rStyle w:val="FootnoteReference"/>
                <w:sz w:val="22"/>
              </w:rPr>
              <w:footnoteReference w:id="6"/>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Većinom proizvodnja intermedijarnih proizvoda namijenjenih indust</w:t>
            </w:r>
            <w:r w:rsidR="009F6A74" w:rsidRPr="004E6412">
              <w:rPr>
                <w:sz w:val="22"/>
              </w:rPr>
              <w:t>rijskim potrošačima, te krajnjih</w:t>
            </w:r>
            <w:r w:rsidRPr="004E6412">
              <w:rPr>
                <w:sz w:val="22"/>
              </w:rPr>
              <w:t xml:space="preserve"> proizvoda za tržište široke potrošnje.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Dobra tehnološka opremljenost.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Visoki zahtjevi po pitanju poštivanja ekoloških standarda u proizvodnji.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visoka koncentracija. 13 poduzeća ostvaruje 80% prihoda djelatnosti. 23 poduzeća zapošljava</w:t>
            </w:r>
            <w:r w:rsidR="009F6A74" w:rsidRPr="004E6412">
              <w:rPr>
                <w:sz w:val="22"/>
              </w:rPr>
              <w:t>ju</w:t>
            </w:r>
            <w:r w:rsidRPr="004E6412">
              <w:rPr>
                <w:sz w:val="22"/>
              </w:rPr>
              <w:t xml:space="preserve"> 80% radne snage </w:t>
            </w:r>
            <w:r w:rsidR="009F6A74" w:rsidRPr="004E6412">
              <w:rPr>
                <w:sz w:val="22"/>
              </w:rPr>
              <w:t xml:space="preserve">u okviru </w:t>
            </w:r>
            <w:r w:rsidRPr="004E6412">
              <w:rPr>
                <w:sz w:val="22"/>
              </w:rPr>
              <w:t>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i zapošljavanja postoji, no ovisi o oporavku djelatnosti koje predstavljaju glavne kupce te kretanju potražnje na tržištima EU</w:t>
            </w:r>
            <w:r w:rsidR="009F6A74" w:rsidRPr="004E6412">
              <w:rPr>
                <w:sz w:val="22"/>
              </w:rPr>
              <w:t>-a</w:t>
            </w:r>
            <w:r w:rsidRPr="004E6412">
              <w:rPr>
                <w:sz w:val="22"/>
              </w:rPr>
              <w:t>. Vrlo velike gubitke ostvaruje poddjelatnost C20.1 Proizvodnja osnovnih kemikalija, gnojiva i dušičnih spojeva, plastike i sintetičkoga kaučuka u primarnim oblicima.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pPr>
    </w:p>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53" w:name="_Toc372088022"/>
      <w:bookmarkStart w:id="654" w:name="_Toc378069083"/>
      <w:r w:rsidRPr="004E6412">
        <w:lastRenderedPageBreak/>
        <w:t>C21 Proizvodnja osnovnih farmaceutskih proizvoda i farmaceutskih pripravaka</w:t>
      </w:r>
      <w:bookmarkEnd w:id="642"/>
      <w:bookmarkEnd w:id="643"/>
      <w:bookmarkEnd w:id="644"/>
      <w:bookmarkEnd w:id="645"/>
      <w:bookmarkEnd w:id="646"/>
      <w:bookmarkEnd w:id="653"/>
      <w:bookmarkEnd w:id="654"/>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rFonts w:eastAsia="Times New Roman"/>
          <w:sz w:val="22"/>
          <w:lang w:eastAsia="hr-HR"/>
        </w:rPr>
        <w:t>Djelatnost Proizvodnja osnovnih farma</w:t>
      </w:r>
      <w:r w:rsidR="00FA7A57" w:rsidRPr="004E6412">
        <w:rPr>
          <w:rFonts w:eastAsia="Times New Roman"/>
          <w:sz w:val="22"/>
          <w:lang w:eastAsia="hr-HR"/>
        </w:rPr>
        <w:t>ceutskih proizvoda i proizvodnja</w:t>
      </w:r>
      <w:r w:rsidRPr="004E6412">
        <w:rPr>
          <w:rFonts w:eastAsia="Times New Roman"/>
          <w:sz w:val="22"/>
          <w:lang w:eastAsia="hr-HR"/>
        </w:rPr>
        <w:t xml:space="preserve"> farmaceutskih pripravaka (C21) obuhvaća poddjelatnosti proizvodnje osnovnih farmaceutskih proizvoda (C21.1) i proizvodnje farmaceutskih pripravaka (C21.2). </w:t>
      </w:r>
    </w:p>
    <w:p w:rsidR="001B41B0" w:rsidRPr="004E6412" w:rsidRDefault="001B41B0" w:rsidP="001B41B0">
      <w:pPr>
        <w:rPr>
          <w:rFonts w:eastAsia="Times New Roman"/>
          <w:sz w:val="22"/>
          <w:lang w:eastAsia="hr-HR"/>
        </w:rPr>
      </w:pPr>
    </w:p>
    <w:p w:rsidR="001B41B0" w:rsidRPr="004E6412" w:rsidRDefault="001B41B0" w:rsidP="00D001B9">
      <w:pPr>
        <w:pStyle w:val="Heading3"/>
      </w:pPr>
      <w:bookmarkStart w:id="655" w:name="_Toc365992551"/>
      <w:bookmarkStart w:id="656" w:name="_Toc366154297"/>
      <w:bookmarkStart w:id="657" w:name="_Toc366154417"/>
      <w:bookmarkStart w:id="658" w:name="_Toc366409960"/>
      <w:bookmarkStart w:id="659" w:name="_Toc372088023"/>
      <w:bookmarkStart w:id="660" w:name="_Toc378069084"/>
      <w:r w:rsidRPr="004E6412">
        <w:t>Globalni trendovi razvoja</w:t>
      </w:r>
      <w:bookmarkEnd w:id="655"/>
      <w:bookmarkEnd w:id="656"/>
      <w:bookmarkEnd w:id="657"/>
      <w:bookmarkEnd w:id="658"/>
      <w:bookmarkEnd w:id="659"/>
      <w:bookmarkEnd w:id="660"/>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Financijski, demografski i socijalni pritisci znatno povećavaju troškove zdravstvene zaštite. Potražnja za farmaceutskim proizvodima i farma</w:t>
      </w:r>
      <w:r w:rsidR="00FA7A57" w:rsidRPr="004E6412">
        <w:rPr>
          <w:rFonts w:ascii="Times New Roman" w:eastAsia="Times New Roman" w:hAnsi="Times New Roman"/>
          <w:lang w:eastAsia="hr-HR"/>
        </w:rPr>
        <w:t>ceutskim pripravcima raste proporcionalno s</w:t>
      </w:r>
      <w:r w:rsidRPr="004E6412">
        <w:rPr>
          <w:rFonts w:ascii="Times New Roman" w:eastAsia="Times New Roman" w:hAnsi="Times New Roman"/>
          <w:lang w:eastAsia="hr-HR"/>
        </w:rPr>
        <w:t xml:space="preserve"> broj</w:t>
      </w:r>
      <w:r w:rsidR="00FA7A57" w:rsidRPr="004E6412">
        <w:rPr>
          <w:rFonts w:ascii="Times New Roman" w:eastAsia="Times New Roman" w:hAnsi="Times New Roman"/>
          <w:lang w:eastAsia="hr-HR"/>
        </w:rPr>
        <w:t>em stanovnika i</w:t>
      </w:r>
      <w:r w:rsidRPr="004E6412">
        <w:rPr>
          <w:rFonts w:ascii="Times New Roman" w:eastAsia="Times New Roman" w:hAnsi="Times New Roman"/>
          <w:lang w:eastAsia="hr-HR"/>
        </w:rPr>
        <w:t xml:space="preserve"> starenjem stanovništva. Usporava se rast vodećih svjetskih farmaceutskih proizvođača, ali i povećava konkurencija. Brzorastući proizvođači farmaceutskih proizvoda i farmaceutskih pripravaka u Brazilu, Indiji i Kini postaju glavni generatori rasta globalne proizvodnje osnovnih farmaceutskih proizvoda i farmaceutskih pripravaka. </w:t>
      </w:r>
    </w:p>
    <w:p w:rsidR="001B41B0" w:rsidRPr="004E6412" w:rsidRDefault="001B41B0" w:rsidP="001B41B0">
      <w:pPr>
        <w:rPr>
          <w:rFonts w:eastAsia="Times New Roman"/>
          <w:sz w:val="22"/>
          <w:lang w:eastAsia="hr-HR"/>
        </w:rPr>
      </w:pPr>
    </w:p>
    <w:p w:rsidR="001B41B0" w:rsidRPr="004E6412" w:rsidRDefault="00FA7A57"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Predviđa se ubrzani</w:t>
      </w:r>
      <w:r w:rsidR="001B41B0" w:rsidRPr="004E6412">
        <w:rPr>
          <w:rFonts w:ascii="Times New Roman" w:eastAsia="Times New Roman" w:hAnsi="Times New Roman"/>
          <w:lang w:eastAsia="hr-HR"/>
        </w:rPr>
        <w:t xml:space="preserve"> rast upotrebe generičkih lijekova i zbog velikog broja isteka patenata u SAD-u i zbog povećane potrošnje u brzorastućim, većinom generičkim tržištima. Veće su kontrole cijena i većina zrelih ekonomija već koristi izravne i neizravne kontrole cijena. Zemlje uvode zakone i pravila kojima uređuju </w:t>
      </w:r>
      <w:r w:rsidRPr="004E6412">
        <w:rPr>
          <w:rFonts w:ascii="Times New Roman" w:eastAsia="Times New Roman" w:hAnsi="Times New Roman"/>
          <w:lang w:eastAsia="hr-HR"/>
        </w:rPr>
        <w:t>suradnju farmaceutskih tvrtki i zdravstvenih stručnjaka</w:t>
      </w:r>
      <w:r w:rsidR="001B41B0" w:rsidRPr="004E6412">
        <w:rPr>
          <w:rFonts w:ascii="Times New Roman" w:eastAsia="Times New Roman" w:hAnsi="Times New Roman"/>
          <w:lang w:eastAsia="hr-HR"/>
        </w:rPr>
        <w:t xml:space="preserve"> koji su isto kupci, </w:t>
      </w:r>
      <w:r w:rsidRPr="004E6412">
        <w:rPr>
          <w:rFonts w:ascii="Times New Roman" w:eastAsia="Times New Roman" w:hAnsi="Times New Roman"/>
          <w:lang w:eastAsia="hr-HR"/>
        </w:rPr>
        <w:t xml:space="preserve">pritom </w:t>
      </w:r>
      <w:r w:rsidR="001B41B0" w:rsidRPr="004E6412">
        <w:rPr>
          <w:rFonts w:ascii="Times New Roman" w:eastAsia="Times New Roman" w:hAnsi="Times New Roman"/>
          <w:lang w:eastAsia="hr-HR"/>
        </w:rPr>
        <w:t xml:space="preserve">vodeći računa o korupciji. Svako poduzeće koje želi opstati do 2020. mora </w:t>
      </w:r>
      <w:r w:rsidRPr="004E6412">
        <w:rPr>
          <w:rFonts w:ascii="Times New Roman" w:eastAsia="Times New Roman" w:hAnsi="Times New Roman"/>
          <w:lang w:eastAsia="hr-HR"/>
        </w:rPr>
        <w:t>po</w:t>
      </w:r>
      <w:r w:rsidR="001B41B0" w:rsidRPr="004E6412">
        <w:rPr>
          <w:rFonts w:ascii="Times New Roman" w:eastAsia="Times New Roman" w:hAnsi="Times New Roman"/>
          <w:lang w:eastAsia="hr-HR"/>
        </w:rPr>
        <w:t>nuditi višu vrijednost bez povećavanja cijena ili mora dokazati da smanjuje zdravstvene troškove na drugom</w:t>
      </w:r>
      <w:r w:rsidRPr="004E6412">
        <w:rPr>
          <w:rFonts w:ascii="Times New Roman" w:eastAsia="Times New Roman" w:hAnsi="Times New Roman"/>
          <w:lang w:eastAsia="hr-HR"/>
        </w:rPr>
        <w:t>e</w:t>
      </w:r>
      <w:r w:rsidR="001B41B0" w:rsidRPr="004E6412">
        <w:rPr>
          <w:rFonts w:ascii="Times New Roman" w:eastAsia="Times New Roman" w:hAnsi="Times New Roman"/>
          <w:lang w:eastAsia="hr-HR"/>
        </w:rPr>
        <w:t xml:space="preserve"> području z</w:t>
      </w:r>
      <w:r w:rsidRPr="004E6412">
        <w:rPr>
          <w:rFonts w:ascii="Times New Roman" w:eastAsia="Times New Roman" w:hAnsi="Times New Roman"/>
          <w:lang w:eastAsia="hr-HR"/>
        </w:rPr>
        <w:t>dravstvene zaštite kako bi moglo</w:t>
      </w:r>
      <w:r w:rsidR="001B41B0" w:rsidRPr="004E6412">
        <w:rPr>
          <w:rFonts w:ascii="Times New Roman" w:eastAsia="Times New Roman" w:hAnsi="Times New Roman"/>
          <w:lang w:eastAsia="hr-HR"/>
        </w:rPr>
        <w:t xml:space="preserve"> naplaćivati višu cijenu.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Trend produktivnosti ulaganja u istraživanje i razvoj je zabrinjavajući. </w:t>
      </w:r>
      <w:r w:rsidR="00FA7A57" w:rsidRPr="004E6412">
        <w:rPr>
          <w:rFonts w:ascii="Times New Roman" w:eastAsia="Times New Roman" w:hAnsi="Times New Roman"/>
          <w:lang w:eastAsia="hr-HR"/>
        </w:rPr>
        <w:t>Potrebno je barem jedno desetljeće za</w:t>
      </w:r>
      <w:r w:rsidRPr="004E6412">
        <w:rPr>
          <w:rFonts w:ascii="Times New Roman" w:eastAsia="Times New Roman" w:hAnsi="Times New Roman"/>
          <w:lang w:eastAsia="hr-HR"/>
        </w:rPr>
        <w:t xml:space="preserve"> razvoj novog lijeka, a prosječni trošak po odobrenom</w:t>
      </w:r>
      <w:r w:rsidR="00FA7A57" w:rsidRPr="004E6412">
        <w:rPr>
          <w:rFonts w:ascii="Times New Roman" w:eastAsia="Times New Roman" w:hAnsi="Times New Roman"/>
          <w:lang w:eastAsia="hr-HR"/>
        </w:rPr>
        <w:t>e lijeku kreće se između 2,3 milijarde</w:t>
      </w:r>
      <w:r w:rsidRPr="004E6412">
        <w:rPr>
          <w:rFonts w:ascii="Times New Roman" w:eastAsia="Times New Roman" w:hAnsi="Times New Roman"/>
          <w:lang w:eastAsia="hr-HR"/>
        </w:rPr>
        <w:t xml:space="preserve"> USD i 4,9 milijardi USD. Za razvoj proizvodnje osnovnih farmaceutskih proizvoda i farmaceutskih pripravaka od velike je važnosti i zaštita inovacija, odnosno intelektualnog vlasništva. Učinkovit sustav zaštite prava vlasništva omogućuje farmaceutske inovacije jer nudi potreban poticaj za istraživanje i razvoj novih lijekova. </w:t>
      </w:r>
    </w:p>
    <w:p w:rsidR="001B41B0" w:rsidRPr="004E6412" w:rsidRDefault="001B41B0" w:rsidP="00D001B9">
      <w:pPr>
        <w:pStyle w:val="Heading3"/>
      </w:pPr>
      <w:bookmarkStart w:id="661" w:name="_Toc365992552"/>
      <w:bookmarkStart w:id="662" w:name="_Toc366154298"/>
      <w:bookmarkStart w:id="663" w:name="_Toc366154418"/>
      <w:bookmarkStart w:id="664" w:name="_Toc366409961"/>
    </w:p>
    <w:p w:rsidR="001B41B0" w:rsidRPr="004E6412" w:rsidRDefault="001B41B0" w:rsidP="00D001B9">
      <w:pPr>
        <w:pStyle w:val="Heading3"/>
      </w:pPr>
      <w:bookmarkStart w:id="665" w:name="_Toc372088024"/>
      <w:bookmarkStart w:id="666" w:name="_Toc378069085"/>
      <w:r w:rsidRPr="004E6412">
        <w:t>Trendovi razvoja u Europskoj uniji</w:t>
      </w:r>
      <w:bookmarkEnd w:id="661"/>
      <w:bookmarkEnd w:id="662"/>
      <w:bookmarkEnd w:id="663"/>
      <w:bookmarkEnd w:id="664"/>
      <w:bookmarkEnd w:id="665"/>
      <w:bookmarkEnd w:id="666"/>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Farmaceutski sektor EU27 je sektor malog broja velikih, kapitalno intenzivnih poduzeća. Izravno zapošljava 700.000 ljudi u Europi, a generira još tri do četiri puta više neizravnog zapošljavanja. Od toga je u zemljama EU27 2011. </w:t>
      </w:r>
      <w:r w:rsidR="00FA7A57" w:rsidRPr="004E6412">
        <w:rPr>
          <w:rFonts w:ascii="Times New Roman" w:eastAsia="Times New Roman" w:hAnsi="Times New Roman"/>
          <w:lang w:eastAsia="hr-HR"/>
        </w:rPr>
        <w:t>godine radilo</w:t>
      </w:r>
      <w:r w:rsidRPr="004E6412">
        <w:rPr>
          <w:rFonts w:ascii="Times New Roman" w:eastAsia="Times New Roman" w:hAnsi="Times New Roman"/>
          <w:lang w:eastAsia="hr-HR"/>
        </w:rPr>
        <w:t xml:space="preserve"> 626.449</w:t>
      </w:r>
      <w:r w:rsidR="00FA7A57" w:rsidRPr="004E6412">
        <w:rPr>
          <w:rFonts w:ascii="Times New Roman" w:eastAsia="Times New Roman" w:hAnsi="Times New Roman"/>
          <w:lang w:eastAsia="hr-HR"/>
        </w:rPr>
        <w:t xml:space="preserve"> zaposlenika, i to </w:t>
      </w:r>
      <w:r w:rsidRPr="004E6412">
        <w:rPr>
          <w:rFonts w:ascii="Times New Roman" w:eastAsia="Times New Roman" w:hAnsi="Times New Roman"/>
          <w:lang w:eastAsia="hr-HR"/>
        </w:rPr>
        <w:t xml:space="preserve">uvjerljivo najviše u Francuskoj i Njemačkoj.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se u EU27 nakon višegodišnjeg u</w:t>
      </w:r>
      <w:r w:rsidR="00FA7A57" w:rsidRPr="004E6412">
        <w:rPr>
          <w:rFonts w:ascii="Times New Roman" w:eastAsia="Times New Roman" w:hAnsi="Times New Roman"/>
          <w:lang w:eastAsia="hr-HR"/>
        </w:rPr>
        <w:t>zlaznog trenda u 2012. smanjuje</w:t>
      </w:r>
      <w:r w:rsidRPr="004E6412">
        <w:rPr>
          <w:rFonts w:ascii="Times New Roman" w:eastAsia="Times New Roman" w:hAnsi="Times New Roman"/>
          <w:lang w:eastAsia="hr-HR"/>
        </w:rPr>
        <w:t xml:space="preserve"> te pokazuje znatno manju volatilnost nego što je to slučaj u</w:t>
      </w:r>
      <w:r w:rsidR="00FA7A57" w:rsidRPr="004E6412">
        <w:rPr>
          <w:rFonts w:ascii="Times New Roman" w:eastAsia="Times New Roman" w:hAnsi="Times New Roman"/>
          <w:lang w:eastAsia="hr-HR"/>
        </w:rPr>
        <w:t xml:space="preserve"> Hrvatskoj u zadnje tri godine. </w:t>
      </w:r>
      <w:r w:rsidRPr="004E6412">
        <w:rPr>
          <w:rFonts w:ascii="Times New Roman" w:eastAsia="Times New Roman" w:hAnsi="Times New Roman"/>
          <w:lang w:eastAsia="hr-HR"/>
        </w:rPr>
        <w:t>Prema nekim procjenama</w:t>
      </w:r>
      <w:r w:rsidR="00FA7A57"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europsko će farmaceutsko tržište porasti između 0 i 3 % do 2016., dok se porast između 10 i 13% predviđa na tržištima u Aziji, Africi, Australiji i Latinskoj Americi.</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predstavlja djelatnost visoke tehnologije s najvišom dodanom vrijednosti po zaposlenom</w:t>
      </w:r>
      <w:r w:rsidR="00FA7A57" w:rsidRPr="004E6412">
        <w:rPr>
          <w:rFonts w:ascii="Times New Roman" w:eastAsia="Times New Roman" w:hAnsi="Times New Roman"/>
          <w:lang w:eastAsia="hr-HR"/>
        </w:rPr>
        <w:t>e</w:t>
      </w:r>
      <w:r w:rsidRPr="004E6412">
        <w:rPr>
          <w:rFonts w:ascii="Times New Roman" w:eastAsia="Times New Roman" w:hAnsi="Times New Roman"/>
          <w:lang w:eastAsia="hr-HR"/>
        </w:rPr>
        <w:t>, značajno višom od prosječne vrijednosti za visoko tehnološke proizvodne industrijske djelatnosti. U prosjeku samo jedna do dvije od 10.000 supstanci sin</w:t>
      </w:r>
      <w:r w:rsidR="00FA7A57" w:rsidRPr="004E6412">
        <w:rPr>
          <w:rFonts w:ascii="Times New Roman" w:eastAsia="Times New Roman" w:hAnsi="Times New Roman"/>
          <w:lang w:eastAsia="hr-HR"/>
        </w:rPr>
        <w:t xml:space="preserve">tetiziranih u laboratorijima </w:t>
      </w:r>
      <w:r w:rsidRPr="004E6412">
        <w:rPr>
          <w:rFonts w:ascii="Times New Roman" w:eastAsia="Times New Roman" w:hAnsi="Times New Roman"/>
          <w:lang w:eastAsia="hr-HR"/>
        </w:rPr>
        <w:t>uspješno</w:t>
      </w:r>
      <w:r w:rsidR="00FA7A57" w:rsidRPr="004E6412">
        <w:rPr>
          <w:rFonts w:ascii="Times New Roman" w:eastAsia="Times New Roman" w:hAnsi="Times New Roman"/>
          <w:lang w:eastAsia="hr-HR"/>
        </w:rPr>
        <w:t xml:space="preserve"> će</w:t>
      </w:r>
      <w:r w:rsidRPr="004E6412">
        <w:rPr>
          <w:rFonts w:ascii="Times New Roman" w:eastAsia="Times New Roman" w:hAnsi="Times New Roman"/>
          <w:lang w:eastAsia="hr-HR"/>
        </w:rPr>
        <w:t xml:space="preserve"> </w:t>
      </w:r>
      <w:r w:rsidRPr="004E6412">
        <w:rPr>
          <w:rFonts w:ascii="Times New Roman" w:eastAsia="Times New Roman" w:hAnsi="Times New Roman"/>
          <w:lang w:eastAsia="hr-HR"/>
        </w:rPr>
        <w:lastRenderedPageBreak/>
        <w:t>proći sve faz</w:t>
      </w:r>
      <w:r w:rsidR="00FA7A57" w:rsidRPr="004E6412">
        <w:rPr>
          <w:rFonts w:ascii="Times New Roman" w:eastAsia="Times New Roman" w:hAnsi="Times New Roman"/>
          <w:lang w:eastAsia="hr-HR"/>
        </w:rPr>
        <w:t>e razvoja potrebne da bi nastao</w:t>
      </w:r>
      <w:r w:rsidRPr="004E6412">
        <w:rPr>
          <w:rFonts w:ascii="Times New Roman" w:eastAsia="Times New Roman" w:hAnsi="Times New Roman"/>
          <w:lang w:eastAsia="hr-HR"/>
        </w:rPr>
        <w:t xml:space="preserve"> novi lijek na tržištu. Proiz</w:t>
      </w:r>
      <w:r w:rsidR="00FA7A57" w:rsidRPr="004E6412">
        <w:rPr>
          <w:rFonts w:ascii="Times New Roman" w:eastAsia="Times New Roman" w:hAnsi="Times New Roman"/>
          <w:lang w:eastAsia="hr-HR"/>
        </w:rPr>
        <w:t xml:space="preserve">vođačke cijene na tržištu EU-a </w:t>
      </w:r>
      <w:r w:rsidRPr="004E6412">
        <w:rPr>
          <w:rFonts w:ascii="Times New Roman" w:eastAsia="Times New Roman" w:hAnsi="Times New Roman"/>
          <w:lang w:eastAsia="hr-HR"/>
        </w:rPr>
        <w:t xml:space="preserve">smanjuju </w:t>
      </w:r>
      <w:r w:rsidR="00FA7A57" w:rsidRPr="004E6412">
        <w:rPr>
          <w:rFonts w:ascii="Times New Roman" w:eastAsia="Times New Roman" w:hAnsi="Times New Roman"/>
          <w:lang w:eastAsia="hr-HR"/>
        </w:rPr>
        <w:t>se neprestano</w:t>
      </w:r>
      <w:r w:rsidRPr="004E6412">
        <w:rPr>
          <w:rFonts w:ascii="Times New Roman" w:eastAsia="Times New Roman" w:hAnsi="Times New Roman"/>
          <w:lang w:eastAsia="hr-HR"/>
        </w:rPr>
        <w:t xml:space="preserve"> od 2005. na godišnjoj razini. Tržišni udio gener</w:t>
      </w:r>
      <w:r w:rsidR="00FA7A57" w:rsidRPr="004E6412">
        <w:rPr>
          <w:rFonts w:ascii="Times New Roman" w:eastAsia="Times New Roman" w:hAnsi="Times New Roman"/>
          <w:lang w:eastAsia="hr-HR"/>
        </w:rPr>
        <w:t>ika</w:t>
      </w:r>
      <w:r w:rsidRPr="004E6412">
        <w:rPr>
          <w:rFonts w:ascii="Times New Roman" w:eastAsia="Times New Roman" w:hAnsi="Times New Roman"/>
          <w:lang w:eastAsia="hr-HR"/>
        </w:rPr>
        <w:t xml:space="preserve"> značajno </w:t>
      </w:r>
      <w:r w:rsidR="00FA7A57"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viši u novim zemljama članicama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s povijesno niskom razinom zaštite intelektualnih prava.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Za budući razvoj proizvodnje osnovnih farmaceutskih proizvoda i farmaceutskih pripravaka vrlo je važna politika lijekova koja se primjenjuje. U EU</w:t>
      </w:r>
      <w:r w:rsidR="00FA7A57" w:rsidRPr="004E6412">
        <w:rPr>
          <w:rFonts w:ascii="Times New Roman" w:eastAsia="Times New Roman" w:hAnsi="Times New Roman"/>
          <w:lang w:eastAsia="hr-HR"/>
        </w:rPr>
        <w:t xml:space="preserve"> politika lijekova </w:t>
      </w:r>
      <w:r w:rsidRPr="004E6412">
        <w:rPr>
          <w:rFonts w:ascii="Times New Roman" w:eastAsia="Times New Roman" w:hAnsi="Times New Roman"/>
          <w:lang w:eastAsia="hr-HR"/>
        </w:rPr>
        <w:t>određuje</w:t>
      </w:r>
      <w:r w:rsidR="00FA7A57" w:rsidRPr="004E6412">
        <w:rPr>
          <w:rFonts w:ascii="Times New Roman" w:eastAsia="Times New Roman" w:hAnsi="Times New Roman"/>
          <w:lang w:eastAsia="hr-HR"/>
        </w:rPr>
        <w:t xml:space="preserve"> se</w:t>
      </w:r>
      <w:r w:rsidRPr="004E6412">
        <w:rPr>
          <w:rFonts w:ascii="Times New Roman" w:eastAsia="Times New Roman" w:hAnsi="Times New Roman"/>
          <w:lang w:eastAsia="hr-HR"/>
        </w:rPr>
        <w:t xml:space="preserve"> na nacionalnoj razini svake zemlje članice, no postoje neki elementi (poput odobrenja proizvoda za izlazak na tržište) koji su određeni na razini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Europska komisija ima sve veću ulogu na tome području, potičući poštivanje zakona i načela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Može utjecati na pitanja vezana za nacionalne cijene, profit i naknadu izdataka, slobodno kretanje i konkurenciju te na prist</w:t>
      </w:r>
      <w:r w:rsidR="00764A65" w:rsidRPr="004E6412">
        <w:rPr>
          <w:rFonts w:ascii="Times New Roman" w:eastAsia="Times New Roman" w:hAnsi="Times New Roman"/>
          <w:lang w:eastAsia="hr-HR"/>
        </w:rPr>
        <w:t>up tržištu putem usklađenoga</w:t>
      </w:r>
      <w:r w:rsidRPr="004E6412">
        <w:rPr>
          <w:rFonts w:ascii="Times New Roman" w:eastAsia="Times New Roman" w:hAnsi="Times New Roman"/>
          <w:lang w:eastAsia="hr-HR"/>
        </w:rPr>
        <w:t xml:space="preserve"> i centraliziranog</w:t>
      </w:r>
      <w:r w:rsidR="00764A65"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autorizacije od strane</w:t>
      </w:r>
      <w:r w:rsidRPr="004E6412">
        <w:rPr>
          <w:rFonts w:ascii="Times New Roman" w:eastAsia="Times New Roman" w:hAnsi="Times New Roman"/>
        </w:rPr>
        <w:t xml:space="preserve"> Europske agencije za lijekove. </w:t>
      </w:r>
    </w:p>
    <w:p w:rsidR="001B41B0" w:rsidRPr="004E6412" w:rsidRDefault="001B41B0" w:rsidP="001B41B0">
      <w:pPr>
        <w:rPr>
          <w:rFonts w:eastAsia="Times New Roman"/>
          <w:lang w:eastAsia="hr-HR"/>
        </w:rPr>
      </w:pPr>
    </w:p>
    <w:p w:rsidR="001B41B0" w:rsidRPr="004E6412" w:rsidRDefault="001B41B0" w:rsidP="00D001B9">
      <w:pPr>
        <w:pStyle w:val="Heading3"/>
      </w:pPr>
      <w:bookmarkStart w:id="667" w:name="_Toc365992553"/>
      <w:bookmarkStart w:id="668" w:name="_Toc366154299"/>
      <w:bookmarkStart w:id="669" w:name="_Toc366154419"/>
      <w:bookmarkStart w:id="670" w:name="_Toc366409962"/>
      <w:bookmarkStart w:id="671" w:name="_Toc372088025"/>
      <w:bookmarkStart w:id="672" w:name="_Toc378069086"/>
      <w:r w:rsidRPr="004E6412">
        <w:t>Stanje i perspektive razvoja u Republici Hrvatskoj</w:t>
      </w:r>
      <w:bookmarkEnd w:id="667"/>
      <w:bookmarkEnd w:id="668"/>
      <w:bookmarkEnd w:id="669"/>
      <w:bookmarkEnd w:id="670"/>
      <w:bookmarkEnd w:id="671"/>
      <w:bookmarkEnd w:id="672"/>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w:t>
      </w:r>
      <w:r w:rsidR="00D926C8" w:rsidRPr="004E6412">
        <w:rPr>
          <w:rFonts w:ascii="Times New Roman" w:eastAsia="Times New Roman" w:hAnsi="Times New Roman"/>
          <w:lang w:eastAsia="hr-HR"/>
        </w:rPr>
        <w:t xml:space="preserve">tskih pripravaka u Hrvatskoj </w:t>
      </w:r>
      <w:r w:rsidRPr="004E6412">
        <w:rPr>
          <w:rFonts w:ascii="Times New Roman" w:eastAsia="Times New Roman" w:hAnsi="Times New Roman"/>
          <w:lang w:eastAsia="hr-HR"/>
        </w:rPr>
        <w:t>pala</w:t>
      </w:r>
      <w:r w:rsidR="00D926C8"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u odnosu na 2010. za 6,3%, a 2012. u odnosu na 2010. porasla </w:t>
      </w:r>
      <w:r w:rsidR="00D926C8"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za 15,5%. Potrošnja lijeko</w:t>
      </w:r>
      <w:r w:rsidR="00D926C8" w:rsidRPr="004E6412">
        <w:rPr>
          <w:rFonts w:ascii="Times New Roman" w:eastAsia="Times New Roman" w:hAnsi="Times New Roman"/>
          <w:lang w:eastAsia="hr-HR"/>
        </w:rPr>
        <w:t xml:space="preserve">va u Hrvatskoj koji se financiraju </w:t>
      </w:r>
      <w:r w:rsidRPr="004E6412">
        <w:rPr>
          <w:rFonts w:ascii="Times New Roman" w:eastAsia="Times New Roman" w:hAnsi="Times New Roman"/>
          <w:lang w:eastAsia="hr-HR"/>
        </w:rPr>
        <w:t>od strane Hrvatskog zavoda za zdravstveno osiguranje u 2011. je pala za 7 % u odnosu na 2010., a u 2012. je pala za 3% u odnosu na 2010.</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Ukupna djelatnost u 2012. broji 34 poduzeća, od kojih 88,24% pripada poddjelatnosti proizvodnja farmaceutskih pripravaka. Proizvodnja farmaceutskih pripravaka u 2012. ostvaruje 99,95% ukupnih prihoda djelatnosti i zapošljava 9</w:t>
      </w:r>
      <w:r w:rsidR="00D926C8" w:rsidRPr="004E6412">
        <w:rPr>
          <w:rFonts w:ascii="Times New Roman" w:hAnsi="Times New Roman"/>
        </w:rPr>
        <w:t>9,78% osoba, zbog čega se rezultati cjelokupne analize</w:t>
      </w:r>
      <w:r w:rsidRPr="004E6412">
        <w:rPr>
          <w:rFonts w:ascii="Times New Roman" w:hAnsi="Times New Roman"/>
        </w:rPr>
        <w:t xml:space="preserve"> djelatnosti zapravo odnose na ovu poddjelatnost. Broj zaposlen</w:t>
      </w:r>
      <w:r w:rsidR="00D926C8" w:rsidRPr="004E6412">
        <w:rPr>
          <w:rFonts w:ascii="Times New Roman" w:hAnsi="Times New Roman"/>
        </w:rPr>
        <w:t xml:space="preserve">ih u djelatnosti po godinama se </w:t>
      </w:r>
      <w:r w:rsidRPr="004E6412">
        <w:rPr>
          <w:rFonts w:ascii="Times New Roman" w:hAnsi="Times New Roman"/>
        </w:rPr>
        <w:t>kretao redom 3.847, 3.937 i 4.126, što je rast od 7,25% u razdoblju 2010.</w:t>
      </w:r>
      <w:r w:rsidR="00D926C8"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 2012.</w:t>
      </w:r>
      <w:r w:rsidR="00D926C8" w:rsidRPr="004E6412">
        <w:rPr>
          <w:rFonts w:ascii="Times New Roman" w:hAnsi="Times New Roman"/>
        </w:rPr>
        <w:t xml:space="preserve"> godini</w:t>
      </w:r>
      <w:r w:rsidRPr="004E6412">
        <w:rPr>
          <w:rFonts w:ascii="Times New Roman" w:hAnsi="Times New Roman"/>
        </w:rPr>
        <w:t xml:space="preserve"> 68,</w:t>
      </w:r>
      <w:r w:rsidR="00D926C8" w:rsidRPr="004E6412">
        <w:rPr>
          <w:rFonts w:ascii="Times New Roman" w:hAnsi="Times New Roman"/>
        </w:rPr>
        <w:t xml:space="preserve">95% kapitala ove djelatnosti </w:t>
      </w:r>
      <w:r w:rsidRPr="004E6412">
        <w:rPr>
          <w:rFonts w:ascii="Times New Roman" w:hAnsi="Times New Roman"/>
        </w:rPr>
        <w:t>inozemnog</w:t>
      </w:r>
      <w:r w:rsidR="00D926C8" w:rsidRPr="004E6412">
        <w:rPr>
          <w:rFonts w:ascii="Times New Roman" w:hAnsi="Times New Roman"/>
        </w:rPr>
        <w:t xml:space="preserve"> je porijekla</w:t>
      </w:r>
      <w:r w:rsidRPr="004E6412">
        <w:rPr>
          <w:rFonts w:ascii="Times New Roman" w:hAnsi="Times New Roman"/>
        </w:rPr>
        <w:t>. Djelatnost j</w:t>
      </w:r>
      <w:r w:rsidR="00D926C8" w:rsidRPr="004E6412">
        <w:rPr>
          <w:rFonts w:ascii="Times New Roman" w:hAnsi="Times New Roman"/>
        </w:rPr>
        <w:t>e visoko koncentrirana. Prevladava</w:t>
      </w:r>
      <w:r w:rsidRPr="004E6412">
        <w:rPr>
          <w:rFonts w:ascii="Times New Roman" w:hAnsi="Times New Roman"/>
        </w:rPr>
        <w:t xml:space="preserve"> najveće poduzeće Pliva Hrvatska d.o.o., a </w:t>
      </w:r>
      <w:r w:rsidR="00D926C8" w:rsidRPr="004E6412">
        <w:rPr>
          <w:rFonts w:ascii="Times New Roman" w:hAnsi="Times New Roman"/>
        </w:rPr>
        <w:t xml:space="preserve">potom </w:t>
      </w:r>
      <w:r w:rsidRPr="004E6412">
        <w:rPr>
          <w:rFonts w:ascii="Times New Roman" w:hAnsi="Times New Roman"/>
        </w:rPr>
        <w:t>slijede Belupo d.d. i JGL d.d.</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Aktiva (pasiva) je u razdoblju 2010.</w:t>
      </w:r>
      <w:r w:rsidR="00D926C8" w:rsidRPr="004E6412">
        <w:rPr>
          <w:rFonts w:ascii="Times New Roman" w:hAnsi="Times New Roman"/>
        </w:rPr>
        <w:t xml:space="preserve"> – </w:t>
      </w:r>
      <w:r w:rsidRPr="004E6412">
        <w:rPr>
          <w:rFonts w:ascii="Times New Roman" w:hAnsi="Times New Roman"/>
        </w:rPr>
        <w:t xml:space="preserve">2012. porasla za 55,62%. Dugotrajna imovina sudjeluje s većim udjelom u ukupnoj aktivi od kratkotrajne imovine. Izuzetak je 2011. godina kada kratkotrajna imovina vrijednosno nadilazi dugotrajnu zbog značajnog povećanja zajmova danih povezanim poduzetnicima (povećanje od 495%). Dugoročne obveze sudjeluju s većim udjelom u ukupnoj pasivi od kratkoročnih obveza uz izuzetak u 2010. </w:t>
      </w:r>
      <w:r w:rsidR="00D926C8" w:rsidRPr="004E6412">
        <w:rPr>
          <w:rFonts w:ascii="Times New Roman" w:hAnsi="Times New Roman"/>
        </w:rPr>
        <w:t xml:space="preserve">godini </w:t>
      </w:r>
      <w:r w:rsidRPr="004E6412">
        <w:rPr>
          <w:rFonts w:ascii="Times New Roman" w:hAnsi="Times New Roman"/>
        </w:rPr>
        <w:t xml:space="preserve">kad je situacija bila obrnuta.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eastAsia="Times New Roman" w:hAnsi="Times New Roman"/>
        </w:rPr>
      </w:pPr>
      <w:r w:rsidRPr="004E6412">
        <w:rPr>
          <w:rFonts w:ascii="Times New Roman" w:hAnsi="Times New Roman"/>
        </w:rPr>
        <w:t xml:space="preserve">Sve stavke prihoda i rashoda povećane </w:t>
      </w:r>
      <w:r w:rsidR="00D926C8" w:rsidRPr="004E6412">
        <w:rPr>
          <w:rFonts w:ascii="Times New Roman" w:hAnsi="Times New Roman"/>
        </w:rPr>
        <w:t xml:space="preserve">su </w:t>
      </w:r>
      <w:r w:rsidRPr="004E6412">
        <w:rPr>
          <w:rFonts w:ascii="Times New Roman" w:hAnsi="Times New Roman"/>
        </w:rPr>
        <w:t>u razdoblju 2010.</w:t>
      </w:r>
      <w:r w:rsidR="00D926C8" w:rsidRPr="004E6412">
        <w:rPr>
          <w:rFonts w:ascii="Times New Roman" w:hAnsi="Times New Roman"/>
        </w:rPr>
        <w:t xml:space="preserve"> – </w:t>
      </w:r>
      <w:r w:rsidRPr="004E6412">
        <w:rPr>
          <w:rFonts w:ascii="Times New Roman" w:hAnsi="Times New Roman"/>
        </w:rPr>
        <w:t>2012. (ukupni prihodi povećani za 30,36%, a ukupni rashodi povećani za 28,46%), odnosno povećan je obujam poslovanja. Povećana je i kumulativna dobit djelatnosti, dok je istovremeno smanjen kumulativni gubitak (profitabilnost djelatnosti je porasla). Očekivano, poslovni prihodi i rashodi čine više od 95% ukupnih prihoda i rashoda</w:t>
      </w:r>
      <w:r w:rsidR="00D926C8" w:rsidRPr="004E6412">
        <w:rPr>
          <w:rFonts w:ascii="Times New Roman" w:hAnsi="Times New Roman"/>
        </w:rPr>
        <w:t>. Profitabilnost djelatnosti povećana je</w:t>
      </w:r>
      <w:r w:rsidRPr="004E6412">
        <w:rPr>
          <w:rFonts w:ascii="Times New Roman" w:hAnsi="Times New Roman"/>
        </w:rPr>
        <w:t xml:space="preserve"> u razdoblju 2010.</w:t>
      </w:r>
      <w:r w:rsidR="00D926C8" w:rsidRPr="004E6412">
        <w:rPr>
          <w:rFonts w:ascii="Times New Roman" w:hAnsi="Times New Roman"/>
        </w:rPr>
        <w:t xml:space="preserve"> – </w:t>
      </w:r>
      <w:r w:rsidRPr="004E6412">
        <w:rPr>
          <w:rFonts w:ascii="Times New Roman" w:hAnsi="Times New Roman"/>
        </w:rPr>
        <w:t xml:space="preserve">2012., dok su smanjene samo stope operativne marže profita i bruto operativnog viška. </w:t>
      </w:r>
      <w:r w:rsidRPr="004E6412">
        <w:rPr>
          <w:rFonts w:ascii="Times New Roman" w:eastAsia="Times New Roman" w:hAnsi="Times New Roman"/>
        </w:rPr>
        <w:t xml:space="preserve">Također, stvorena dodana </w:t>
      </w:r>
      <w:r w:rsidR="00D926C8" w:rsidRPr="004E6412">
        <w:rPr>
          <w:rFonts w:ascii="Times New Roman" w:eastAsia="Times New Roman" w:hAnsi="Times New Roman"/>
        </w:rPr>
        <w:t>vrijednost ili čisti novčani tijek u</w:t>
      </w:r>
      <w:r w:rsidRPr="004E6412">
        <w:rPr>
          <w:rFonts w:ascii="Times New Roman" w:eastAsia="Times New Roman" w:hAnsi="Times New Roman"/>
        </w:rPr>
        <w:t xml:space="preserve"> promatranom</w:t>
      </w:r>
      <w:r w:rsidR="00D926C8" w:rsidRPr="004E6412">
        <w:rPr>
          <w:rFonts w:ascii="Times New Roman" w:eastAsia="Times New Roman" w:hAnsi="Times New Roman"/>
        </w:rPr>
        <w:t>e je</w:t>
      </w:r>
      <w:r w:rsidRPr="004E6412">
        <w:rPr>
          <w:rFonts w:ascii="Times New Roman" w:eastAsia="Times New Roman" w:hAnsi="Times New Roman"/>
        </w:rPr>
        <w:t xml:space="preserve"> razdoblju povećan za 25%, što ide u prilog relativ</w:t>
      </w:r>
      <w:r w:rsidR="00D926C8" w:rsidRPr="004E6412">
        <w:rPr>
          <w:rFonts w:ascii="Times New Roman" w:eastAsia="Times New Roman" w:hAnsi="Times New Roman"/>
        </w:rPr>
        <w:t>no dobrom poslovanju poduzeća u okviru</w:t>
      </w:r>
      <w:r w:rsidRPr="004E6412">
        <w:rPr>
          <w:rFonts w:ascii="Times New Roman" w:eastAsia="Times New Roman" w:hAnsi="Times New Roman"/>
        </w:rPr>
        <w:t xml:space="preserve"> djelatnosti. S druge </w:t>
      </w:r>
      <w:r w:rsidRPr="004E6412">
        <w:rPr>
          <w:rFonts w:ascii="Times New Roman" w:eastAsia="Times New Roman" w:hAnsi="Times New Roman"/>
        </w:rPr>
        <w:lastRenderedPageBreak/>
        <w:t xml:space="preserve">strane, financijska zaduženost mjerena udjelom neto duga u EBITDA osjetno </w:t>
      </w:r>
      <w:r w:rsidR="00D926C8" w:rsidRPr="004E6412">
        <w:rPr>
          <w:rFonts w:ascii="Times New Roman" w:eastAsia="Times New Roman" w:hAnsi="Times New Roman"/>
        </w:rPr>
        <w:t xml:space="preserve">je </w:t>
      </w:r>
      <w:r w:rsidRPr="004E6412">
        <w:rPr>
          <w:rFonts w:ascii="Times New Roman" w:eastAsia="Times New Roman" w:hAnsi="Times New Roman"/>
        </w:rPr>
        <w:t xml:space="preserve">povećana u 2012.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pokazateljima međunarodne razmjene, u razdoblju 2010.</w:t>
      </w:r>
      <w:r w:rsidR="00D926C8" w:rsidRPr="004E6412">
        <w:rPr>
          <w:rFonts w:ascii="Times New Roman" w:hAnsi="Times New Roman"/>
        </w:rPr>
        <w:t xml:space="preserve"> – </w:t>
      </w:r>
      <w:r w:rsidRPr="004E6412">
        <w:rPr>
          <w:rFonts w:ascii="Times New Roman" w:hAnsi="Times New Roman"/>
        </w:rPr>
        <w:t>2012</w:t>
      </w:r>
      <w:r w:rsidR="00D926C8" w:rsidRPr="004E6412">
        <w:rPr>
          <w:rFonts w:ascii="Times New Roman" w:hAnsi="Times New Roman"/>
        </w:rPr>
        <w:t>. smanjene su usporedne</w:t>
      </w:r>
      <w:r w:rsidRPr="004E6412">
        <w:rPr>
          <w:rFonts w:ascii="Times New Roman" w:hAnsi="Times New Roman"/>
        </w:rPr>
        <w:t xml:space="preserve"> prednosti (RCA) djelatnosti. Primarni </w:t>
      </w:r>
      <w:r w:rsidR="00D926C8" w:rsidRPr="004E6412">
        <w:rPr>
          <w:rFonts w:ascii="Times New Roman" w:hAnsi="Times New Roman"/>
        </w:rPr>
        <w:t xml:space="preserve">je razlog </w:t>
      </w:r>
      <w:r w:rsidRPr="004E6412">
        <w:rPr>
          <w:rFonts w:ascii="Times New Roman" w:hAnsi="Times New Roman"/>
        </w:rPr>
        <w:t>značajno povećanje uvoza farmaceutske djelatnosti koji je u navedenom razdoblju povećan za 68%, te su se u skladu s time promijenili i pripadajući pokazatelji međunarodne razmjene. Izvoz je u ukupnom</w:t>
      </w:r>
      <w:r w:rsidR="00D926C8" w:rsidRPr="004E6412">
        <w:rPr>
          <w:rFonts w:ascii="Times New Roman" w:hAnsi="Times New Roman"/>
        </w:rPr>
        <w:t>e</w:t>
      </w:r>
      <w:r w:rsidRPr="004E6412">
        <w:rPr>
          <w:rFonts w:ascii="Times New Roman" w:hAnsi="Times New Roman"/>
        </w:rPr>
        <w:t xml:space="preserve"> prihodu porastao za 7,7%</w:t>
      </w:r>
      <w:r w:rsidR="00D926C8" w:rsidRPr="004E6412">
        <w:rPr>
          <w:rFonts w:ascii="Times New Roman" w:hAnsi="Times New Roman"/>
        </w:rPr>
        <w:t>,</w:t>
      </w:r>
      <w:r w:rsidRPr="004E6412">
        <w:rPr>
          <w:rFonts w:ascii="Times New Roman" w:hAnsi="Times New Roman"/>
        </w:rPr>
        <w:t xml:space="preserve"> dok je uvoz u ukupnom prihod</w:t>
      </w:r>
      <w:r w:rsidR="00D926C8" w:rsidRPr="004E6412">
        <w:rPr>
          <w:rFonts w:ascii="Times New Roman" w:hAnsi="Times New Roman"/>
        </w:rPr>
        <w:t>u porastao za 36,4%. Ipak, treba</w:t>
      </w:r>
      <w:r w:rsidRPr="004E6412">
        <w:rPr>
          <w:rFonts w:ascii="Times New Roman" w:hAnsi="Times New Roman"/>
        </w:rPr>
        <w:t xml:space="preserve"> napomenuti da je trgovinska bilanca djelatnosti u 2012. završila na gotovo istoj vrijednosti na kojoj je bila u 2010.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Iz analize indust</w:t>
      </w:r>
      <w:r w:rsidR="00D926C8" w:rsidRPr="004E6412">
        <w:rPr>
          <w:rFonts w:ascii="Times New Roman" w:hAnsi="Times New Roman"/>
        </w:rPr>
        <w:t>rijske strukture očito je</w:t>
      </w:r>
      <w:r w:rsidRPr="004E6412">
        <w:rPr>
          <w:rFonts w:ascii="Times New Roman" w:hAnsi="Times New Roman"/>
        </w:rPr>
        <w:t xml:space="preserve"> da je apsolutna vrijednost bruto dodane </w:t>
      </w:r>
      <w:r w:rsidR="00D926C8" w:rsidRPr="004E6412">
        <w:rPr>
          <w:rFonts w:ascii="Times New Roman" w:hAnsi="Times New Roman"/>
        </w:rPr>
        <w:t>vrijednosti djelatnosti ostvarila</w:t>
      </w:r>
      <w:r w:rsidRPr="004E6412">
        <w:rPr>
          <w:rFonts w:ascii="Times New Roman" w:hAnsi="Times New Roman"/>
        </w:rPr>
        <w:t xml:space="preserve"> rast u razdoblju 2010.</w:t>
      </w:r>
      <w:r w:rsidR="00D926C8" w:rsidRPr="004E6412">
        <w:rPr>
          <w:rFonts w:ascii="Times New Roman" w:hAnsi="Times New Roman"/>
        </w:rPr>
        <w:t xml:space="preserve"> – </w:t>
      </w:r>
      <w:r w:rsidRPr="004E6412">
        <w:rPr>
          <w:rFonts w:ascii="Times New Roman" w:hAnsi="Times New Roman"/>
        </w:rPr>
        <w:t>2012., iako je bruto dodana vrijednost prerađivačke industrije rasla brže od vrijednosti djelatnosti. Djelatnost je, mjereno promjenom ukupnih prihoda, znatno povećana u promatra</w:t>
      </w:r>
      <w:r w:rsidR="00D926C8" w:rsidRPr="004E6412">
        <w:rPr>
          <w:rFonts w:ascii="Times New Roman" w:hAnsi="Times New Roman"/>
        </w:rPr>
        <w:t>ne tri godine. Pri tome skoro</w:t>
      </w:r>
      <w:r w:rsidRPr="004E6412">
        <w:rPr>
          <w:rFonts w:ascii="Times New Roman" w:hAnsi="Times New Roman"/>
        </w:rPr>
        <w:t xml:space="preserve"> uopće ne ovisi o financiranju od strane države. Prema analizi specijalizacije, ova djelatnost pokazuje umjereno visoku intraindustrijsku razmjenu. </w:t>
      </w:r>
    </w:p>
    <w:p w:rsidR="001B41B0" w:rsidRPr="004E6412" w:rsidRDefault="001B41B0" w:rsidP="001B41B0">
      <w:pPr>
        <w:rPr>
          <w:sz w:val="22"/>
        </w:rPr>
      </w:pPr>
    </w:p>
    <w:p w:rsidR="001B41B0" w:rsidRPr="004E6412" w:rsidRDefault="00D926C8" w:rsidP="001B41B0">
      <w:pPr>
        <w:pStyle w:val="ListParagraph"/>
        <w:numPr>
          <w:ilvl w:val="0"/>
          <w:numId w:val="36"/>
        </w:numPr>
        <w:spacing w:after="0"/>
        <w:jc w:val="both"/>
        <w:rPr>
          <w:rFonts w:ascii="Times New Roman" w:hAnsi="Times New Roman"/>
        </w:rPr>
      </w:pPr>
      <w:r w:rsidRPr="004E6412">
        <w:rPr>
          <w:rFonts w:ascii="Times New Roman" w:hAnsi="Times New Roman"/>
        </w:rPr>
        <w:t>Proizvodnost rada neprestano</w:t>
      </w:r>
      <w:r w:rsidR="001B41B0" w:rsidRPr="004E6412">
        <w:rPr>
          <w:rFonts w:ascii="Times New Roman" w:hAnsi="Times New Roman"/>
        </w:rPr>
        <w:t xml:space="preserve"> je rasla u promatranom</w:t>
      </w:r>
      <w:r w:rsidRPr="004E6412">
        <w:rPr>
          <w:rFonts w:ascii="Times New Roman" w:hAnsi="Times New Roman"/>
        </w:rPr>
        <w:t>e</w:t>
      </w:r>
      <w:r w:rsidR="001B41B0" w:rsidRPr="004E6412">
        <w:rPr>
          <w:rFonts w:ascii="Times New Roman" w:hAnsi="Times New Roman"/>
        </w:rPr>
        <w:t xml:space="preserve"> razdoblju (rast od </w:t>
      </w:r>
      <w:r w:rsidR="00887C92" w:rsidRPr="004E6412">
        <w:rPr>
          <w:rFonts w:ascii="Times New Roman" w:hAnsi="Times New Roman"/>
        </w:rPr>
        <w:t>2,34</w:t>
      </w:r>
      <w:r w:rsidR="001B41B0" w:rsidRPr="004E6412">
        <w:rPr>
          <w:rFonts w:ascii="Times New Roman" w:hAnsi="Times New Roman"/>
        </w:rPr>
        <w:t>%) uz prateće povećanje opremljenosti rada kapitalom</w:t>
      </w:r>
      <w:r w:rsidR="00887C92" w:rsidRPr="004E6412">
        <w:rPr>
          <w:rFonts w:ascii="Times New Roman" w:hAnsi="Times New Roman"/>
        </w:rPr>
        <w:t xml:space="preserve"> za 24,99% (uslijed rasta fiksnog kapitala)</w:t>
      </w:r>
      <w:r w:rsidR="001B41B0" w:rsidRPr="004E6412">
        <w:rPr>
          <w:rFonts w:ascii="Times New Roman" w:hAnsi="Times New Roman"/>
        </w:rPr>
        <w:t xml:space="preserve">, dok </w:t>
      </w:r>
      <w:r w:rsidR="004823E2" w:rsidRPr="004E6412">
        <w:rPr>
          <w:rFonts w:ascii="Times New Roman" w:hAnsi="Times New Roman"/>
        </w:rPr>
        <w:t>je istovremeno smanjen jedinični</w:t>
      </w:r>
      <w:r w:rsidR="001B41B0" w:rsidRPr="004E6412">
        <w:rPr>
          <w:rFonts w:ascii="Times New Roman" w:hAnsi="Times New Roman"/>
        </w:rPr>
        <w:t xml:space="preserve"> trošak rada. </w:t>
      </w:r>
      <w:r w:rsidR="00887C92" w:rsidRPr="004E6412">
        <w:rPr>
          <w:rFonts w:ascii="Times New Roman" w:hAnsi="Times New Roman"/>
        </w:rPr>
        <w:t>P</w:t>
      </w:r>
      <w:r w:rsidR="001B41B0" w:rsidRPr="004E6412">
        <w:rPr>
          <w:rFonts w:ascii="Times New Roman" w:hAnsi="Times New Roman"/>
        </w:rPr>
        <w:t xml:space="preserve">roizvodnost kapitala </w:t>
      </w:r>
      <w:r w:rsidR="00887C92" w:rsidRPr="004E6412">
        <w:rPr>
          <w:rFonts w:ascii="Times New Roman" w:hAnsi="Times New Roman"/>
        </w:rPr>
        <w:t xml:space="preserve">osjetno </w:t>
      </w:r>
      <w:r w:rsidRPr="004E6412">
        <w:rPr>
          <w:rFonts w:ascii="Times New Roman" w:hAnsi="Times New Roman"/>
        </w:rPr>
        <w:t xml:space="preserve">je </w:t>
      </w:r>
      <w:r w:rsidR="00887C92" w:rsidRPr="004E6412">
        <w:rPr>
          <w:rFonts w:ascii="Times New Roman" w:hAnsi="Times New Roman"/>
        </w:rPr>
        <w:t>smanjen</w:t>
      </w:r>
      <w:r w:rsidRPr="004E6412">
        <w:rPr>
          <w:rFonts w:ascii="Times New Roman" w:hAnsi="Times New Roman"/>
        </w:rPr>
        <w:t>a</w:t>
      </w:r>
      <w:r w:rsidR="00887C92" w:rsidRPr="004E6412">
        <w:rPr>
          <w:rFonts w:ascii="Times New Roman" w:hAnsi="Times New Roman"/>
        </w:rPr>
        <w:t xml:space="preserve"> i to za 20,32%</w:t>
      </w:r>
      <w:r w:rsidR="00472508" w:rsidRPr="004E6412">
        <w:rPr>
          <w:rFonts w:ascii="Times New Roman" w:hAnsi="Times New Roman"/>
        </w:rPr>
        <w:t xml:space="preserve">, ali </w:t>
      </w:r>
      <w:r w:rsidRPr="004E6412">
        <w:rPr>
          <w:rFonts w:ascii="Times New Roman" w:hAnsi="Times New Roman"/>
        </w:rPr>
        <w:t xml:space="preserve">je to smanjenje </w:t>
      </w:r>
      <w:r w:rsidR="00887C92" w:rsidRPr="004E6412">
        <w:rPr>
          <w:rFonts w:ascii="Times New Roman" w:hAnsi="Times New Roman"/>
        </w:rPr>
        <w:t xml:space="preserve">rezultat </w:t>
      </w:r>
      <w:r w:rsidR="004823E2" w:rsidRPr="004E6412">
        <w:rPr>
          <w:rFonts w:ascii="Times New Roman" w:hAnsi="Times New Roman"/>
        </w:rPr>
        <w:t>istovremenog</w:t>
      </w:r>
      <w:r w:rsidR="00887C92" w:rsidRPr="004E6412">
        <w:rPr>
          <w:rFonts w:ascii="Times New Roman" w:hAnsi="Times New Roman"/>
        </w:rPr>
        <w:t xml:space="preserve"> povećanja ostvarene bruto dodane vrijednosti i</w:t>
      </w:r>
      <w:r w:rsidR="00472508" w:rsidRPr="004E6412">
        <w:rPr>
          <w:rFonts w:ascii="Times New Roman" w:hAnsi="Times New Roman"/>
        </w:rPr>
        <w:t>,</w:t>
      </w:r>
      <w:r w:rsidR="00887C92" w:rsidRPr="004E6412">
        <w:rPr>
          <w:rFonts w:ascii="Times New Roman" w:hAnsi="Times New Roman"/>
        </w:rPr>
        <w:t xml:space="preserve"> više nego proporcionalnog</w:t>
      </w:r>
      <w:r w:rsidR="00472508" w:rsidRPr="004E6412">
        <w:rPr>
          <w:rFonts w:ascii="Times New Roman" w:hAnsi="Times New Roman"/>
        </w:rPr>
        <w:t>,</w:t>
      </w:r>
      <w:r w:rsidR="00887C92" w:rsidRPr="004E6412">
        <w:rPr>
          <w:rFonts w:ascii="Times New Roman" w:hAnsi="Times New Roman"/>
        </w:rPr>
        <w:t xml:space="preserve"> povećanja vrijednosti fiksnog kapitala.</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 xml:space="preserve">Udio ulaganja u istraživanje i razvoj djelatnosti u ukupnim ulaganjima u istraživanje razvoj cjelokupne </w:t>
      </w:r>
      <w:r w:rsidR="00D926C8" w:rsidRPr="004E6412">
        <w:rPr>
          <w:rFonts w:ascii="Times New Roman" w:hAnsi="Times New Roman"/>
        </w:rPr>
        <w:t>prerađivačke industrije iznosio</w:t>
      </w:r>
      <w:r w:rsidRPr="004E6412">
        <w:rPr>
          <w:rFonts w:ascii="Times New Roman" w:hAnsi="Times New Roman"/>
        </w:rPr>
        <w:t xml:space="preserve"> je vrlo visokih 47,58%, iako je taj podatak dostupan samo za 2010. </w:t>
      </w:r>
      <w:r w:rsidR="00D926C8" w:rsidRPr="004E6412">
        <w:rPr>
          <w:rFonts w:ascii="Times New Roman" w:hAnsi="Times New Roman"/>
        </w:rPr>
        <w:t xml:space="preserve">godinu. </w:t>
      </w:r>
      <w:r w:rsidRPr="004E6412">
        <w:rPr>
          <w:rFonts w:ascii="Times New Roman" w:hAnsi="Times New Roman"/>
        </w:rPr>
        <w:t>Drugim riječima, ova djelatnost ulaže znatna sredstva u istraživanje i razvoj.</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likvidnosti i zaduženosti, ističe se činjenica da ova djelatnost iskazuje pretjeranu likvidnost. Treba dodati da je likvidnost smanjena u razdoblju 2010.</w:t>
      </w:r>
      <w:r w:rsidR="00D926C8" w:rsidRPr="004E6412">
        <w:rPr>
          <w:rFonts w:ascii="Times New Roman" w:hAnsi="Times New Roman"/>
        </w:rPr>
        <w:t xml:space="preserve"> – </w:t>
      </w:r>
      <w:r w:rsidRPr="004E6412">
        <w:rPr>
          <w:rFonts w:ascii="Times New Roman" w:hAnsi="Times New Roman"/>
        </w:rPr>
        <w:t>2012., ali je i dalje ostala na visokoj razini. Zaduženost poduzeća iz ove dj</w:t>
      </w:r>
      <w:r w:rsidR="00D926C8" w:rsidRPr="004E6412">
        <w:rPr>
          <w:rFonts w:ascii="Times New Roman" w:hAnsi="Times New Roman"/>
        </w:rPr>
        <w:t xml:space="preserve">elatnosti </w:t>
      </w:r>
      <w:r w:rsidRPr="004E6412">
        <w:rPr>
          <w:rFonts w:ascii="Times New Roman" w:hAnsi="Times New Roman"/>
        </w:rPr>
        <w:t xml:space="preserve">povećana </w:t>
      </w:r>
      <w:r w:rsidR="00D926C8" w:rsidRPr="004E6412">
        <w:rPr>
          <w:rFonts w:ascii="Times New Roman" w:hAnsi="Times New Roman"/>
        </w:rPr>
        <w:t xml:space="preserve">je </w:t>
      </w:r>
      <w:r w:rsidRPr="004E6412">
        <w:rPr>
          <w:rFonts w:ascii="Times New Roman" w:hAnsi="Times New Roman"/>
        </w:rPr>
        <w:t>u promatranom</w:t>
      </w:r>
      <w:r w:rsidR="00D926C8" w:rsidRPr="004E6412">
        <w:rPr>
          <w:rFonts w:ascii="Times New Roman" w:hAnsi="Times New Roman"/>
        </w:rPr>
        <w:t>e</w:t>
      </w:r>
      <w:r w:rsidRPr="004E6412">
        <w:rPr>
          <w:rFonts w:ascii="Times New Roman" w:hAnsi="Times New Roman"/>
        </w:rPr>
        <w:t xml:space="preserve"> razdoblju</w:t>
      </w:r>
      <w:r w:rsidR="00D926C8" w:rsidRPr="004E6412">
        <w:rPr>
          <w:rFonts w:ascii="Times New Roman" w:hAnsi="Times New Roman"/>
        </w:rPr>
        <w:t>,</w:t>
      </w:r>
      <w:r w:rsidRPr="004E6412">
        <w:rPr>
          <w:rFonts w:ascii="Times New Roman" w:hAnsi="Times New Roman"/>
        </w:rPr>
        <w:t xml:space="preserve"> ali se ne može smatrati visokom.</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ljudskih potencijala i strukture radne snage vidljivo je povećanje broja zaposlenih za 7,25% (2010.</w:t>
      </w:r>
      <w:r w:rsidR="00D926C8" w:rsidRPr="004E6412">
        <w:rPr>
          <w:rFonts w:ascii="Times New Roman" w:hAnsi="Times New Roman"/>
        </w:rPr>
        <w:t xml:space="preserve"> – </w:t>
      </w:r>
      <w:r w:rsidRPr="004E6412">
        <w:rPr>
          <w:rFonts w:ascii="Times New Roman" w:hAnsi="Times New Roman"/>
        </w:rPr>
        <w:t>2012.), uz istovremeno smanjenje bruto plaća za 4,83%. Najveći udio zaposlenih ima srednju stručnu sp</w:t>
      </w:r>
      <w:r w:rsidR="00D926C8" w:rsidRPr="004E6412">
        <w:rPr>
          <w:rFonts w:ascii="Times New Roman" w:hAnsi="Times New Roman"/>
        </w:rPr>
        <w:t>remu (40,26% u 2012.), a potom</w:t>
      </w:r>
      <w:r w:rsidRPr="004E6412">
        <w:rPr>
          <w:rFonts w:ascii="Times New Roman" w:hAnsi="Times New Roman"/>
        </w:rPr>
        <w:t xml:space="preserve"> </w:t>
      </w:r>
      <w:r w:rsidR="00D926C8" w:rsidRPr="004E6412">
        <w:rPr>
          <w:rFonts w:ascii="Times New Roman" w:hAnsi="Times New Roman"/>
        </w:rPr>
        <w:t>slijedi visok udio zaposlenih s</w:t>
      </w:r>
      <w:r w:rsidRPr="004E6412">
        <w:rPr>
          <w:rFonts w:ascii="Times New Roman" w:hAnsi="Times New Roman"/>
        </w:rPr>
        <w:t xml:space="preserve"> visokom stručnom spremom (34,20%).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Proizvodnja farmaceutskih pripravaka čini gotovo 100% cjelokupne aktive (pasive) djelatnosti. Druga poddjelatnost, proizvodnja osnovnih farmaceutskih proizvoda, činila je manje od 0,2% djelatnosti po svim kategorijama bilance. Prema pokazateljima EBITDA, BDV</w:t>
      </w:r>
      <w:r w:rsidR="00D926C8" w:rsidRPr="004E6412">
        <w:rPr>
          <w:rFonts w:ascii="Times New Roman" w:hAnsi="Times New Roman"/>
        </w:rPr>
        <w:t>-a</w:t>
      </w:r>
      <w:r w:rsidRPr="004E6412">
        <w:rPr>
          <w:rFonts w:ascii="Times New Roman" w:hAnsi="Times New Roman"/>
        </w:rPr>
        <w:t>, izvoza i uvoza ovih poddjelatnosti</w:t>
      </w:r>
      <w:r w:rsidR="00D926C8" w:rsidRPr="004E6412">
        <w:rPr>
          <w:rFonts w:ascii="Times New Roman" w:hAnsi="Times New Roman"/>
        </w:rPr>
        <w:t>,</w:t>
      </w:r>
      <w:r w:rsidRPr="004E6412">
        <w:rPr>
          <w:rFonts w:ascii="Times New Roman" w:hAnsi="Times New Roman"/>
        </w:rPr>
        <w:t xml:space="preserve"> proizvodnja farmaceutskih pripravaka čini gotovo 100% svih promatranih vrijednosti ukupne djelatnosti.</w:t>
      </w:r>
    </w:p>
    <w:p w:rsidR="001B41B0" w:rsidRPr="004E6412" w:rsidRDefault="001B41B0" w:rsidP="001B41B0">
      <w:pPr>
        <w:rPr>
          <w:rFonts w:eastAsia="Times New Roman"/>
          <w:b/>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rPr>
        <w:t>U Hrvatskoj</w:t>
      </w:r>
      <w:r w:rsidR="00D926C8" w:rsidRPr="004E6412">
        <w:rPr>
          <w:rFonts w:ascii="Times New Roman" w:eastAsia="Times New Roman" w:hAnsi="Times New Roman"/>
        </w:rPr>
        <w:t xml:space="preserve"> politiku lijekova uređuju Ministarstvo zdravlja i Hrvatski zavod</w:t>
      </w:r>
      <w:r w:rsidRPr="004E6412">
        <w:rPr>
          <w:rFonts w:ascii="Times New Roman" w:eastAsia="Times New Roman" w:hAnsi="Times New Roman"/>
        </w:rPr>
        <w:t xml:space="preserve"> za zdravstveno osiguranje (HZZO). HZZO izdaje osnov</w:t>
      </w:r>
      <w:r w:rsidR="00D926C8" w:rsidRPr="004E6412">
        <w:rPr>
          <w:rFonts w:ascii="Times New Roman" w:eastAsia="Times New Roman" w:hAnsi="Times New Roman"/>
        </w:rPr>
        <w:t xml:space="preserve">nu i dopunsku listu lijekova, </w:t>
      </w:r>
      <w:r w:rsidRPr="004E6412">
        <w:rPr>
          <w:rFonts w:ascii="Times New Roman" w:eastAsia="Times New Roman" w:hAnsi="Times New Roman"/>
        </w:rPr>
        <w:t xml:space="preserve">sukladno Pravilniku o mjerilima za stavljanje lijekova na osnovnu i dopunsku listu lijekova HZZO-a. Osnovna lista </w:t>
      </w:r>
      <w:r w:rsidRPr="004E6412">
        <w:rPr>
          <w:rFonts w:ascii="Times New Roman" w:eastAsia="Times New Roman" w:hAnsi="Times New Roman"/>
        </w:rPr>
        <w:lastRenderedPageBreak/>
        <w:t xml:space="preserve">sadržava medicinsko ekonomski svrsishodne lijekove za </w:t>
      </w:r>
      <w:r w:rsidR="005A4D62" w:rsidRPr="004E6412">
        <w:rPr>
          <w:rFonts w:ascii="Times New Roman" w:eastAsia="Times New Roman" w:hAnsi="Times New Roman"/>
        </w:rPr>
        <w:t xml:space="preserve">liječenje svih bolesti, a </w:t>
      </w:r>
      <w:r w:rsidRPr="004E6412">
        <w:rPr>
          <w:rFonts w:ascii="Times New Roman" w:eastAsia="Times New Roman" w:hAnsi="Times New Roman"/>
        </w:rPr>
        <w:t xml:space="preserve">osiguranim </w:t>
      </w:r>
      <w:r w:rsidR="005A4D62" w:rsidRPr="004E6412">
        <w:rPr>
          <w:rFonts w:ascii="Times New Roman" w:eastAsia="Times New Roman" w:hAnsi="Times New Roman"/>
        </w:rPr>
        <w:t xml:space="preserve">se </w:t>
      </w:r>
      <w:r w:rsidRPr="004E6412">
        <w:rPr>
          <w:rFonts w:ascii="Times New Roman" w:eastAsia="Times New Roman" w:hAnsi="Times New Roman"/>
        </w:rPr>
        <w:t>osobama HZZO</w:t>
      </w:r>
      <w:r w:rsidR="00D926C8" w:rsidRPr="004E6412">
        <w:rPr>
          <w:rFonts w:ascii="Times New Roman" w:eastAsia="Times New Roman" w:hAnsi="Times New Roman"/>
        </w:rPr>
        <w:t>-a</w:t>
      </w:r>
      <w:r w:rsidRPr="004E6412">
        <w:rPr>
          <w:rFonts w:ascii="Times New Roman" w:eastAsia="Times New Roman" w:hAnsi="Times New Roman"/>
        </w:rPr>
        <w:t xml:space="preserve"> u</w:t>
      </w:r>
      <w:r w:rsidR="00D926C8" w:rsidRPr="004E6412">
        <w:rPr>
          <w:rFonts w:ascii="Times New Roman" w:eastAsia="Times New Roman" w:hAnsi="Times New Roman"/>
        </w:rPr>
        <w:t xml:space="preserve"> cijelosti osiguravaju </w:t>
      </w:r>
      <w:r w:rsidRPr="004E6412">
        <w:rPr>
          <w:rFonts w:ascii="Times New Roman" w:eastAsia="Times New Roman" w:hAnsi="Times New Roman"/>
        </w:rPr>
        <w:t>prava na zdravstvenu zaštitu iz obveznoga zdravstvenog osiguranja. Dopunska lista sadržava lijekove s višom razinom cijene od cijena lijekova utvrđenih na osnovnoj listi. Na osnovnoj listi lijekova HZZO-a</w:t>
      </w:r>
      <w:r w:rsidR="005A4D62" w:rsidRPr="004E6412">
        <w:rPr>
          <w:rFonts w:ascii="Times New Roman" w:eastAsia="Times New Roman" w:hAnsi="Times New Roman"/>
        </w:rPr>
        <w:t>,</w:t>
      </w:r>
      <w:r w:rsidRPr="004E6412">
        <w:rPr>
          <w:rFonts w:ascii="Times New Roman" w:eastAsia="Times New Roman" w:hAnsi="Times New Roman"/>
        </w:rPr>
        <w:t xml:space="preserve"> u primjeni od 4. svibnja 2013., nalazi se 3.268 lijekova. </w:t>
      </w:r>
      <w:r w:rsidRPr="004E6412">
        <w:rPr>
          <w:rFonts w:ascii="Times New Roman" w:hAnsi="Times New Roman"/>
          <w:lang w:eastAsia="hr-HR"/>
        </w:rPr>
        <w:t>Ukupan broj nacionalnih odobrenja za stavljanje gotovog</w:t>
      </w:r>
      <w:r w:rsidR="005A4D62" w:rsidRPr="004E6412">
        <w:rPr>
          <w:rFonts w:ascii="Times New Roman" w:hAnsi="Times New Roman"/>
          <w:lang w:eastAsia="hr-HR"/>
        </w:rPr>
        <w:t>a</w:t>
      </w:r>
      <w:r w:rsidRPr="004E6412">
        <w:rPr>
          <w:rFonts w:ascii="Times New Roman" w:hAnsi="Times New Roman"/>
          <w:lang w:eastAsia="hr-HR"/>
        </w:rPr>
        <w:t xml:space="preserve"> lijeka u promet, a koji su u nadležnosti Agencije za li</w:t>
      </w:r>
      <w:r w:rsidR="005A4D62" w:rsidRPr="004E6412">
        <w:rPr>
          <w:rFonts w:ascii="Times New Roman" w:hAnsi="Times New Roman"/>
          <w:lang w:eastAsia="hr-HR"/>
        </w:rPr>
        <w:t>jekove i medicinske proizvode, iznosi</w:t>
      </w:r>
      <w:r w:rsidRPr="004E6412">
        <w:rPr>
          <w:rFonts w:ascii="Times New Roman" w:hAnsi="Times New Roman"/>
          <w:lang w:eastAsia="hr-HR"/>
        </w:rPr>
        <w:t xml:space="preserve"> 4.123, od čega je lijekova koje proizvod</w:t>
      </w:r>
      <w:r w:rsidR="005A4D62" w:rsidRPr="004E6412">
        <w:rPr>
          <w:rFonts w:ascii="Times New Roman" w:hAnsi="Times New Roman"/>
          <w:lang w:eastAsia="hr-HR"/>
        </w:rPr>
        <w:t xml:space="preserve">e domaći proizvođači 28%, a </w:t>
      </w:r>
      <w:r w:rsidRPr="004E6412">
        <w:rPr>
          <w:rFonts w:ascii="Times New Roman" w:hAnsi="Times New Roman"/>
          <w:lang w:eastAsia="hr-HR"/>
        </w:rPr>
        <w:t>lijekova stranih proizvođača</w:t>
      </w:r>
      <w:r w:rsidR="005A4D62" w:rsidRPr="004E6412">
        <w:rPr>
          <w:rFonts w:ascii="Times New Roman" w:hAnsi="Times New Roman"/>
          <w:lang w:eastAsia="hr-HR"/>
        </w:rPr>
        <w:t xml:space="preserve"> 72%</w:t>
      </w:r>
      <w:r w:rsidRPr="004E6412">
        <w:rPr>
          <w:rFonts w:ascii="Times New Roman" w:hAnsi="Times New Roman"/>
          <w:lang w:eastAsia="hr-HR"/>
        </w:rPr>
        <w:t>. Od tog</w:t>
      </w:r>
      <w:r w:rsidR="005A4D62" w:rsidRPr="004E6412">
        <w:rPr>
          <w:rFonts w:ascii="Times New Roman" w:hAnsi="Times New Roman"/>
          <w:lang w:eastAsia="hr-HR"/>
        </w:rPr>
        <w:t>a</w:t>
      </w:r>
      <w:r w:rsidRPr="004E6412">
        <w:rPr>
          <w:rFonts w:ascii="Times New Roman" w:hAnsi="Times New Roman"/>
          <w:lang w:eastAsia="hr-HR"/>
        </w:rPr>
        <w:t xml:space="preserve"> broja 24% je originalnih lijekova, a 76% je lijekova odobrenih prema drugim zakonskim osnovama (generički lijek, lijek s provjerenom medicinskom primjenom, tradicionalni biljni lijek). </w:t>
      </w:r>
      <w:r w:rsidR="005A4D62" w:rsidRPr="004E6412">
        <w:rPr>
          <w:rFonts w:ascii="Times New Roman" w:eastAsia="Times New Roman" w:hAnsi="Times New Roman"/>
          <w:lang w:eastAsia="hr-HR"/>
        </w:rPr>
        <w:t>Prema europskim propisima</w:t>
      </w:r>
      <w:r w:rsidRPr="004E6412">
        <w:rPr>
          <w:rFonts w:ascii="Times New Roman" w:eastAsia="Times New Roman" w:hAnsi="Times New Roman"/>
          <w:lang w:eastAsia="hr-HR"/>
        </w:rPr>
        <w:t xml:space="preserve"> najveći broj originalnih lijekova mora proći postupak odobrenja putem centraliziranog</w:t>
      </w:r>
      <w:r w:rsidR="005A4D62"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i zbog toga je omjer izdanih odobrenja za originalne lijekove (82%) u odnosu na generičke lijekove (18%) značajno veći u usporedb</w:t>
      </w:r>
      <w:r w:rsidR="005A4D62" w:rsidRPr="004E6412">
        <w:rPr>
          <w:rFonts w:ascii="Times New Roman" w:eastAsia="Times New Roman" w:hAnsi="Times New Roman"/>
          <w:lang w:eastAsia="hr-HR"/>
        </w:rPr>
        <w:t>i s nacionalnim odobrenjima. Sve lijekove odobrene</w:t>
      </w:r>
      <w:r w:rsidRPr="004E6412">
        <w:rPr>
          <w:rFonts w:ascii="Times New Roman" w:eastAsia="Times New Roman" w:hAnsi="Times New Roman"/>
          <w:lang w:eastAsia="hr-HR"/>
        </w:rPr>
        <w:t xml:space="preserve"> centraliziranim postupkom proizvode strani proizvođači jer domaći proizvođači nisu mogli sudjelovati u centraliziranom postupku odobravanja prije ulaska Hrvatske u EU.</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Smanjivanje jediničnih cijena lijekova i uvođenje suvreme</w:t>
      </w:r>
      <w:r w:rsidR="005A4D62" w:rsidRPr="004E6412">
        <w:rPr>
          <w:rFonts w:ascii="Times New Roman" w:eastAsia="Times New Roman" w:hAnsi="Times New Roman"/>
          <w:lang w:eastAsia="hr-HR"/>
        </w:rPr>
        <w:t>nih regulatornih mjera po uzoru</w:t>
      </w:r>
      <w:r w:rsidRPr="004E6412">
        <w:rPr>
          <w:rFonts w:ascii="Times New Roman" w:eastAsia="Times New Roman" w:hAnsi="Times New Roman"/>
          <w:lang w:eastAsia="hr-HR"/>
        </w:rPr>
        <w:t xml:space="preserve"> na dr</w:t>
      </w:r>
      <w:r w:rsidR="005A4D62" w:rsidRPr="004E6412">
        <w:rPr>
          <w:rFonts w:ascii="Times New Roman" w:eastAsia="Times New Roman" w:hAnsi="Times New Roman"/>
          <w:lang w:eastAsia="hr-HR"/>
        </w:rPr>
        <w:t>uge europske zemlje omogućavaju da se na l</w:t>
      </w:r>
      <w:r w:rsidRPr="004E6412">
        <w:rPr>
          <w:rFonts w:ascii="Times New Roman" w:eastAsia="Times New Roman" w:hAnsi="Times New Roman"/>
          <w:lang w:eastAsia="hr-HR"/>
        </w:rPr>
        <w:t>iste uvrsti velik broj novih lijekova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čime se medicinska praksa u Hrvatskoj približila onoj zapadnih zemalja. Samo u razdoblju 2009.</w:t>
      </w:r>
      <w:r w:rsidR="005A4D62"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2011. uvršteno je </w:t>
      </w:r>
      <w:r w:rsidRPr="004E6412">
        <w:rPr>
          <w:rFonts w:ascii="Times New Roman" w:eastAsia="Times New Roman" w:hAnsi="Times New Roman"/>
          <w:iCs/>
          <w:lang w:eastAsia="hr-HR"/>
        </w:rPr>
        <w:t xml:space="preserve">85 </w:t>
      </w:r>
      <w:r w:rsidR="005A4D62" w:rsidRPr="004E6412">
        <w:rPr>
          <w:rFonts w:ascii="Times New Roman" w:eastAsia="Times New Roman" w:hAnsi="Times New Roman"/>
          <w:lang w:eastAsia="hr-HR"/>
        </w:rPr>
        <w:t>novih lijekova na</w:t>
      </w:r>
      <w:r w:rsidRPr="004E6412">
        <w:rPr>
          <w:rFonts w:ascii="Times New Roman" w:eastAsia="Times New Roman" w:hAnsi="Times New Roman"/>
          <w:lang w:eastAsia="hr-HR"/>
        </w:rPr>
        <w:t xml:space="preserve"> liste lijekova HZZO-a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uz očuvanje postojećih lijekova na listama.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U Hrvatskoj PDV na lijekove izdane na recept iznosi 5%, a na lijekove u izravnoj prodaji (OTC) 25%. Stope PDV-a u zemljama EU</w:t>
      </w:r>
      <w:r w:rsidR="005A4D62" w:rsidRPr="004E6412">
        <w:rPr>
          <w:rFonts w:ascii="Times New Roman" w:eastAsia="Times New Roman" w:hAnsi="Times New Roman"/>
          <w:lang w:eastAsia="hr-HR"/>
        </w:rPr>
        <w:t xml:space="preserve">-a </w:t>
      </w:r>
      <w:r w:rsidRPr="004E6412">
        <w:rPr>
          <w:rFonts w:ascii="Times New Roman" w:eastAsia="Times New Roman" w:hAnsi="Times New Roman"/>
          <w:lang w:eastAsia="hr-HR"/>
        </w:rPr>
        <w:t xml:space="preserve">znatno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razlikuju, od 25% u Danskoj do nultih stopa u Švedskoj, Malti i Velikoj Britaniji na lijekove na recept</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te od 25% na lijekove u izravnoj prodaji u Danskoj i Švedskoj do nulte stope u Malti. U Irskoj se na oralne oblike lijekova </w:t>
      </w:r>
      <w:r w:rsidR="005A4D62" w:rsidRPr="004E6412">
        <w:rPr>
          <w:rFonts w:ascii="Times New Roman" w:eastAsia="Times New Roman" w:hAnsi="Times New Roman"/>
          <w:lang w:eastAsia="hr-HR"/>
        </w:rPr>
        <w:t>ne plaća PDV, a na sve ostale iznosi 23%, dok u Litvi na lijekove</w:t>
      </w:r>
      <w:r w:rsidRPr="004E6412">
        <w:rPr>
          <w:rFonts w:ascii="Times New Roman" w:eastAsia="Times New Roman" w:hAnsi="Times New Roman"/>
          <w:lang w:eastAsia="hr-HR"/>
        </w:rPr>
        <w:t xml:space="preserve"> na listama</w:t>
      </w:r>
      <w:r w:rsidR="005A4D62" w:rsidRPr="004E6412">
        <w:rPr>
          <w:rFonts w:ascii="Times New Roman" w:eastAsia="Times New Roman" w:hAnsi="Times New Roman"/>
          <w:lang w:eastAsia="hr-HR"/>
        </w:rPr>
        <w:t xml:space="preserve"> PDV iznosi </w:t>
      </w:r>
      <w:r w:rsidRPr="004E6412">
        <w:rPr>
          <w:rFonts w:ascii="Times New Roman" w:eastAsia="Times New Roman" w:hAnsi="Times New Roman"/>
          <w:lang w:eastAsia="hr-HR"/>
        </w:rPr>
        <w:t xml:space="preserve"> 5%, a na sve ostale 21%.</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Može se zaključiti da proizvodnju osnovnih farmaceutskih proizvoda i farmaceutskih pripravaka u Hrvatskoj obilježava visok potencijal rast</w:t>
      </w:r>
      <w:r w:rsidR="005A4D62" w:rsidRPr="004E6412">
        <w:rPr>
          <w:rFonts w:ascii="Times New Roman" w:eastAsia="Times New Roman" w:hAnsi="Times New Roman"/>
          <w:lang w:eastAsia="hr-HR"/>
        </w:rPr>
        <w:t>a, strogo zakonodavstvo</w:t>
      </w:r>
      <w:r w:rsidRPr="004E6412">
        <w:rPr>
          <w:rFonts w:ascii="Times New Roman" w:eastAsia="Times New Roman" w:hAnsi="Times New Roman"/>
          <w:lang w:eastAsia="hr-HR"/>
        </w:rPr>
        <w:t xml:space="preserve">, potreba za </w:t>
      </w:r>
      <w:r w:rsidR="005A4D62" w:rsidRPr="004E6412">
        <w:rPr>
          <w:rFonts w:ascii="Times New Roman" w:eastAsia="Times New Roman" w:hAnsi="Times New Roman"/>
          <w:lang w:eastAsia="hr-HR"/>
        </w:rPr>
        <w:t>visokim ulaganjima i stalnim unaprjeđenjem</w:t>
      </w:r>
      <w:r w:rsidRPr="004E6412">
        <w:rPr>
          <w:rFonts w:ascii="Times New Roman" w:eastAsia="Times New Roman" w:hAnsi="Times New Roman"/>
          <w:lang w:eastAsia="hr-HR"/>
        </w:rPr>
        <w:t xml:space="preserve"> istraživanja i razvoja.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Ograničavajući čimbenici djelovanja i razvoja djelatnosti rezultat</w:t>
      </w:r>
      <w:r w:rsidR="005A4D62" w:rsidRPr="004E6412">
        <w:rPr>
          <w:rFonts w:ascii="Times New Roman" w:eastAsia="Times New Roman" w:hAnsi="Times New Roman"/>
          <w:lang w:eastAsia="hr-HR"/>
        </w:rPr>
        <w:t xml:space="preserve"> su strogih propisa</w:t>
      </w:r>
      <w:r w:rsidRPr="004E6412">
        <w:rPr>
          <w:rFonts w:ascii="Times New Roman" w:eastAsia="Times New Roman" w:hAnsi="Times New Roman"/>
          <w:lang w:eastAsia="hr-HR"/>
        </w:rPr>
        <w:t xml:space="preserve"> i kontrole kvalitete i proizvodnje, postupka registracije i slično, koji predstavljaju izvor troškova za poduzeća. Posebno osjetljivo područje je pravo</w:t>
      </w:r>
      <w:r w:rsidR="005A4D62" w:rsidRPr="004E6412">
        <w:rPr>
          <w:rFonts w:ascii="Times New Roman" w:eastAsia="Times New Roman" w:hAnsi="Times New Roman"/>
          <w:lang w:eastAsia="hr-HR"/>
        </w:rPr>
        <w:t>vremeno informiranje o usvojenim</w:t>
      </w:r>
      <w:r w:rsidRPr="004E6412">
        <w:rPr>
          <w:rFonts w:ascii="Times New Roman" w:eastAsia="Times New Roman" w:hAnsi="Times New Roman"/>
          <w:lang w:eastAsia="hr-HR"/>
        </w:rPr>
        <w:t xml:space="preserve"> za</w:t>
      </w:r>
      <w:r w:rsidR="005A4D62" w:rsidRPr="004E6412">
        <w:rPr>
          <w:rFonts w:ascii="Times New Roman" w:eastAsia="Times New Roman" w:hAnsi="Times New Roman"/>
          <w:lang w:eastAsia="hr-HR"/>
        </w:rPr>
        <w:t>konima, odnosno novom zakonodavstvu</w:t>
      </w:r>
      <w:r w:rsidRPr="004E6412">
        <w:rPr>
          <w:rFonts w:ascii="Times New Roman" w:eastAsia="Times New Roman" w:hAnsi="Times New Roman"/>
          <w:lang w:eastAsia="hr-HR"/>
        </w:rPr>
        <w:t xml:space="preserve"> te prilagodba i</w:t>
      </w:r>
      <w:r w:rsidR="005A4D62" w:rsidRPr="004E6412">
        <w:rPr>
          <w:rFonts w:ascii="Times New Roman" w:eastAsia="Times New Roman" w:hAnsi="Times New Roman"/>
          <w:lang w:eastAsia="hr-HR"/>
        </w:rPr>
        <w:t>stome</w:t>
      </w:r>
      <w:r w:rsidRPr="004E6412">
        <w:rPr>
          <w:rFonts w:ascii="Times New Roman" w:eastAsia="Times New Roman" w:hAnsi="Times New Roman"/>
          <w:lang w:eastAsia="hr-HR"/>
        </w:rPr>
        <w:t>.</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Djelatnost se temelji na prodaji gotovih proizvoda ili poluproizvod</w:t>
      </w:r>
      <w:r w:rsidR="005A4D62" w:rsidRPr="004E6412">
        <w:rPr>
          <w:rFonts w:ascii="Times New Roman" w:eastAsia="Times New Roman" w:hAnsi="Times New Roman"/>
          <w:lang w:eastAsia="hr-HR"/>
        </w:rPr>
        <w:t xml:space="preserve">a, a sirovine za proizvodnju </w:t>
      </w:r>
      <w:r w:rsidRPr="004E6412">
        <w:rPr>
          <w:rFonts w:ascii="Times New Roman" w:eastAsia="Times New Roman" w:hAnsi="Times New Roman"/>
          <w:lang w:eastAsia="hr-HR"/>
        </w:rPr>
        <w:t xml:space="preserve">većinom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uvoze.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Potencijali razvoja i snage djelatnosti ogledaju se u tehnološkoj opremljenosti poduzeća koja prati globalne trendove, no za ostvarivanje konkurentske pozicije ključna su znanja i istraživanje i razvoj</w:t>
      </w:r>
      <w:r w:rsidR="005A4D62" w:rsidRPr="004E6412">
        <w:rPr>
          <w:rFonts w:ascii="Times New Roman" w:eastAsia="Times New Roman" w:hAnsi="Times New Roman"/>
          <w:lang w:eastAsia="hr-HR"/>
        </w:rPr>
        <w:t xml:space="preserve">, a uz to </w:t>
      </w:r>
      <w:r w:rsidRPr="004E6412">
        <w:rPr>
          <w:rFonts w:ascii="Times New Roman" w:eastAsia="Times New Roman" w:hAnsi="Times New Roman"/>
          <w:lang w:eastAsia="hr-HR"/>
        </w:rPr>
        <w:t xml:space="preserve">su od iznimne važnosti ulaganja u opremu i strojeve. Hrvatska farmaceutska industrija, s obzirom na svoju veličinu, ulaže zadovoljavajuće </w:t>
      </w:r>
      <w:r w:rsidR="005A4D62" w:rsidRPr="004E6412">
        <w:rPr>
          <w:rFonts w:ascii="Times New Roman" w:eastAsia="Times New Roman" w:hAnsi="Times New Roman"/>
          <w:lang w:eastAsia="hr-HR"/>
        </w:rPr>
        <w:t xml:space="preserve">iznose </w:t>
      </w:r>
      <w:r w:rsidRPr="004E6412">
        <w:rPr>
          <w:rFonts w:ascii="Times New Roman" w:eastAsia="Times New Roman" w:hAnsi="Times New Roman"/>
          <w:lang w:eastAsia="hr-HR"/>
        </w:rPr>
        <w:t xml:space="preserve">u istraživanje i razvoj u odnosu na konkurente </w:t>
      </w:r>
      <w:r w:rsidR="005A4D62" w:rsidRPr="004E6412">
        <w:rPr>
          <w:rFonts w:ascii="Times New Roman" w:eastAsia="Times New Roman" w:hAnsi="Times New Roman"/>
          <w:lang w:eastAsia="hr-HR"/>
        </w:rPr>
        <w:t xml:space="preserve">te je bogata ljudskim potencijalima </w:t>
      </w:r>
      <w:r w:rsidRPr="004E6412">
        <w:rPr>
          <w:rFonts w:ascii="Times New Roman" w:eastAsia="Times New Roman" w:hAnsi="Times New Roman"/>
          <w:lang w:eastAsia="hr-HR"/>
        </w:rPr>
        <w:t xml:space="preserve">s visokom razinom znanja i stručnosti. Postoji visok izvozni potencijal i potencijal rasta djelatnosti te prilike za privlačenje ulaganja.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Perspektive budućeg razvoja hrvatskih proizvođača osnovnih farmaceutskih proizvoda i farmaceutskih pripravaka temelje se na razvoju posebnih niša koje predstavljaju moguć</w:t>
      </w:r>
      <w:r w:rsidR="007279B4" w:rsidRPr="004E6412">
        <w:rPr>
          <w:rFonts w:ascii="Times New Roman" w:eastAsia="Times New Roman" w:hAnsi="Times New Roman"/>
          <w:lang w:eastAsia="hr-HR"/>
        </w:rPr>
        <w:t>i</w:t>
      </w:r>
      <w:r w:rsidRPr="004E6412">
        <w:rPr>
          <w:rFonts w:ascii="Times New Roman" w:eastAsia="Times New Roman" w:hAnsi="Times New Roman"/>
          <w:lang w:eastAsia="hr-HR"/>
        </w:rPr>
        <w:t xml:space="preserve"> dodatan izvor prihoda koji se mogu </w:t>
      </w:r>
      <w:r w:rsidR="007279B4" w:rsidRPr="004E6412">
        <w:rPr>
          <w:rFonts w:ascii="Times New Roman" w:eastAsia="Times New Roman" w:hAnsi="Times New Roman"/>
          <w:lang w:eastAsia="hr-HR"/>
        </w:rPr>
        <w:t xml:space="preserve">dalje ulagati </w:t>
      </w:r>
      <w:r w:rsidRPr="004E6412">
        <w:rPr>
          <w:rFonts w:ascii="Times New Roman" w:eastAsia="Times New Roman" w:hAnsi="Times New Roman"/>
          <w:lang w:eastAsia="hr-HR"/>
        </w:rPr>
        <w:t>u istraživanje i razvoj, unapr</w:t>
      </w:r>
      <w:r w:rsidR="007279B4" w:rsidRPr="004E6412">
        <w:rPr>
          <w:rFonts w:ascii="Times New Roman" w:eastAsia="Times New Roman" w:hAnsi="Times New Roman"/>
          <w:lang w:eastAsia="hr-HR"/>
        </w:rPr>
        <w:t>j</w:t>
      </w:r>
      <w:r w:rsidRPr="004E6412">
        <w:rPr>
          <w:rFonts w:ascii="Times New Roman" w:eastAsia="Times New Roman" w:hAnsi="Times New Roman"/>
          <w:lang w:eastAsia="hr-HR"/>
        </w:rPr>
        <w:t>eđenje kvalitete i drugo. Potencijal inoviranja je visok, no s obzirom na specifičnost djelatnosti postoji velik rizik stvaranja inovacije koja bi u konačnici bila odobrena za primjenu i prodaju.</w:t>
      </w:r>
    </w:p>
    <w:p w:rsidR="001B41B0" w:rsidRPr="004E6412" w:rsidRDefault="001B41B0" w:rsidP="001B41B0">
      <w:pPr>
        <w:rPr>
          <w:b/>
          <w:bCs/>
          <w:color w:val="365F91"/>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lang w:eastAsia="hr-HR"/>
        </w:rPr>
      </w:pPr>
      <w:bookmarkStart w:id="673" w:name="_Toc372088026"/>
      <w:bookmarkStart w:id="674" w:name="_Toc378069087"/>
      <w:r w:rsidRPr="004E6412">
        <w:rPr>
          <w:rFonts w:eastAsia="Calibri"/>
        </w:rPr>
        <w:lastRenderedPageBreak/>
        <w:t>Zaključni prikaz pokazatelja</w:t>
      </w:r>
      <w:bookmarkEnd w:id="673"/>
      <w:bookmarkEnd w:id="674"/>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675" w:name="_Toc372088155"/>
      <w:bookmarkStart w:id="676" w:name="_Toc377551090"/>
      <w:bookmarkStart w:id="677" w:name="_Toc37763527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78</w:t>
      </w:r>
      <w:r w:rsidRPr="007D0CFD">
        <w:rPr>
          <w:rStyle w:val="IntenseEmphasis"/>
          <w:b/>
          <w:bCs w:val="0"/>
          <w:iCs w:val="0"/>
          <w:color w:val="548DD4" w:themeColor="text2" w:themeTint="99"/>
          <w:sz w:val="20"/>
        </w:rPr>
        <w:t>. Kvantitativni pokazatelji (C21)</w:t>
      </w:r>
      <w:bookmarkEnd w:id="675"/>
      <w:bookmarkEnd w:id="676"/>
      <w:bookmarkEnd w:id="67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100,50</w:t>
            </w:r>
          </w:p>
        </w:tc>
        <w:tc>
          <w:tcPr>
            <w:tcW w:w="968" w:type="pct"/>
            <w:shd w:val="clear" w:color="auto" w:fill="auto"/>
            <w:noWrap/>
          </w:tcPr>
          <w:p w:rsidR="001B41B0" w:rsidRPr="004E6412" w:rsidRDefault="001B41B0" w:rsidP="001B41B0">
            <w:pPr>
              <w:jc w:val="right"/>
            </w:pPr>
            <w:r w:rsidRPr="004E6412">
              <w:rPr>
                <w:sz w:val="22"/>
              </w:rPr>
              <w:t>99,20</w:t>
            </w:r>
          </w:p>
        </w:tc>
        <w:tc>
          <w:tcPr>
            <w:tcW w:w="1100" w:type="pct"/>
            <w:shd w:val="clear" w:color="auto" w:fill="auto"/>
            <w:noWrap/>
          </w:tcPr>
          <w:p w:rsidR="001B41B0" w:rsidRPr="004E6412" w:rsidRDefault="001B41B0" w:rsidP="001B41B0">
            <w:pPr>
              <w:jc w:val="right"/>
            </w:pPr>
            <w:r w:rsidRPr="004E6412">
              <w:rPr>
                <w:sz w:val="22"/>
              </w:rPr>
              <w:t>105,24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131,1</w:t>
            </w:r>
          </w:p>
        </w:tc>
        <w:tc>
          <w:tcPr>
            <w:tcW w:w="968" w:type="pct"/>
            <w:shd w:val="clear" w:color="auto" w:fill="auto"/>
            <w:noWrap/>
          </w:tcPr>
          <w:p w:rsidR="001B41B0" w:rsidRPr="004E6412" w:rsidRDefault="001B41B0" w:rsidP="001B41B0">
            <w:pPr>
              <w:jc w:val="right"/>
            </w:pPr>
            <w:r w:rsidRPr="004E6412">
              <w:rPr>
                <w:sz w:val="22"/>
              </w:rPr>
              <w:t>93,7</w:t>
            </w:r>
          </w:p>
        </w:tc>
        <w:tc>
          <w:tcPr>
            <w:tcW w:w="1100" w:type="pct"/>
            <w:shd w:val="clear" w:color="auto" w:fill="auto"/>
            <w:noWrap/>
          </w:tcPr>
          <w:p w:rsidR="001B41B0" w:rsidRPr="004E6412" w:rsidRDefault="005A57E5" w:rsidP="001B41B0">
            <w:pPr>
              <w:jc w:val="right"/>
            </w:pPr>
            <w:r w:rsidRPr="004E6412">
              <w:rPr>
                <w:sz w:val="22"/>
              </w:rPr>
              <w:t>123,3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3.847</w:t>
            </w:r>
          </w:p>
        </w:tc>
        <w:tc>
          <w:tcPr>
            <w:tcW w:w="968" w:type="pct"/>
            <w:shd w:val="clear" w:color="auto" w:fill="auto"/>
            <w:noWrap/>
          </w:tcPr>
          <w:p w:rsidR="001B41B0" w:rsidRPr="004E6412" w:rsidRDefault="001B41B0" w:rsidP="001B41B0">
            <w:pPr>
              <w:jc w:val="right"/>
            </w:pPr>
            <w:r w:rsidRPr="004E6412">
              <w:rPr>
                <w:sz w:val="22"/>
              </w:rPr>
              <w:t>3.937</w:t>
            </w:r>
          </w:p>
        </w:tc>
        <w:tc>
          <w:tcPr>
            <w:tcW w:w="1100" w:type="pct"/>
            <w:shd w:val="clear" w:color="auto" w:fill="auto"/>
            <w:noWrap/>
          </w:tcPr>
          <w:p w:rsidR="001B41B0" w:rsidRPr="004E6412" w:rsidRDefault="001B41B0" w:rsidP="001B41B0">
            <w:pPr>
              <w:jc w:val="right"/>
            </w:pPr>
            <w:r w:rsidRPr="004E6412">
              <w:rPr>
                <w:sz w:val="22"/>
              </w:rPr>
              <w:t>4.126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4.220.334.882</w:t>
            </w:r>
          </w:p>
        </w:tc>
        <w:tc>
          <w:tcPr>
            <w:tcW w:w="968" w:type="pct"/>
            <w:shd w:val="clear" w:color="auto" w:fill="auto"/>
            <w:noWrap/>
          </w:tcPr>
          <w:p w:rsidR="001B41B0" w:rsidRPr="004E6412" w:rsidRDefault="001B41B0" w:rsidP="001B41B0">
            <w:pPr>
              <w:jc w:val="right"/>
            </w:pPr>
            <w:r w:rsidRPr="004E6412">
              <w:rPr>
                <w:sz w:val="22"/>
              </w:rPr>
              <w:t>4.470.691.213</w:t>
            </w:r>
          </w:p>
        </w:tc>
        <w:tc>
          <w:tcPr>
            <w:tcW w:w="1100" w:type="pct"/>
            <w:shd w:val="clear" w:color="auto" w:fill="auto"/>
            <w:noWrap/>
          </w:tcPr>
          <w:p w:rsidR="001B41B0" w:rsidRPr="004E6412" w:rsidRDefault="001B41B0" w:rsidP="001B41B0">
            <w:pPr>
              <w:jc w:val="right"/>
            </w:pPr>
            <w:r w:rsidRPr="004E6412">
              <w:rPr>
                <w:sz w:val="22"/>
              </w:rPr>
              <w:t>5.201.680.904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941.839.062</w:t>
            </w:r>
          </w:p>
        </w:tc>
        <w:tc>
          <w:tcPr>
            <w:tcW w:w="968" w:type="pct"/>
            <w:shd w:val="clear" w:color="auto" w:fill="auto"/>
            <w:noWrap/>
          </w:tcPr>
          <w:p w:rsidR="001B41B0" w:rsidRPr="004E6412" w:rsidRDefault="001B41B0" w:rsidP="001B41B0">
            <w:pPr>
              <w:jc w:val="right"/>
            </w:pPr>
            <w:r w:rsidRPr="004E6412">
              <w:rPr>
                <w:sz w:val="22"/>
              </w:rPr>
              <w:t>901.500.166</w:t>
            </w:r>
          </w:p>
        </w:tc>
        <w:tc>
          <w:tcPr>
            <w:tcW w:w="1100" w:type="pct"/>
            <w:shd w:val="clear" w:color="auto" w:fill="auto"/>
            <w:noWrap/>
          </w:tcPr>
          <w:p w:rsidR="001B41B0" w:rsidRPr="004E6412" w:rsidRDefault="001B41B0" w:rsidP="001B41B0">
            <w:pPr>
              <w:jc w:val="right"/>
            </w:pPr>
            <w:r w:rsidRPr="004E6412">
              <w:rPr>
                <w:sz w:val="22"/>
              </w:rPr>
              <w:t>1.029.384.668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18,44</w:t>
            </w:r>
          </w:p>
        </w:tc>
        <w:tc>
          <w:tcPr>
            <w:tcW w:w="968" w:type="pct"/>
            <w:shd w:val="clear" w:color="auto" w:fill="auto"/>
            <w:noWrap/>
          </w:tcPr>
          <w:p w:rsidR="001B41B0" w:rsidRPr="004E6412" w:rsidRDefault="001B41B0" w:rsidP="001B41B0">
            <w:pPr>
              <w:jc w:val="right"/>
            </w:pPr>
            <w:r w:rsidRPr="004E6412">
              <w:rPr>
                <w:sz w:val="22"/>
              </w:rPr>
              <w:t>17,33</w:t>
            </w:r>
          </w:p>
        </w:tc>
        <w:tc>
          <w:tcPr>
            <w:tcW w:w="1100" w:type="pct"/>
            <w:shd w:val="clear" w:color="auto" w:fill="auto"/>
            <w:noWrap/>
          </w:tcPr>
          <w:p w:rsidR="001B41B0" w:rsidRPr="004E6412" w:rsidRDefault="001B41B0" w:rsidP="001B41B0">
            <w:pPr>
              <w:jc w:val="right"/>
            </w:pPr>
            <w:r w:rsidRPr="004E6412">
              <w:rPr>
                <w:sz w:val="22"/>
              </w:rPr>
              <w:t>17,60</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1.097.046</w:t>
            </w:r>
          </w:p>
        </w:tc>
        <w:tc>
          <w:tcPr>
            <w:tcW w:w="968" w:type="pct"/>
            <w:shd w:val="clear" w:color="auto" w:fill="auto"/>
            <w:noWrap/>
          </w:tcPr>
          <w:p w:rsidR="001B41B0" w:rsidRPr="004E6412" w:rsidRDefault="001B41B0" w:rsidP="001B41B0">
            <w:pPr>
              <w:jc w:val="right"/>
            </w:pPr>
            <w:r w:rsidRPr="004E6412">
              <w:rPr>
                <w:sz w:val="22"/>
              </w:rPr>
              <w:t>1.135.558</w:t>
            </w:r>
          </w:p>
        </w:tc>
        <w:tc>
          <w:tcPr>
            <w:tcW w:w="1100" w:type="pct"/>
            <w:shd w:val="clear" w:color="auto" w:fill="auto"/>
            <w:noWrap/>
          </w:tcPr>
          <w:p w:rsidR="001B41B0" w:rsidRPr="004E6412" w:rsidRDefault="001B41B0" w:rsidP="001B41B0">
            <w:pPr>
              <w:jc w:val="right"/>
            </w:pPr>
            <w:r w:rsidRPr="004E6412">
              <w:rPr>
                <w:sz w:val="22"/>
              </w:rPr>
              <w:t>1.260.708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FFFFFF"/>
            <w:noWrap/>
          </w:tcPr>
          <w:p w:rsidR="001B41B0" w:rsidRPr="004E6412" w:rsidRDefault="001B41B0" w:rsidP="001B41B0">
            <w:pPr>
              <w:jc w:val="right"/>
            </w:pPr>
            <w:r w:rsidRPr="004E6412">
              <w:rPr>
                <w:sz w:val="22"/>
              </w:rPr>
              <w:t>1.932.539.541</w:t>
            </w:r>
          </w:p>
        </w:tc>
        <w:tc>
          <w:tcPr>
            <w:tcW w:w="968" w:type="pct"/>
            <w:shd w:val="clear" w:color="auto" w:fill="FFFFFF"/>
            <w:noWrap/>
          </w:tcPr>
          <w:p w:rsidR="001B41B0" w:rsidRPr="004E6412" w:rsidRDefault="001B41B0" w:rsidP="001B41B0">
            <w:pPr>
              <w:jc w:val="right"/>
            </w:pPr>
            <w:r w:rsidRPr="004E6412">
              <w:rPr>
                <w:sz w:val="22"/>
              </w:rPr>
              <w:t>1.963.812.475</w:t>
            </w:r>
          </w:p>
        </w:tc>
        <w:tc>
          <w:tcPr>
            <w:tcW w:w="1100" w:type="pct"/>
            <w:shd w:val="clear" w:color="auto" w:fill="FFFFFF"/>
            <w:noWrap/>
          </w:tcPr>
          <w:p w:rsidR="001B41B0" w:rsidRPr="004E6412" w:rsidRDefault="001B41B0" w:rsidP="001B41B0">
            <w:pPr>
              <w:jc w:val="right"/>
            </w:pPr>
            <w:r w:rsidRPr="004E6412">
              <w:rPr>
                <w:sz w:val="22"/>
              </w:rPr>
              <w:t>2.121.205.262</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171.467</w:t>
            </w:r>
          </w:p>
        </w:tc>
        <w:tc>
          <w:tcPr>
            <w:tcW w:w="968" w:type="pct"/>
            <w:shd w:val="clear" w:color="auto" w:fill="FFFFFF"/>
            <w:noWrap/>
          </w:tcPr>
          <w:p w:rsidR="001B41B0" w:rsidRPr="004E6412" w:rsidRDefault="001B41B0" w:rsidP="001B41B0">
            <w:pPr>
              <w:jc w:val="right"/>
            </w:pPr>
            <w:r w:rsidRPr="004E6412">
              <w:rPr>
                <w:sz w:val="22"/>
              </w:rPr>
              <w:t>150.350</w:t>
            </w:r>
          </w:p>
        </w:tc>
        <w:tc>
          <w:tcPr>
            <w:tcW w:w="1100" w:type="pct"/>
            <w:shd w:val="clear" w:color="auto" w:fill="FFFFFF"/>
            <w:noWrap/>
          </w:tcPr>
          <w:p w:rsidR="001B41B0" w:rsidRPr="004E6412" w:rsidRDefault="001B41B0" w:rsidP="001B41B0">
            <w:pPr>
              <w:jc w:val="right"/>
            </w:pPr>
            <w:r w:rsidRPr="004E6412">
              <w:rPr>
                <w:sz w:val="22"/>
              </w:rPr>
              <w:t>208.364</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19.792</w:t>
            </w:r>
          </w:p>
        </w:tc>
        <w:tc>
          <w:tcPr>
            <w:tcW w:w="968" w:type="pct"/>
            <w:shd w:val="clear" w:color="auto" w:fill="FFFFFF"/>
            <w:noWrap/>
          </w:tcPr>
          <w:p w:rsidR="001B41B0" w:rsidRPr="004E6412" w:rsidRDefault="001B41B0" w:rsidP="001B41B0">
            <w:pPr>
              <w:jc w:val="right"/>
            </w:pPr>
            <w:r w:rsidRPr="004E6412">
              <w:rPr>
                <w:sz w:val="22"/>
              </w:rPr>
              <w:t>14.121</w:t>
            </w:r>
          </w:p>
        </w:tc>
        <w:tc>
          <w:tcPr>
            <w:tcW w:w="1100" w:type="pct"/>
            <w:shd w:val="clear" w:color="auto" w:fill="FFFFFF"/>
            <w:noWrap/>
          </w:tcPr>
          <w:p w:rsidR="001B41B0" w:rsidRPr="004E6412" w:rsidRDefault="001B41B0" w:rsidP="001B41B0">
            <w:pPr>
              <w:jc w:val="right"/>
            </w:pPr>
            <w:r w:rsidRPr="004E6412">
              <w:rPr>
                <w:sz w:val="22"/>
              </w:rPr>
              <w:t>12.421</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2,050</w:t>
            </w:r>
          </w:p>
        </w:tc>
        <w:tc>
          <w:tcPr>
            <w:tcW w:w="968" w:type="pct"/>
            <w:shd w:val="clear" w:color="auto" w:fill="FFFFFF"/>
            <w:noWrap/>
          </w:tcPr>
          <w:p w:rsidR="001B41B0" w:rsidRPr="004E6412" w:rsidRDefault="001B41B0" w:rsidP="001B41B0">
            <w:pPr>
              <w:jc w:val="right"/>
            </w:pPr>
            <w:r w:rsidRPr="004E6412">
              <w:rPr>
                <w:sz w:val="22"/>
              </w:rPr>
              <w:t>1,544</w:t>
            </w:r>
          </w:p>
        </w:tc>
        <w:tc>
          <w:tcPr>
            <w:tcW w:w="1100" w:type="pct"/>
            <w:shd w:val="clear" w:color="auto" w:fill="FFFFFF"/>
            <w:noWrap/>
          </w:tcPr>
          <w:p w:rsidR="001B41B0" w:rsidRPr="004E6412" w:rsidRDefault="001B41B0" w:rsidP="001B41B0">
            <w:pPr>
              <w:jc w:val="right"/>
            </w:pPr>
            <w:r w:rsidRPr="004E6412">
              <w:rPr>
                <w:sz w:val="22"/>
              </w:rPr>
              <w:t>1,619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1.237.526.521</w:t>
            </w:r>
          </w:p>
        </w:tc>
        <w:tc>
          <w:tcPr>
            <w:tcW w:w="968" w:type="pct"/>
            <w:shd w:val="clear" w:color="auto" w:fill="FFFFFF"/>
            <w:noWrap/>
          </w:tcPr>
          <w:p w:rsidR="001B41B0" w:rsidRPr="004E6412" w:rsidRDefault="001B41B0" w:rsidP="001B41B0">
            <w:pPr>
              <w:jc w:val="right"/>
            </w:pPr>
            <w:r w:rsidRPr="004E6412">
              <w:rPr>
                <w:sz w:val="22"/>
              </w:rPr>
              <w:t>918.278.343</w:t>
            </w:r>
          </w:p>
        </w:tc>
        <w:tc>
          <w:tcPr>
            <w:tcW w:w="1100" w:type="pct"/>
            <w:shd w:val="clear" w:color="auto" w:fill="FFFFFF"/>
            <w:noWrap/>
          </w:tcPr>
          <w:p w:rsidR="001B41B0" w:rsidRPr="004E6412" w:rsidRDefault="001B41B0" w:rsidP="001B41B0">
            <w:pPr>
              <w:jc w:val="right"/>
            </w:pPr>
            <w:r w:rsidRPr="004E6412">
              <w:rPr>
                <w:sz w:val="22"/>
              </w:rPr>
              <w:t>1.225.654.565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57,25</w:t>
            </w:r>
          </w:p>
        </w:tc>
        <w:tc>
          <w:tcPr>
            <w:tcW w:w="968" w:type="pct"/>
            <w:shd w:val="clear" w:color="auto" w:fill="FFFFFF"/>
            <w:noWrap/>
          </w:tcPr>
          <w:p w:rsidR="001B41B0" w:rsidRPr="004E6412" w:rsidRDefault="001B41B0" w:rsidP="001B41B0">
            <w:pPr>
              <w:jc w:val="right"/>
            </w:pPr>
            <w:r w:rsidRPr="004E6412">
              <w:rPr>
                <w:sz w:val="22"/>
              </w:rPr>
              <w:t>58,3</w:t>
            </w:r>
          </w:p>
        </w:tc>
        <w:tc>
          <w:tcPr>
            <w:tcW w:w="1100" w:type="pct"/>
            <w:shd w:val="clear" w:color="auto" w:fill="FFFFFF"/>
            <w:noWrap/>
          </w:tcPr>
          <w:p w:rsidR="001B41B0" w:rsidRPr="004E6412" w:rsidRDefault="001B41B0" w:rsidP="001B41B0">
            <w:pPr>
              <w:jc w:val="right"/>
            </w:pPr>
            <w:r w:rsidRPr="004E6412">
              <w:rPr>
                <w:sz w:val="22"/>
              </w:rPr>
              <w:t>61,65</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1,205</w:t>
            </w:r>
          </w:p>
        </w:tc>
        <w:tc>
          <w:tcPr>
            <w:tcW w:w="968" w:type="pct"/>
            <w:shd w:val="clear" w:color="auto" w:fill="auto"/>
            <w:noWrap/>
          </w:tcPr>
          <w:p w:rsidR="001B41B0" w:rsidRPr="004E6412" w:rsidRDefault="001B41B0" w:rsidP="001B41B0">
            <w:pPr>
              <w:jc w:val="right"/>
            </w:pPr>
            <w:r w:rsidRPr="004E6412">
              <w:rPr>
                <w:sz w:val="22"/>
              </w:rPr>
              <w:t>0,763</w:t>
            </w:r>
          </w:p>
        </w:tc>
        <w:tc>
          <w:tcPr>
            <w:tcW w:w="1100" w:type="pct"/>
            <w:shd w:val="clear" w:color="auto" w:fill="auto"/>
            <w:noWrap/>
          </w:tcPr>
          <w:p w:rsidR="001B41B0" w:rsidRPr="004E6412" w:rsidRDefault="001B41B0" w:rsidP="001B41B0">
            <w:pPr>
              <w:jc w:val="right"/>
            </w:pPr>
            <w:r w:rsidRPr="004E6412">
              <w:rPr>
                <w:sz w:val="22"/>
              </w:rPr>
              <w:t>0,873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A53A9C"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4,86</w:t>
            </w:r>
          </w:p>
        </w:tc>
        <w:tc>
          <w:tcPr>
            <w:tcW w:w="968" w:type="pct"/>
            <w:shd w:val="clear" w:color="auto" w:fill="auto"/>
            <w:noWrap/>
          </w:tcPr>
          <w:p w:rsidR="001B41B0" w:rsidRPr="004E6412" w:rsidRDefault="001B41B0" w:rsidP="001B41B0">
            <w:pPr>
              <w:jc w:val="right"/>
            </w:pPr>
            <w:r w:rsidRPr="004E6412">
              <w:rPr>
                <w:sz w:val="22"/>
              </w:rPr>
              <w:t>4,23</w:t>
            </w:r>
          </w:p>
        </w:tc>
        <w:tc>
          <w:tcPr>
            <w:tcW w:w="1100" w:type="pct"/>
            <w:shd w:val="clear" w:color="auto" w:fill="auto"/>
            <w:noWrap/>
          </w:tcPr>
          <w:p w:rsidR="001B41B0" w:rsidRPr="004E6412" w:rsidRDefault="001B41B0" w:rsidP="001B41B0">
            <w:pPr>
              <w:jc w:val="right"/>
            </w:pPr>
            <w:r w:rsidRPr="004E6412">
              <w:rPr>
                <w:sz w:val="22"/>
              </w:rPr>
              <w:t>4,64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0,656</w:t>
            </w:r>
          </w:p>
        </w:tc>
        <w:tc>
          <w:tcPr>
            <w:tcW w:w="968" w:type="pct"/>
            <w:shd w:val="clear" w:color="auto" w:fill="auto"/>
            <w:noWrap/>
          </w:tcPr>
          <w:p w:rsidR="001B41B0" w:rsidRPr="004E6412" w:rsidRDefault="001B41B0" w:rsidP="001B41B0">
            <w:pPr>
              <w:jc w:val="right"/>
            </w:pPr>
            <w:r w:rsidRPr="004E6412">
              <w:rPr>
                <w:sz w:val="22"/>
              </w:rPr>
              <w:t>0,786</w:t>
            </w:r>
          </w:p>
        </w:tc>
        <w:tc>
          <w:tcPr>
            <w:tcW w:w="1100" w:type="pct"/>
            <w:shd w:val="clear" w:color="auto" w:fill="auto"/>
            <w:noWrap/>
          </w:tcPr>
          <w:p w:rsidR="001B41B0" w:rsidRPr="004E6412" w:rsidRDefault="001B41B0" w:rsidP="001B41B0">
            <w:pPr>
              <w:jc w:val="right"/>
            </w:pPr>
            <w:r w:rsidRPr="004E6412">
              <w:rPr>
                <w:sz w:val="22"/>
              </w:rPr>
              <w:t>0,764</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502.350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498.809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514.107</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0,77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0,76</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0,67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0,39</w:t>
            </w:r>
          </w:p>
        </w:tc>
        <w:tc>
          <w:tcPr>
            <w:tcW w:w="968" w:type="pct"/>
            <w:shd w:val="clear" w:color="auto" w:fill="auto"/>
            <w:noWrap/>
          </w:tcPr>
          <w:p w:rsidR="001B41B0" w:rsidRPr="004E6412" w:rsidRDefault="001B41B0" w:rsidP="001B41B0">
            <w:pPr>
              <w:jc w:val="right"/>
            </w:pPr>
            <w:r w:rsidRPr="004E6412">
              <w:rPr>
                <w:sz w:val="22"/>
              </w:rPr>
              <w:t>0,40</w:t>
            </w:r>
          </w:p>
        </w:tc>
        <w:tc>
          <w:tcPr>
            <w:tcW w:w="1100" w:type="pct"/>
            <w:shd w:val="clear" w:color="auto" w:fill="auto"/>
            <w:noWrap/>
          </w:tcPr>
          <w:p w:rsidR="001B41B0" w:rsidRPr="004E6412" w:rsidRDefault="001B41B0" w:rsidP="001B41B0">
            <w:pPr>
              <w:jc w:val="right"/>
            </w:pPr>
            <w:r w:rsidRPr="004E6412">
              <w:rPr>
                <w:sz w:val="22"/>
              </w:rPr>
              <w:t>0,37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0,22</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0,49</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78" w:name="_Toc372088156"/>
      <w:bookmarkStart w:id="679" w:name="_Toc377551091"/>
      <w:bookmarkStart w:id="680" w:name="_Toc377635280"/>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79</w:t>
      </w:r>
      <w:r w:rsidRPr="007D0CFD">
        <w:rPr>
          <w:rStyle w:val="IntenseEmphasis"/>
          <w:b/>
          <w:bCs w:val="0"/>
          <w:iCs w:val="0"/>
          <w:color w:val="548DD4" w:themeColor="text2" w:themeTint="99"/>
          <w:sz w:val="20"/>
        </w:rPr>
        <w:t>. Kvalitativni pokazatelji (C21)</w:t>
      </w:r>
      <w:bookmarkEnd w:id="678"/>
      <w:bookmarkEnd w:id="679"/>
      <w:bookmarkEnd w:id="6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A53A9C"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Dostupan kapital i radna snaga. Sirovine za proizvodnju se uvoze.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Proizvodi su uglavnom visokog </w:t>
            </w:r>
            <w:r w:rsidR="00A53A9C" w:rsidRPr="004E6412">
              <w:rPr>
                <w:sz w:val="22"/>
              </w:rPr>
              <w:t>stupnja dovršenosti, namijenjeni za krajnju</w:t>
            </w:r>
            <w:r w:rsidRPr="004E6412">
              <w:rPr>
                <w:sz w:val="22"/>
              </w:rPr>
              <w:t xml:space="preserve"> potrošnju. Raste potražnja za proizvodima ove djelatnosti na domaćem i inozemnom tržištu. Radi se</w:t>
            </w:r>
            <w:r w:rsidR="00A53A9C" w:rsidRPr="004E6412">
              <w:rPr>
                <w:sz w:val="22"/>
              </w:rPr>
              <w:t xml:space="preserve"> o specifičnim proizvodima često </w:t>
            </w:r>
            <w:r w:rsidRPr="004E6412">
              <w:rPr>
                <w:sz w:val="22"/>
              </w:rPr>
              <w:t>nužnima za zdravlje.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Zadovoljavajuća tehnološka opremljenost koja prati globalne trendove.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Značajna ulaganja u istraživanje i razvoj i visok potencijal inoviranja,</w:t>
            </w:r>
            <w:r w:rsidRPr="004E6412">
              <w:rPr>
                <w:rFonts w:eastAsia="Times New Roman"/>
                <w:sz w:val="22"/>
                <w:lang w:eastAsia="hr-HR"/>
              </w:rPr>
              <w:t xml:space="preserve"> no s obzirom na specifičnost djelatnosti postoji velik rizik stvaranja inovacije koja bi u konačnici bila odobrena za primjenu i prodaju.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A53A9C" w:rsidP="0097195F">
            <w:pPr>
              <w:spacing w:line="240" w:lineRule="auto"/>
              <w:rPr>
                <w:sz w:val="22"/>
              </w:rPr>
            </w:pPr>
            <w:r w:rsidRPr="004E6412">
              <w:rPr>
                <w:sz w:val="22"/>
              </w:rPr>
              <w:t>Strogi propisi o procesu proizvodnje, kvaliteti proizvoda, kao i ulasku</w:t>
            </w:r>
            <w:r w:rsidR="001B41B0" w:rsidRPr="004E6412">
              <w:rPr>
                <w:sz w:val="22"/>
              </w:rPr>
              <w:t xml:space="preserve"> na tržište.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Gotovo</w:t>
            </w:r>
            <w:r w:rsidR="00A53A9C" w:rsidRPr="004E6412">
              <w:rPr>
                <w:sz w:val="22"/>
              </w:rPr>
              <w:t xml:space="preserve"> 70% kapitala ove djelatnosti</w:t>
            </w:r>
            <w:r w:rsidRPr="004E6412">
              <w:rPr>
                <w:sz w:val="22"/>
              </w:rPr>
              <w:t xml:space="preserve"> inozemnog </w:t>
            </w:r>
            <w:r w:rsidR="00A53A9C" w:rsidRPr="004E6412">
              <w:rPr>
                <w:sz w:val="22"/>
              </w:rPr>
              <w:t>je porijekl</w:t>
            </w:r>
            <w:r w:rsidRPr="004E6412">
              <w:rPr>
                <w:sz w:val="22"/>
              </w:rPr>
              <w:t xml:space="preserve">a. Visoka koncentracija aktive, uvoza, izvoza, ukupnih prihoda i zaposlenih </w:t>
            </w:r>
            <w:r w:rsidR="00A53A9C" w:rsidRPr="004E6412">
              <w:rPr>
                <w:sz w:val="22"/>
              </w:rPr>
              <w:t>u djelatnosti. Jedno poduzeće ostvaruje 73% ukupne aktive,  dva</w:t>
            </w:r>
            <w:r w:rsidRPr="004E6412">
              <w:rPr>
                <w:sz w:val="22"/>
              </w:rPr>
              <w:t xml:space="preserve"> poduzeća os</w:t>
            </w:r>
            <w:r w:rsidR="00A53A9C" w:rsidRPr="004E6412">
              <w:rPr>
                <w:sz w:val="22"/>
              </w:rPr>
              <w:t>tvaruju oko 80% ukupnog uvoza, dva</w:t>
            </w:r>
            <w:r w:rsidRPr="004E6412">
              <w:rPr>
                <w:sz w:val="22"/>
              </w:rPr>
              <w:t xml:space="preserve"> poduzeća ostvar</w:t>
            </w:r>
            <w:r w:rsidR="00A53A9C" w:rsidRPr="004E6412">
              <w:rPr>
                <w:sz w:val="22"/>
              </w:rPr>
              <w:t>uju oko 80% ukupnog izvoza, te dva od 34 poduzeća ostvaruju</w:t>
            </w:r>
            <w:r w:rsidRPr="004E6412">
              <w:rPr>
                <w:sz w:val="22"/>
              </w:rPr>
              <w:t xml:space="preserve"> oko 76%</w:t>
            </w:r>
            <w:r w:rsidR="00A53A9C" w:rsidRPr="004E6412">
              <w:rPr>
                <w:sz w:val="22"/>
              </w:rPr>
              <w:t xml:space="preserve"> ukupnih prihoda djelatnosti., tri</w:t>
            </w:r>
            <w:r w:rsidRPr="004E6412">
              <w:rPr>
                <w:sz w:val="22"/>
              </w:rPr>
              <w:t xml:space="preserve"> poduzeća zapošljavaju oko 97% zaposlenih </w:t>
            </w:r>
            <w:r w:rsidR="00A53A9C" w:rsidRPr="004E6412">
              <w:rPr>
                <w:sz w:val="22"/>
              </w:rPr>
              <w:t xml:space="preserve">u </w:t>
            </w:r>
            <w:r w:rsidRPr="004E6412">
              <w:rPr>
                <w:sz w:val="22"/>
              </w:rPr>
              <w:t xml:space="preserve">djelatnosti. (Pliva Hrvatska d.d., Belupo d.d. i JGL d.d.).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w:t>
            </w:r>
            <w:r w:rsidR="00A53A9C" w:rsidRPr="004E6412">
              <w:rPr>
                <w:sz w:val="22"/>
              </w:rPr>
              <w:t xml:space="preserve">asta i zapošljavanja je visok, </w:t>
            </w:r>
            <w:r w:rsidRPr="004E6412">
              <w:rPr>
                <w:sz w:val="22"/>
              </w:rPr>
              <w:t>naročito u poddjelatnosti C21.2 Proizvodnja farmaceutskih pripravaka.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E21DC0">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81" w:name="_Toc366152988"/>
      <w:bookmarkStart w:id="682" w:name="_Toc366154300"/>
      <w:bookmarkStart w:id="683" w:name="_Toc366154420"/>
      <w:bookmarkStart w:id="684" w:name="_Toc366409963"/>
      <w:bookmarkStart w:id="685" w:name="_Toc372088027"/>
      <w:bookmarkStart w:id="686" w:name="_Toc378069088"/>
      <w:r w:rsidRPr="004E6412">
        <w:lastRenderedPageBreak/>
        <w:t>C22 Proizvodnja proizvoda od gume i plastike</w:t>
      </w:r>
      <w:bookmarkEnd w:id="681"/>
      <w:bookmarkEnd w:id="682"/>
      <w:bookmarkEnd w:id="683"/>
      <w:bookmarkEnd w:id="684"/>
      <w:bookmarkEnd w:id="685"/>
      <w:bookmarkEnd w:id="686"/>
    </w:p>
    <w:p w:rsidR="001B41B0" w:rsidRPr="004E6412" w:rsidRDefault="001B41B0" w:rsidP="001B41B0">
      <w:pPr>
        <w:rPr>
          <w:lang w:eastAsia="hr-HR"/>
        </w:rPr>
      </w:pPr>
    </w:p>
    <w:p w:rsidR="001B41B0" w:rsidRPr="004E6412" w:rsidRDefault="001B41B0" w:rsidP="001B41B0">
      <w:pPr>
        <w:rPr>
          <w:sz w:val="22"/>
        </w:rPr>
      </w:pPr>
      <w:r w:rsidRPr="004E6412">
        <w:rPr>
          <w:sz w:val="22"/>
        </w:rPr>
        <w:t xml:space="preserve">Djelatnost Proizvodnja proizvoda od gume i plastike (C22) uključuje proizvodnju proizvoda od gume (C22.1) i proizvodnju proizvoda od plastike (C22.2). </w:t>
      </w:r>
    </w:p>
    <w:p w:rsidR="001B41B0" w:rsidRPr="004E6412" w:rsidRDefault="001B41B0" w:rsidP="001B41B0">
      <w:pPr>
        <w:rPr>
          <w:szCs w:val="24"/>
        </w:rPr>
      </w:pPr>
    </w:p>
    <w:p w:rsidR="001B41B0" w:rsidRPr="004E6412" w:rsidRDefault="001B41B0" w:rsidP="00D001B9">
      <w:pPr>
        <w:pStyle w:val="Heading3"/>
      </w:pPr>
      <w:bookmarkStart w:id="687" w:name="_Toc366154301"/>
      <w:bookmarkStart w:id="688" w:name="_Toc366154421"/>
      <w:bookmarkStart w:id="689" w:name="_Toc366409964"/>
      <w:bookmarkStart w:id="690" w:name="_Toc372088028"/>
      <w:bookmarkStart w:id="691" w:name="_Toc378069089"/>
      <w:r w:rsidRPr="004E6412">
        <w:t>Globalni trendovi razvoja</w:t>
      </w:r>
      <w:bookmarkEnd w:id="687"/>
      <w:bookmarkEnd w:id="688"/>
      <w:bookmarkEnd w:id="689"/>
      <w:bookmarkEnd w:id="690"/>
      <w:bookmarkEnd w:id="691"/>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Proiz</w:t>
      </w:r>
      <w:r w:rsidR="00530ADD" w:rsidRPr="004E6412">
        <w:rPr>
          <w:rFonts w:ascii="Times New Roman" w:hAnsi="Times New Roman"/>
        </w:rPr>
        <w:t>vodi od plastike i gume danas se široko primjenjuju</w:t>
      </w:r>
      <w:r w:rsidRPr="004E6412">
        <w:rPr>
          <w:rFonts w:ascii="Times New Roman" w:hAnsi="Times New Roman"/>
        </w:rPr>
        <w:t xml:space="preserve"> u gotovo svim modernim industrijama. Tehnološki napredak omogućio je razvo</w:t>
      </w:r>
      <w:r w:rsidR="00530ADD" w:rsidRPr="004E6412">
        <w:rPr>
          <w:rFonts w:ascii="Times New Roman" w:hAnsi="Times New Roman"/>
        </w:rPr>
        <w:t>j velikog broja novih proizvoda</w:t>
      </w:r>
      <w:r w:rsidRPr="004E6412">
        <w:rPr>
          <w:rFonts w:ascii="Times New Roman" w:hAnsi="Times New Roman"/>
        </w:rPr>
        <w:t xml:space="preserve"> te njihovu troškovno učinkovitu proizvodnju. Proizvodi od gume najčešće završavaju kao poluproizvodi (gume, zračnice, remenje, crijeva, brtvila) koji se koriste u automobilskoj industriji i industrijama ostalih prijevoznih sredstava, u proizvodnji strojeva, industriji obuće te u građevinskoj industriji.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Pet na</w:t>
      </w:r>
      <w:r w:rsidR="00530ADD" w:rsidRPr="004E6412">
        <w:rPr>
          <w:rFonts w:ascii="Times New Roman" w:hAnsi="Times New Roman"/>
        </w:rPr>
        <w:t xml:space="preserve">jvećih svjetskih proizvođača </w:t>
      </w:r>
      <w:r w:rsidRPr="004E6412">
        <w:rPr>
          <w:rFonts w:ascii="Times New Roman" w:hAnsi="Times New Roman"/>
        </w:rPr>
        <w:t xml:space="preserve">redom </w:t>
      </w:r>
      <w:r w:rsidR="00530ADD" w:rsidRPr="004E6412">
        <w:rPr>
          <w:rFonts w:ascii="Times New Roman" w:hAnsi="Times New Roman"/>
        </w:rPr>
        <w:t xml:space="preserve">je </w:t>
      </w:r>
      <w:r w:rsidRPr="004E6412">
        <w:rPr>
          <w:rFonts w:ascii="Times New Roman" w:hAnsi="Times New Roman"/>
        </w:rPr>
        <w:t>iz Azije – Tajland, Indonezija, Ma</w:t>
      </w:r>
      <w:r w:rsidR="00530ADD" w:rsidRPr="004E6412">
        <w:rPr>
          <w:rFonts w:ascii="Times New Roman" w:hAnsi="Times New Roman"/>
        </w:rPr>
        <w:t>lezija, Indija i Vijetnam. U pogledu</w:t>
      </w:r>
      <w:r w:rsidRPr="004E6412">
        <w:rPr>
          <w:rFonts w:ascii="Times New Roman" w:hAnsi="Times New Roman"/>
        </w:rPr>
        <w:t xml:space="preserve"> globalne potražnje, Kina, Indija i Malezija zajedno su zaslužne za 48% svjetske potražnje za ovom sirovinom.</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Proizvodi od plastike, zbog </w:t>
      </w:r>
      <w:r w:rsidR="00530ADD" w:rsidRPr="004E6412">
        <w:rPr>
          <w:rFonts w:ascii="Times New Roman" w:hAnsi="Times New Roman"/>
        </w:rPr>
        <w:t>raznolikosti fizičkih svojstava</w:t>
      </w:r>
      <w:r w:rsidRPr="004E6412">
        <w:rPr>
          <w:rFonts w:ascii="Times New Roman" w:hAnsi="Times New Roman"/>
        </w:rPr>
        <w:t xml:space="preserve"> kao i širokih mogućnosti primjene</w:t>
      </w:r>
      <w:r w:rsidR="00530ADD" w:rsidRPr="004E6412">
        <w:rPr>
          <w:rFonts w:ascii="Times New Roman" w:hAnsi="Times New Roman"/>
        </w:rPr>
        <w:t>,</w:t>
      </w:r>
      <w:r w:rsidRPr="004E6412">
        <w:rPr>
          <w:rFonts w:ascii="Times New Roman" w:hAnsi="Times New Roman"/>
        </w:rPr>
        <w:t xml:space="preserve"> koriste se u izrazito velikom broju industrija, od kojih su najznačajnije automobilska, industrija igračaka, građevinska industrija, </w:t>
      </w:r>
      <w:r w:rsidR="00530ADD" w:rsidRPr="004E6412">
        <w:rPr>
          <w:rFonts w:ascii="Times New Roman" w:hAnsi="Times New Roman"/>
        </w:rPr>
        <w:t xml:space="preserve">industrija </w:t>
      </w:r>
      <w:r w:rsidRPr="004E6412">
        <w:rPr>
          <w:rFonts w:ascii="Times New Roman" w:hAnsi="Times New Roman"/>
        </w:rPr>
        <w:t>elektroničke opreme, industrija namje</w:t>
      </w:r>
      <w:r w:rsidR="00530ADD" w:rsidRPr="004E6412">
        <w:rPr>
          <w:rFonts w:ascii="Times New Roman" w:hAnsi="Times New Roman"/>
        </w:rPr>
        <w:t>štaja, prehrambena industrija, i drugih</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Svjetska proizvodnja plastike od 2010. </w:t>
      </w:r>
      <w:r w:rsidR="00530ADD" w:rsidRPr="004E6412">
        <w:rPr>
          <w:rFonts w:ascii="Times New Roman" w:hAnsi="Times New Roman"/>
        </w:rPr>
        <w:t xml:space="preserve">godine </w:t>
      </w:r>
      <w:r w:rsidRPr="004E6412">
        <w:rPr>
          <w:rFonts w:ascii="Times New Roman" w:hAnsi="Times New Roman"/>
        </w:rPr>
        <w:t>je u neprekidnom porastu, nako</w:t>
      </w:r>
      <w:r w:rsidR="00530ADD" w:rsidRPr="004E6412">
        <w:rPr>
          <w:rFonts w:ascii="Times New Roman" w:hAnsi="Times New Roman"/>
        </w:rPr>
        <w:t>n što je kao i većina industrija</w:t>
      </w:r>
      <w:r w:rsidRPr="004E6412">
        <w:rPr>
          <w:rFonts w:ascii="Times New Roman" w:hAnsi="Times New Roman"/>
        </w:rPr>
        <w:t xml:space="preserve"> bila u padu od 2007., kao izravna posljedica djelovanja svjetske gospodarske krize. Svjetska proizvodnja plastike porasla je za 3,7% u 2011. u odnosu na godinu ranije,</w:t>
      </w:r>
      <w:r w:rsidR="00530ADD" w:rsidRPr="004E6412">
        <w:rPr>
          <w:rFonts w:ascii="Times New Roman" w:hAnsi="Times New Roman"/>
        </w:rPr>
        <w:t xml:space="preserve"> a ukupni volumen proizvodnje</w:t>
      </w:r>
      <w:r w:rsidRPr="004E6412">
        <w:rPr>
          <w:rFonts w:ascii="Times New Roman" w:hAnsi="Times New Roman"/>
        </w:rPr>
        <w:t xml:space="preserve"> iznosio </w:t>
      </w:r>
      <w:r w:rsidR="00530ADD" w:rsidRPr="004E6412">
        <w:rPr>
          <w:rFonts w:ascii="Times New Roman" w:hAnsi="Times New Roman"/>
        </w:rPr>
        <w:t xml:space="preserve">je </w:t>
      </w:r>
      <w:r w:rsidRPr="004E6412">
        <w:rPr>
          <w:rFonts w:ascii="Times New Roman" w:hAnsi="Times New Roman"/>
        </w:rPr>
        <w:t xml:space="preserve">280 milijuna tona.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Sve je snažni</w:t>
      </w:r>
      <w:r w:rsidR="00530ADD" w:rsidRPr="004E6412">
        <w:rPr>
          <w:rFonts w:ascii="Times New Roman" w:hAnsi="Times New Roman"/>
        </w:rPr>
        <w:t>ji porast konkurencije uzrokovan stalnim</w:t>
      </w:r>
      <w:r w:rsidRPr="004E6412">
        <w:rPr>
          <w:rFonts w:ascii="Times New Roman" w:hAnsi="Times New Roman"/>
        </w:rPr>
        <w:t xml:space="preserve"> nadprosječnim stopama rasta u posljednjih 20 godina (uz iznimke 2008. i 20</w:t>
      </w:r>
      <w:r w:rsidR="00530ADD" w:rsidRPr="004E6412">
        <w:rPr>
          <w:rFonts w:ascii="Times New Roman" w:hAnsi="Times New Roman"/>
        </w:rPr>
        <w:t>09.). U posljednjih 20 godina</w:t>
      </w:r>
      <w:r w:rsidRPr="004E6412">
        <w:rPr>
          <w:rFonts w:ascii="Times New Roman" w:hAnsi="Times New Roman"/>
        </w:rPr>
        <w:t xml:space="preserve"> svjetska proizvodnja plastike raste po prosječnoj stopi od 5% godišnje. Stope rasta su iznad svjetskog prosjeka u Aziji, gdje se zbog toga i premještaju proizvodni kapaciteti. Porast proizvodnih kapaciteta omogućio je Aziji da 2010. ka</w:t>
      </w:r>
      <w:r w:rsidR="00530ADD" w:rsidRPr="004E6412">
        <w:rPr>
          <w:rFonts w:ascii="Times New Roman" w:hAnsi="Times New Roman"/>
        </w:rPr>
        <w:t>o regija preuzme od Europe vodeće mjesto</w:t>
      </w:r>
      <w:r w:rsidRPr="004E6412">
        <w:rPr>
          <w:rFonts w:ascii="Times New Roman" w:hAnsi="Times New Roman"/>
        </w:rPr>
        <w:t xml:space="preserve"> </w:t>
      </w:r>
      <w:r w:rsidR="00530ADD" w:rsidRPr="004E6412">
        <w:rPr>
          <w:rFonts w:ascii="Times New Roman" w:hAnsi="Times New Roman"/>
        </w:rPr>
        <w:t>u proizvodnji plastike</w:t>
      </w:r>
      <w:r w:rsidRPr="004E6412">
        <w:rPr>
          <w:rFonts w:ascii="Times New Roman" w:hAnsi="Times New Roman"/>
        </w:rPr>
        <w:t>. Danas je Azija zaslužna za 23% ukupne svjetske proizvodnje plastike, dok s</w:t>
      </w:r>
      <w:r w:rsidR="004528B3" w:rsidRPr="004E6412">
        <w:rPr>
          <w:rFonts w:ascii="Times New Roman" w:hAnsi="Times New Roman"/>
        </w:rPr>
        <w:t>e u Europi proizvede 21%. Zbog strogih propisa koji su na snazi</w:t>
      </w:r>
      <w:r w:rsidRPr="004E6412">
        <w:rPr>
          <w:rFonts w:ascii="Times New Roman" w:hAnsi="Times New Roman"/>
        </w:rPr>
        <w:t xml:space="preserve"> u Europi, kao i relativno viših troškova radne snage, u budućnosti se očekuje daljnje jačanje azijskih proizvodnih kapaciteta i povećanje globalnog tržišnog udjela. </w:t>
      </w:r>
    </w:p>
    <w:p w:rsidR="001B41B0" w:rsidRPr="004E6412" w:rsidRDefault="001B41B0" w:rsidP="001B41B0">
      <w:pPr>
        <w:rPr>
          <w:sz w:val="22"/>
        </w:rPr>
      </w:pPr>
    </w:p>
    <w:p w:rsidR="001B41B0" w:rsidRPr="004E6412" w:rsidRDefault="004528B3" w:rsidP="001B41B0">
      <w:pPr>
        <w:pStyle w:val="ListParagraph"/>
        <w:numPr>
          <w:ilvl w:val="0"/>
          <w:numId w:val="37"/>
        </w:numPr>
        <w:spacing w:after="0"/>
        <w:jc w:val="both"/>
        <w:rPr>
          <w:rFonts w:ascii="Times New Roman" w:hAnsi="Times New Roman"/>
        </w:rPr>
      </w:pPr>
      <w:r w:rsidRPr="004E6412">
        <w:rPr>
          <w:rFonts w:ascii="Times New Roman" w:hAnsi="Times New Roman"/>
        </w:rPr>
        <w:t>Proizvodi od plastike značajni su i u pogledu</w:t>
      </w:r>
      <w:r w:rsidR="001B41B0" w:rsidRPr="004E6412">
        <w:rPr>
          <w:rFonts w:ascii="Times New Roman" w:hAnsi="Times New Roman"/>
        </w:rPr>
        <w:t xml:space="preserve"> omogućavanja rasta kroz inovacije u drugim industrijama. Zbog svega navedenog</w:t>
      </w:r>
      <w:r w:rsidRPr="004E6412">
        <w:rPr>
          <w:rFonts w:ascii="Times New Roman" w:hAnsi="Times New Roman"/>
        </w:rPr>
        <w:t>a</w:t>
      </w:r>
      <w:r w:rsidR="001B41B0" w:rsidRPr="004E6412">
        <w:rPr>
          <w:rFonts w:ascii="Times New Roman" w:hAnsi="Times New Roman"/>
        </w:rPr>
        <w:t xml:space="preserve"> očekuje se nastavak trenda rasta proizvodnje i potražnje za proizvodima od plastike.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Potražnja za plastikom znatno je manja u zemljama u razvoju, kao i zemljama jugoistočne Europe u odnosu na potražnju naprednih zapadnih zemalja. Glavni razlog tome je nerazvijenost industrijskog</w:t>
      </w:r>
      <w:r w:rsidR="004528B3" w:rsidRPr="004E6412">
        <w:rPr>
          <w:rFonts w:ascii="Times New Roman" w:hAnsi="Times New Roman"/>
        </w:rPr>
        <w:t>a</w:t>
      </w:r>
      <w:r w:rsidRPr="004E6412">
        <w:rPr>
          <w:rFonts w:ascii="Times New Roman" w:hAnsi="Times New Roman"/>
        </w:rPr>
        <w:t xml:space="preserve"> sektora koji je i glavni potrošač proizvoda od plastike. Rastom i razvojem zemalja u razvoju očekuje se da će rasti i potražnja za proizvodima od plastike u tim zemljama. U budućnosti se na globalnoj razini također očekuje porast potražnje i to po prosječnoj stopi od 4% godišnje. </w:t>
      </w:r>
    </w:p>
    <w:p w:rsidR="001B41B0" w:rsidRPr="004E6412" w:rsidRDefault="001B41B0" w:rsidP="00D001B9">
      <w:pPr>
        <w:pStyle w:val="Heading3"/>
      </w:pPr>
      <w:bookmarkStart w:id="692" w:name="_Toc366154302"/>
      <w:bookmarkStart w:id="693" w:name="_Toc366154422"/>
      <w:bookmarkStart w:id="694" w:name="_Toc366409965"/>
      <w:bookmarkStart w:id="695" w:name="_Toc372088029"/>
      <w:bookmarkStart w:id="696" w:name="_Toc378069090"/>
      <w:r w:rsidRPr="004E6412">
        <w:lastRenderedPageBreak/>
        <w:t>Trendovi razvoja u Europskoj uniji</w:t>
      </w:r>
      <w:bookmarkEnd w:id="692"/>
      <w:bookmarkEnd w:id="693"/>
      <w:bookmarkEnd w:id="694"/>
      <w:bookmarkEnd w:id="695"/>
      <w:bookmarkEnd w:id="696"/>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Djelatnost proizvodnje proizvoda o</w:t>
      </w:r>
      <w:r w:rsidR="004528B3" w:rsidRPr="004E6412">
        <w:rPr>
          <w:rFonts w:ascii="Times New Roman" w:hAnsi="Times New Roman"/>
        </w:rPr>
        <w:t xml:space="preserve">d plastike i gume u EU čini 65.000 poduzeća (57.200 su </w:t>
      </w:r>
      <w:r w:rsidRPr="004E6412">
        <w:rPr>
          <w:rFonts w:ascii="Times New Roman" w:hAnsi="Times New Roman"/>
        </w:rPr>
        <w:t>poduzeća registrirana za proizvodnju proizvoda od plastike</w:t>
      </w:r>
      <w:r w:rsidR="004528B3" w:rsidRPr="004E6412">
        <w:rPr>
          <w:rFonts w:ascii="Times New Roman" w:hAnsi="Times New Roman"/>
        </w:rPr>
        <w:t>,</w:t>
      </w:r>
      <w:r w:rsidRPr="004E6412">
        <w:rPr>
          <w:rFonts w:ascii="Times New Roman" w:hAnsi="Times New Roman"/>
        </w:rPr>
        <w:t xml:space="preserve"> odnosno 88%, dok ostatak predstavljaju poduzeća za proizvodnju proizvoda od gume), a zapošljava 1,9 milijuna ljudi. Ukupni prihodi iznosili su 274,6 milijardi eura u 2006., od čega se 28,5% odnosilo na dodanu vrijednost.</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w:t>
      </w:r>
      <w:r w:rsidR="004528B3" w:rsidRPr="004E6412">
        <w:rPr>
          <w:rFonts w:ascii="Times New Roman" w:hAnsi="Times New Roman"/>
        </w:rPr>
        <w:t xml:space="preserve">astike u EU </w:t>
      </w:r>
      <w:r w:rsidRPr="004E6412">
        <w:rPr>
          <w:rFonts w:ascii="Times New Roman" w:hAnsi="Times New Roman"/>
        </w:rPr>
        <w:t>dobro</w:t>
      </w:r>
      <w:r w:rsidR="004528B3" w:rsidRPr="004E6412">
        <w:rPr>
          <w:rFonts w:ascii="Times New Roman" w:hAnsi="Times New Roman"/>
        </w:rPr>
        <w:t xml:space="preserve"> je</w:t>
      </w:r>
      <w:r w:rsidRPr="004E6412">
        <w:rPr>
          <w:rFonts w:ascii="Times New Roman" w:hAnsi="Times New Roman"/>
        </w:rPr>
        <w:t xml:space="preserve"> razvijena i ima dugu tradiciju u proizvodnji. Izvozni potencijal ogleda se i u porastu izvoza u ostatak svijeta, koji se u razdoblju 2000.</w:t>
      </w:r>
      <w:r w:rsidR="004528B3" w:rsidRPr="004E6412">
        <w:rPr>
          <w:rFonts w:ascii="Times New Roman" w:hAnsi="Times New Roman"/>
        </w:rPr>
        <w:t xml:space="preserve"> – </w:t>
      </w:r>
      <w:r w:rsidRPr="004E6412">
        <w:rPr>
          <w:rFonts w:ascii="Times New Roman" w:hAnsi="Times New Roman"/>
        </w:rPr>
        <w:t>2010. udvostručio. Suficit u vanjskotrgovinskoj razmjeni plastike i proizvoda od plastike u 2010. iznosio je 15,7 milijardi eura, čime predstavlja jednu od industrija koja najznačajnije doprinosi pozitivnoj bilanci međunarodne razmjene EU</w:t>
      </w:r>
      <w:r w:rsidR="004528B3" w:rsidRPr="004E6412">
        <w:rPr>
          <w:rFonts w:ascii="Times New Roman" w:hAnsi="Times New Roman"/>
        </w:rPr>
        <w:t>-a</w:t>
      </w:r>
      <w:r w:rsidRPr="004E6412">
        <w:rPr>
          <w:rFonts w:ascii="Times New Roman" w:hAnsi="Times New Roman"/>
        </w:rPr>
        <w:t>. Najznačajnija izvozna tržišta plastike ostaju Kina, Turska, Rusija i Švicarska, dok su se gotovi proizvodi većinom izvozili na tržišta Švicarske, Rusije i SAD-a.</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EU</w:t>
      </w:r>
      <w:r w:rsidR="00F118DD" w:rsidRPr="004E6412">
        <w:rPr>
          <w:rFonts w:ascii="Times New Roman" w:hAnsi="Times New Roman"/>
        </w:rPr>
        <w:t xml:space="preserve">-a </w:t>
      </w:r>
      <w:r w:rsidRPr="004E6412">
        <w:rPr>
          <w:rFonts w:ascii="Times New Roman" w:hAnsi="Times New Roman"/>
        </w:rPr>
        <w:t xml:space="preserve">počela </w:t>
      </w:r>
      <w:r w:rsidR="00F118DD" w:rsidRPr="004E6412">
        <w:rPr>
          <w:rFonts w:ascii="Times New Roman" w:hAnsi="Times New Roman"/>
        </w:rPr>
        <w:t xml:space="preserve">se </w:t>
      </w:r>
      <w:r w:rsidRPr="004E6412">
        <w:rPr>
          <w:rFonts w:ascii="Times New Roman" w:hAnsi="Times New Roman"/>
        </w:rPr>
        <w:t>oporavljat</w:t>
      </w:r>
      <w:r w:rsidR="00F118DD" w:rsidRPr="004E6412">
        <w:rPr>
          <w:rFonts w:ascii="Times New Roman" w:hAnsi="Times New Roman"/>
        </w:rPr>
        <w:t>i od globalne gospodarske krize</w:t>
      </w:r>
      <w:r w:rsidRPr="004E6412">
        <w:rPr>
          <w:rFonts w:ascii="Times New Roman" w:hAnsi="Times New Roman"/>
        </w:rPr>
        <w:t xml:space="preserve"> te su u 2011. z</w:t>
      </w:r>
      <w:r w:rsidR="00F118DD" w:rsidRPr="004E6412">
        <w:rPr>
          <w:rFonts w:ascii="Times New Roman" w:hAnsi="Times New Roman"/>
        </w:rPr>
        <w:t xml:space="preserve">abilježene stope rasta (0,3% </w:t>
      </w:r>
      <w:r w:rsidRPr="004E6412">
        <w:rPr>
          <w:rFonts w:ascii="Times New Roman" w:hAnsi="Times New Roman"/>
        </w:rPr>
        <w:t>rasli</w:t>
      </w:r>
      <w:r w:rsidR="00F118DD" w:rsidRPr="004E6412">
        <w:rPr>
          <w:rFonts w:ascii="Times New Roman" w:hAnsi="Times New Roman"/>
        </w:rPr>
        <w:t xml:space="preserve"> su</w:t>
      </w:r>
      <w:r w:rsidRPr="004E6412">
        <w:rPr>
          <w:rFonts w:ascii="Times New Roman" w:hAnsi="Times New Roman"/>
        </w:rPr>
        <w:t xml:space="preserve"> prihodi proizvođača plastike na 89 milijardi eura, dok su prihodi proizvođača proizvoda od plastike rasli 1,9% na 194 milijarde eura)</w:t>
      </w:r>
      <w:r w:rsidR="00F118DD" w:rsidRPr="004E6412">
        <w:rPr>
          <w:rFonts w:ascii="Times New Roman" w:hAnsi="Times New Roman"/>
        </w:rPr>
        <w:t>. Rast je ponovno usporen u</w:t>
      </w:r>
      <w:r w:rsidRPr="004E6412">
        <w:rPr>
          <w:rFonts w:ascii="Times New Roman" w:hAnsi="Times New Roman"/>
        </w:rPr>
        <w:t xml:space="preserve"> 2011., prvenstveno zbog nesigurnosti od gospodarskih kret</w:t>
      </w:r>
      <w:r w:rsidR="00F118DD" w:rsidRPr="004E6412">
        <w:rPr>
          <w:rFonts w:ascii="Times New Roman" w:hAnsi="Times New Roman"/>
        </w:rPr>
        <w:t>anja u EU. Ipak, kako je u istoj godini</w:t>
      </w:r>
      <w:r w:rsidRPr="004E6412">
        <w:rPr>
          <w:rFonts w:ascii="Times New Roman" w:hAnsi="Times New Roman"/>
        </w:rPr>
        <w:t xml:space="preserve"> zabilježeno povećanje narudžbi strojeva za preradu plastike, srednjoročne prognoze ukazuju na oporavak. Rastu je pomogao oporavak djelatnosti automobila i elektroničke opreme koje su značajni potrošači </w:t>
      </w:r>
      <w:r w:rsidR="00F118DD" w:rsidRPr="004E6412">
        <w:rPr>
          <w:rFonts w:ascii="Times New Roman" w:hAnsi="Times New Roman"/>
        </w:rPr>
        <w:t>proizvoda od plastike i gume, kao i</w:t>
      </w:r>
      <w:r w:rsidRPr="004E6412">
        <w:rPr>
          <w:rFonts w:ascii="Times New Roman" w:hAnsi="Times New Roman"/>
        </w:rPr>
        <w:t xml:space="preserve"> nešto slabiji oporavak građevinskog sektora. Potr</w:t>
      </w:r>
      <w:r w:rsidR="00F118DD" w:rsidRPr="004E6412">
        <w:rPr>
          <w:rFonts w:ascii="Times New Roman" w:hAnsi="Times New Roman"/>
        </w:rPr>
        <w:t>ažnja prehrambene industrije ostala je stalna</w:t>
      </w:r>
      <w:r w:rsidRPr="004E6412">
        <w:rPr>
          <w:rFonts w:ascii="Times New Roman" w:hAnsi="Times New Roman"/>
        </w:rPr>
        <w:t>, a nje</w:t>
      </w:r>
      <w:r w:rsidR="00F118DD" w:rsidRPr="004E6412">
        <w:rPr>
          <w:rFonts w:ascii="Times New Roman" w:hAnsi="Times New Roman"/>
        </w:rPr>
        <w:t>zi</w:t>
      </w:r>
      <w:r w:rsidRPr="004E6412">
        <w:rPr>
          <w:rFonts w:ascii="Times New Roman" w:hAnsi="Times New Roman"/>
        </w:rPr>
        <w:t>n bi po</w:t>
      </w:r>
      <w:r w:rsidR="00F118DD" w:rsidRPr="004E6412">
        <w:rPr>
          <w:rFonts w:ascii="Times New Roman" w:hAnsi="Times New Roman"/>
        </w:rPr>
        <w:t>tencijalni rast dodatno pridonio</w:t>
      </w:r>
      <w:r w:rsidRPr="004E6412">
        <w:rPr>
          <w:rFonts w:ascii="Times New Roman" w:hAnsi="Times New Roman"/>
        </w:rPr>
        <w:t xml:space="preserve"> rastu industrije plastike i gume.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ukupno zapošljava 1,45 milijuna radnika u EU, od čega 1,23 milijuna radi u proizvodnji proizvoda od plastike, 167.000 u proizvodnji plastike</w:t>
      </w:r>
      <w:r w:rsidR="00F118DD" w:rsidRPr="004E6412">
        <w:rPr>
          <w:rFonts w:ascii="Times New Roman" w:hAnsi="Times New Roman"/>
        </w:rPr>
        <w:t>,</w:t>
      </w:r>
      <w:r w:rsidRPr="004E6412">
        <w:rPr>
          <w:rFonts w:ascii="Times New Roman" w:hAnsi="Times New Roman"/>
        </w:rPr>
        <w:t xml:space="preserve"> dok </w:t>
      </w:r>
      <w:r w:rsidR="00F118DD" w:rsidRPr="004E6412">
        <w:rPr>
          <w:rFonts w:ascii="Times New Roman" w:hAnsi="Times New Roman"/>
        </w:rPr>
        <w:t xml:space="preserve">je </w:t>
      </w:r>
      <w:r w:rsidRPr="004E6412">
        <w:rPr>
          <w:rFonts w:ascii="Times New Roman" w:hAnsi="Times New Roman"/>
        </w:rPr>
        <w:t>d</w:t>
      </w:r>
      <w:r w:rsidR="00F118DD" w:rsidRPr="004E6412">
        <w:rPr>
          <w:rFonts w:ascii="Times New Roman" w:hAnsi="Times New Roman"/>
        </w:rPr>
        <w:t xml:space="preserve">odatnih 53.000 radnika </w:t>
      </w:r>
      <w:r w:rsidRPr="004E6412">
        <w:rPr>
          <w:rFonts w:ascii="Times New Roman" w:hAnsi="Times New Roman"/>
        </w:rPr>
        <w:t xml:space="preserve">zaposleno u proizvodnji strojeva za obradu plastike.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Europska unija je neto izvoznik plastike i gume. Izvozom plastike, gume i umjetnih vlakana ostv</w:t>
      </w:r>
      <w:r w:rsidR="00F118DD" w:rsidRPr="004E6412">
        <w:rPr>
          <w:rFonts w:ascii="Times New Roman" w:hAnsi="Times New Roman"/>
        </w:rPr>
        <w:t>aren je suficit od 8,1 milijarde</w:t>
      </w:r>
      <w:r w:rsidRPr="004E6412">
        <w:rPr>
          <w:rFonts w:ascii="Times New Roman" w:hAnsi="Times New Roman"/>
        </w:rPr>
        <w:t xml:space="preserve"> eura u 2011. Zemlje EU</w:t>
      </w:r>
      <w:r w:rsidR="00F118DD" w:rsidRPr="004E6412">
        <w:rPr>
          <w:rFonts w:ascii="Times New Roman" w:hAnsi="Times New Roman"/>
        </w:rPr>
        <w:t>-a</w:t>
      </w:r>
      <w:r w:rsidRPr="004E6412">
        <w:rPr>
          <w:rFonts w:ascii="Times New Roman" w:hAnsi="Times New Roman"/>
        </w:rPr>
        <w:t xml:space="preserve"> proizvode dovoljno gume i plastike za potrebe vlastitih industrija i ne očekuju se značajne promjene po tom pitanju. Ipak, zbog izmještanja</w:t>
      </w:r>
      <w:r w:rsidR="00F118DD" w:rsidRPr="004E6412">
        <w:rPr>
          <w:rFonts w:ascii="Times New Roman" w:hAnsi="Times New Roman"/>
        </w:rPr>
        <w:t xml:space="preserve"> proizvodnje plastike i gume u a</w:t>
      </w:r>
      <w:r w:rsidRPr="004E6412">
        <w:rPr>
          <w:rFonts w:ascii="Times New Roman" w:hAnsi="Times New Roman"/>
        </w:rPr>
        <w:t>zijske zemlje</w:t>
      </w:r>
      <w:r w:rsidR="00F118DD" w:rsidRPr="004E6412">
        <w:rPr>
          <w:rFonts w:ascii="Times New Roman" w:hAnsi="Times New Roman"/>
        </w:rPr>
        <w:t>,</w:t>
      </w:r>
      <w:r w:rsidRPr="004E6412">
        <w:rPr>
          <w:rFonts w:ascii="Times New Roman" w:hAnsi="Times New Roman"/>
        </w:rPr>
        <w:t xml:space="preserve"> očekuje se postepeno smanjenje trgovinskog suficita u nadolazećim godinama. </w:t>
      </w:r>
    </w:p>
    <w:p w:rsidR="001B41B0" w:rsidRPr="004E6412" w:rsidRDefault="001B41B0" w:rsidP="001B41B0">
      <w:pPr>
        <w:rPr>
          <w:sz w:val="22"/>
        </w:rPr>
      </w:pPr>
    </w:p>
    <w:p w:rsidR="001B41B0" w:rsidRPr="004E6412" w:rsidRDefault="00F118DD" w:rsidP="001B41B0">
      <w:pPr>
        <w:pStyle w:val="ListParagraph"/>
        <w:numPr>
          <w:ilvl w:val="0"/>
          <w:numId w:val="38"/>
        </w:numPr>
        <w:spacing w:after="0"/>
        <w:jc w:val="both"/>
        <w:rPr>
          <w:rFonts w:ascii="Times New Roman" w:hAnsi="Times New Roman"/>
        </w:rPr>
      </w:pPr>
      <w:r w:rsidRPr="004E6412">
        <w:rPr>
          <w:rFonts w:ascii="Times New Roman" w:hAnsi="Times New Roman"/>
        </w:rPr>
        <w:t>Među članicama EU-a</w:t>
      </w:r>
      <w:r w:rsidR="001B41B0" w:rsidRPr="004E6412">
        <w:rPr>
          <w:rFonts w:ascii="Times New Roman" w:hAnsi="Times New Roman"/>
        </w:rPr>
        <w:t xml:space="preserve"> N</w:t>
      </w:r>
      <w:r w:rsidRPr="004E6412">
        <w:rPr>
          <w:rFonts w:ascii="Times New Roman" w:hAnsi="Times New Roman"/>
        </w:rPr>
        <w:t>jemačka i Francuska na samom su vrhu</w:t>
      </w:r>
      <w:r w:rsidR="001B41B0" w:rsidRPr="004E6412">
        <w:rPr>
          <w:rFonts w:ascii="Times New Roman" w:hAnsi="Times New Roman"/>
        </w:rPr>
        <w:t xml:space="preserve"> po udjelu dodane vrijednosti (27,4% i 14,6%), nakon kojih slijede Velika Britanija i Italija s 13,9% odnosno 12,3% dodane vrijed</w:t>
      </w:r>
      <w:r w:rsidRPr="004E6412">
        <w:rPr>
          <w:rFonts w:ascii="Times New Roman" w:hAnsi="Times New Roman"/>
        </w:rPr>
        <w:t>nosti. Navedene države na vrhu su</w:t>
      </w:r>
      <w:r w:rsidR="001B41B0" w:rsidRPr="004E6412">
        <w:rPr>
          <w:rFonts w:ascii="Times New Roman" w:hAnsi="Times New Roman"/>
        </w:rPr>
        <w:t xml:space="preserve"> i po broju zaposlenih u promatranoj djelatnosti  s jednakim poretkom. Države s najvećim stupnjem specijalizacije (</w:t>
      </w:r>
      <w:r w:rsidRPr="004E6412">
        <w:rPr>
          <w:rFonts w:ascii="Times New Roman" w:hAnsi="Times New Roman"/>
        </w:rPr>
        <w:t xml:space="preserve">drugim riječima, </w:t>
      </w:r>
      <w:r w:rsidR="001B41B0" w:rsidRPr="004E6412">
        <w:rPr>
          <w:rFonts w:ascii="Times New Roman" w:hAnsi="Times New Roman"/>
        </w:rPr>
        <w:t>države u kojima ova industrijska djelatnost ima relativno najveći udio dodane vrijednosti u gospodarstvu) u okviru EU</w:t>
      </w:r>
      <w:r w:rsidRPr="004E6412">
        <w:rPr>
          <w:rFonts w:ascii="Times New Roman" w:hAnsi="Times New Roman"/>
        </w:rPr>
        <w:t>-a</w:t>
      </w:r>
      <w:r w:rsidR="001B41B0" w:rsidRPr="004E6412">
        <w:rPr>
          <w:rFonts w:ascii="Times New Roman" w:hAnsi="Times New Roman"/>
        </w:rPr>
        <w:t xml:space="preserve"> su Luksemburg, Češka, Slovenija i Poljska.  </w:t>
      </w:r>
      <w:r w:rsidR="001B41B0" w:rsidRPr="004E6412">
        <w:rPr>
          <w:rFonts w:ascii="Times New Roman" w:hAnsi="Times New Roman"/>
        </w:rPr>
        <w:tab/>
      </w:r>
    </w:p>
    <w:p w:rsidR="001B41B0" w:rsidRPr="004E6412" w:rsidRDefault="001B41B0" w:rsidP="001B41B0">
      <w:pPr>
        <w:rPr>
          <w:szCs w:val="24"/>
        </w:rPr>
      </w:pPr>
    </w:p>
    <w:p w:rsidR="001B41B0" w:rsidRPr="004E6412" w:rsidRDefault="001B41B0" w:rsidP="00D001B9">
      <w:pPr>
        <w:pStyle w:val="Heading3"/>
      </w:pPr>
      <w:bookmarkStart w:id="697" w:name="_Toc366154303"/>
      <w:bookmarkStart w:id="698" w:name="_Toc366154423"/>
      <w:bookmarkStart w:id="699" w:name="_Toc366409966"/>
      <w:bookmarkStart w:id="700" w:name="_Toc372088030"/>
      <w:bookmarkStart w:id="701" w:name="_Toc378069091"/>
      <w:r w:rsidRPr="004E6412">
        <w:t>Stanje i perspektive razvoja u Republici Hrvatskoj</w:t>
      </w:r>
      <w:bookmarkEnd w:id="697"/>
      <w:bookmarkEnd w:id="698"/>
      <w:bookmarkEnd w:id="699"/>
      <w:bookmarkEnd w:id="700"/>
      <w:bookmarkEnd w:id="701"/>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Proizvodi od plastike i gume služe kao poluproizvodi drugim industrijama (građevinskoj, prehrambenoj, industriji elektroničke opreme, automobilskoj industriji i drugo) ili se mogu plasirati kao gotovi proizvodi na tržište široke potrošnje.</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lastRenderedPageBreak/>
        <w:t>U razdoblju 2010.</w:t>
      </w:r>
      <w:r w:rsidR="00F118DD" w:rsidRPr="004E6412">
        <w:rPr>
          <w:rFonts w:ascii="Times New Roman" w:hAnsi="Times New Roman"/>
        </w:rPr>
        <w:t xml:space="preserve"> – </w:t>
      </w:r>
      <w:r w:rsidRPr="004E6412">
        <w:rPr>
          <w:rFonts w:ascii="Times New Roman" w:hAnsi="Times New Roman"/>
        </w:rPr>
        <w:t>2012., u djelatnosti proizvodnje proizvoda od gume i pl</w:t>
      </w:r>
      <w:r w:rsidR="00F118DD" w:rsidRPr="004E6412">
        <w:rPr>
          <w:rFonts w:ascii="Times New Roman" w:hAnsi="Times New Roman"/>
        </w:rPr>
        <w:t>astike, vidljivo je stalno</w:t>
      </w:r>
      <w:r w:rsidRPr="004E6412">
        <w:rPr>
          <w:rFonts w:ascii="Times New Roman" w:hAnsi="Times New Roman"/>
        </w:rPr>
        <w:t xml:space="preserve"> opadanje broja zaposlen</w:t>
      </w:r>
      <w:r w:rsidR="00F118DD" w:rsidRPr="004E6412">
        <w:rPr>
          <w:rFonts w:ascii="Times New Roman" w:hAnsi="Times New Roman"/>
        </w:rPr>
        <w:t>ika u iznosu od 21,7%. Glede porijek</w:t>
      </w:r>
      <w:r w:rsidRPr="004E6412">
        <w:rPr>
          <w:rFonts w:ascii="Times New Roman" w:hAnsi="Times New Roman"/>
        </w:rPr>
        <w:t>la kapitala djelatnosti, ve</w:t>
      </w:r>
      <w:r w:rsidR="00F118DD" w:rsidRPr="004E6412">
        <w:rPr>
          <w:rFonts w:ascii="Times New Roman" w:hAnsi="Times New Roman"/>
        </w:rPr>
        <w:t xml:space="preserve">ći dio je u domaćem vlasništvu i iznosi </w:t>
      </w:r>
      <w:r w:rsidRPr="004E6412">
        <w:rPr>
          <w:rFonts w:ascii="Times New Roman" w:hAnsi="Times New Roman"/>
        </w:rPr>
        <w:t xml:space="preserve">65%.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Primjetan je trend pada ukupne aktive (pasive) u promatranom</w:t>
      </w:r>
      <w:r w:rsidR="00EB6DB1" w:rsidRPr="004E6412">
        <w:rPr>
          <w:rFonts w:ascii="Times New Roman" w:hAnsi="Times New Roman"/>
        </w:rPr>
        <w:t>e</w:t>
      </w:r>
      <w:r w:rsidRPr="004E6412">
        <w:rPr>
          <w:rFonts w:ascii="Times New Roman" w:hAnsi="Times New Roman"/>
        </w:rPr>
        <w:t xml:space="preserve"> trogodišnjem razdoblju. Sveukupno pad aktive i</w:t>
      </w:r>
      <w:r w:rsidR="00EB6DB1" w:rsidRPr="004E6412">
        <w:rPr>
          <w:rFonts w:ascii="Times New Roman" w:hAnsi="Times New Roman"/>
        </w:rPr>
        <w:t xml:space="preserve">znosi 11,9%. Takvo smanjenje </w:t>
      </w:r>
      <w:r w:rsidRPr="004E6412">
        <w:rPr>
          <w:rFonts w:ascii="Times New Roman" w:hAnsi="Times New Roman"/>
        </w:rPr>
        <w:t xml:space="preserve">rezultat </w:t>
      </w:r>
      <w:r w:rsidR="00EB6DB1" w:rsidRPr="004E6412">
        <w:rPr>
          <w:rFonts w:ascii="Times New Roman" w:hAnsi="Times New Roman"/>
        </w:rPr>
        <w:t xml:space="preserve">je </w:t>
      </w:r>
      <w:r w:rsidRPr="004E6412">
        <w:rPr>
          <w:rFonts w:ascii="Times New Roman" w:hAnsi="Times New Roman"/>
        </w:rPr>
        <w:t>smanjenja gotovo svih stavk</w:t>
      </w:r>
      <w:r w:rsidR="00EB6DB1" w:rsidRPr="004E6412">
        <w:rPr>
          <w:rFonts w:ascii="Times New Roman" w:hAnsi="Times New Roman"/>
        </w:rPr>
        <w:t xml:space="preserve">i aktive; dugotrajna imovina </w:t>
      </w:r>
      <w:r w:rsidRPr="004E6412">
        <w:rPr>
          <w:rFonts w:ascii="Times New Roman" w:hAnsi="Times New Roman"/>
        </w:rPr>
        <w:t xml:space="preserve">pala </w:t>
      </w:r>
      <w:r w:rsidR="00EB6DB1" w:rsidRPr="004E6412">
        <w:rPr>
          <w:rFonts w:ascii="Times New Roman" w:hAnsi="Times New Roman"/>
        </w:rPr>
        <w:t xml:space="preserve">je </w:t>
      </w:r>
      <w:r w:rsidRPr="004E6412">
        <w:rPr>
          <w:rFonts w:ascii="Times New Roman" w:hAnsi="Times New Roman"/>
        </w:rPr>
        <w:t xml:space="preserve">za 15,53%, </w:t>
      </w:r>
      <w:r w:rsidR="00EB6DB1" w:rsidRPr="004E6412">
        <w:rPr>
          <w:rFonts w:ascii="Times New Roman" w:hAnsi="Times New Roman"/>
        </w:rPr>
        <w:t xml:space="preserve">a </w:t>
      </w:r>
      <w:r w:rsidRPr="004E6412">
        <w:rPr>
          <w:rFonts w:ascii="Times New Roman" w:hAnsi="Times New Roman"/>
        </w:rPr>
        <w:t>kratkotrajna za 8%.</w:t>
      </w:r>
      <w:r w:rsidR="004823E2" w:rsidRPr="004E6412">
        <w:rPr>
          <w:rFonts w:ascii="Times New Roman" w:hAnsi="Times New Roman"/>
        </w:rPr>
        <w:t xml:space="preserve"> </w:t>
      </w:r>
      <w:r w:rsidRPr="004E6412">
        <w:rPr>
          <w:rFonts w:ascii="Times New Roman" w:hAnsi="Times New Roman"/>
        </w:rPr>
        <w:t>U dug</w:t>
      </w:r>
      <w:r w:rsidR="00EB6DB1" w:rsidRPr="004E6412">
        <w:rPr>
          <w:rFonts w:ascii="Times New Roman" w:hAnsi="Times New Roman"/>
        </w:rPr>
        <w:t xml:space="preserve">otrajnoj imovini najveći pad </w:t>
      </w:r>
      <w:r w:rsidRPr="004E6412">
        <w:rPr>
          <w:rFonts w:ascii="Times New Roman" w:hAnsi="Times New Roman"/>
        </w:rPr>
        <w:t xml:space="preserve">zabilježen </w:t>
      </w:r>
      <w:r w:rsidR="00EB6DB1" w:rsidRPr="004E6412">
        <w:rPr>
          <w:rFonts w:ascii="Times New Roman" w:hAnsi="Times New Roman"/>
        </w:rPr>
        <w:t xml:space="preserve">je </w:t>
      </w:r>
      <w:r w:rsidRPr="004E6412">
        <w:rPr>
          <w:rFonts w:ascii="Times New Roman" w:hAnsi="Times New Roman"/>
        </w:rPr>
        <w:t>kod dugotrajne financijske imovine od 56,3%, što je prouzročeno smanjenjem udjela kod povezanih poduzeća (68,31%) i ulaganja u vrijednosne papire (75,56%).</w:t>
      </w:r>
      <w:r w:rsidR="004823E2" w:rsidRPr="004E6412">
        <w:rPr>
          <w:rFonts w:ascii="Times New Roman" w:hAnsi="Times New Roman"/>
        </w:rPr>
        <w:t xml:space="preserve"> </w:t>
      </w:r>
      <w:r w:rsidRPr="004E6412">
        <w:rPr>
          <w:rFonts w:ascii="Times New Roman" w:hAnsi="Times New Roman"/>
        </w:rPr>
        <w:t>U strukturi pasive vidljivo je smanjenje ukupnog iznosa kapitala i rezervi 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P</w:t>
      </w:r>
      <w:r w:rsidRPr="004E6412">
        <w:rPr>
          <w:rFonts w:ascii="Times New Roman" w:hAnsi="Times New Roman"/>
        </w:rPr>
        <w:t>rema iz</w:t>
      </w:r>
      <w:r w:rsidR="00EB6DB1" w:rsidRPr="004E6412">
        <w:rPr>
          <w:rFonts w:ascii="Times New Roman" w:hAnsi="Times New Roman"/>
        </w:rPr>
        <w:t>vorima financiranja djelatnosti</w:t>
      </w:r>
      <w:r w:rsidRPr="004E6412">
        <w:rPr>
          <w:rFonts w:ascii="Times New Roman" w:hAnsi="Times New Roman"/>
        </w:rPr>
        <w:t xml:space="preserve"> u 2012. najveći udio sredstava dolazi iz kratkoročnog financiranja (51,52%), zatim vlastitih sredstava (25,46%) i potom dugoročnih obveza (21,53%).</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može se uočiti stalno</w:t>
      </w:r>
      <w:r w:rsidRPr="004E6412">
        <w:rPr>
          <w:rFonts w:ascii="Times New Roman" w:hAnsi="Times New Roman"/>
        </w:rPr>
        <w:t xml:space="preserve"> smanjenje ukupnih prihoda i rashoda d</w:t>
      </w:r>
      <w:r w:rsidR="00EB6DB1" w:rsidRPr="004E6412">
        <w:rPr>
          <w:rFonts w:ascii="Times New Roman" w:hAnsi="Times New Roman"/>
        </w:rPr>
        <w:t xml:space="preserve">jelatnosti. Poslovni prihodi </w:t>
      </w:r>
      <w:r w:rsidRPr="004E6412">
        <w:rPr>
          <w:rFonts w:ascii="Times New Roman" w:hAnsi="Times New Roman"/>
        </w:rPr>
        <w:t xml:space="preserve">pali </w:t>
      </w:r>
      <w:r w:rsidR="00EB6DB1" w:rsidRPr="004E6412">
        <w:rPr>
          <w:rFonts w:ascii="Times New Roman" w:hAnsi="Times New Roman"/>
        </w:rPr>
        <w:t xml:space="preserve">su </w:t>
      </w:r>
      <w:r w:rsidRPr="004E6412">
        <w:rPr>
          <w:rFonts w:ascii="Times New Roman" w:hAnsi="Times New Roman"/>
        </w:rPr>
        <w:t>za 5,85%, dok su poslovni rashodi</w:t>
      </w:r>
      <w:r w:rsidR="00EB6DB1" w:rsidRPr="004E6412">
        <w:rPr>
          <w:rFonts w:ascii="Times New Roman" w:hAnsi="Times New Roman"/>
        </w:rPr>
        <w:t xml:space="preserve"> imali nešto veći pad od 7,39%. </w:t>
      </w:r>
      <w:r w:rsidRPr="004E6412">
        <w:rPr>
          <w:rFonts w:ascii="Times New Roman" w:hAnsi="Times New Roman"/>
        </w:rPr>
        <w:t xml:space="preserve">Financijski prihodi i rashodi također pokazuju negativni trend, za razliku od izvanrednih prihoda i rashoda koji imaju uzlaznu putanju (no njihov udio u ukupnim prihodima i rashodima je zanemariv). Dobit razdoblja je u 2012. </w:t>
      </w:r>
      <w:r w:rsidR="00EB6DB1" w:rsidRPr="004E6412">
        <w:rPr>
          <w:rFonts w:ascii="Times New Roman" w:hAnsi="Times New Roman"/>
        </w:rPr>
        <w:t xml:space="preserve">godini </w:t>
      </w:r>
      <w:r w:rsidRPr="004E6412">
        <w:rPr>
          <w:rFonts w:ascii="Times New Roman" w:hAnsi="Times New Roman"/>
        </w:rPr>
        <w:t>u odnosu na 2010. porasla za 37,51%, dok se istovremeno ukupni gubitak razdoblja djelatnosti smanjio za 8,44%.</w:t>
      </w:r>
      <w:r w:rsidR="004823E2" w:rsidRPr="004E6412">
        <w:rPr>
          <w:rFonts w:ascii="Times New Roman" w:hAnsi="Times New Roman"/>
        </w:rPr>
        <w:t xml:space="preserve"> </w:t>
      </w:r>
      <w:r w:rsidRPr="004E6412">
        <w:rPr>
          <w:rFonts w:ascii="Times New Roman" w:hAnsi="Times New Roman"/>
        </w:rPr>
        <w:t xml:space="preserve">Iako većinu prihoda i rashoda ukupne djelatnosti stvara poddjelatnost C22.2. Proizvodnja proizvoda od plastike, ona također stvara veće gubitke (87,23%) od dobiti (73,51%) ukupne djelatnosti. Drugim riječima, iako poddjelatnost C22.1. </w:t>
      </w:r>
    </w:p>
    <w:p w:rsidR="003D3044" w:rsidRPr="004E6412" w:rsidRDefault="003D3044" w:rsidP="003D3044">
      <w:pPr>
        <w:pStyle w:val="ListParagraph"/>
        <w:spacing w:after="0"/>
        <w:ind w:left="0"/>
        <w:jc w:val="both"/>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EBITDA se u promatranom</w:t>
      </w:r>
      <w:r w:rsidR="00EB6DB1" w:rsidRPr="004E6412">
        <w:rPr>
          <w:rFonts w:ascii="Times New Roman" w:hAnsi="Times New Roman"/>
        </w:rPr>
        <w:t>e</w:t>
      </w:r>
      <w:r w:rsidRPr="004E6412">
        <w:rPr>
          <w:rFonts w:ascii="Times New Roman" w:hAnsi="Times New Roman"/>
        </w:rPr>
        <w:t xml:space="preserve"> razdoblju povećala za 9,03%. Prinos na imovinu (ROA), prinos na glavnicu (ROE) i prinos na investicije (ROI) nakon negativn</w:t>
      </w:r>
      <w:r w:rsidR="00EB6DB1" w:rsidRPr="004E6412">
        <w:rPr>
          <w:rFonts w:ascii="Times New Roman" w:hAnsi="Times New Roman"/>
        </w:rPr>
        <w:t>ih vrijednosti u 2010.</w:t>
      </w:r>
      <w:r w:rsidRPr="004E6412">
        <w:rPr>
          <w:rFonts w:ascii="Times New Roman" w:hAnsi="Times New Roman"/>
        </w:rPr>
        <w:t xml:space="preserve"> bilježe rast u preostalim godinama, iako su i dalje na niskim razinama. U razdoblju 2010.</w:t>
      </w:r>
      <w:r w:rsidR="00EB6DB1" w:rsidRPr="004E6412">
        <w:rPr>
          <w:rFonts w:ascii="Times New Roman" w:hAnsi="Times New Roman"/>
        </w:rPr>
        <w:t xml:space="preserve"> – </w:t>
      </w:r>
      <w:r w:rsidRPr="004E6412">
        <w:rPr>
          <w:rFonts w:ascii="Times New Roman" w:hAnsi="Times New Roman"/>
        </w:rPr>
        <w:t>2012., dobit i gubitak po zaposlenom</w:t>
      </w:r>
      <w:r w:rsidR="00EB6DB1" w:rsidRPr="004E6412">
        <w:rPr>
          <w:rFonts w:ascii="Times New Roman" w:hAnsi="Times New Roman"/>
        </w:rPr>
        <w:t>e</w:t>
      </w:r>
      <w:r w:rsidRPr="004E6412">
        <w:rPr>
          <w:rFonts w:ascii="Times New Roman" w:hAnsi="Times New Roman"/>
        </w:rPr>
        <w:t xml:space="preserve"> rastu, sa snažnijim rastom dobiti, tako da je u zadnje dvije promatrane godine ostvarena dobit po zaposlenome veća od gubitka. Stopa bruto operativnog višk</w:t>
      </w:r>
      <w:r w:rsidR="00424C4C" w:rsidRPr="004E6412">
        <w:rPr>
          <w:rFonts w:ascii="Times New Roman" w:hAnsi="Times New Roman"/>
        </w:rPr>
        <w:t>a kao i mjera čistog novčanog tijeka nastala</w:t>
      </w:r>
      <w:r w:rsidRPr="004E6412">
        <w:rPr>
          <w:rFonts w:ascii="Times New Roman" w:hAnsi="Times New Roman"/>
        </w:rPr>
        <w:t xml:space="preserve"> stvorenom dodanom vrijednosti</w:t>
      </w:r>
      <w:r w:rsidR="00424C4C" w:rsidRPr="004E6412">
        <w:rPr>
          <w:rFonts w:ascii="Times New Roman" w:hAnsi="Times New Roman"/>
        </w:rPr>
        <w:t>,</w:t>
      </w:r>
      <w:r w:rsidRPr="004E6412">
        <w:rPr>
          <w:rFonts w:ascii="Times New Roman" w:hAnsi="Times New Roman"/>
        </w:rPr>
        <w:t xml:space="preserve"> u porastu su u promatranom</w:t>
      </w:r>
      <w:r w:rsidR="00424C4C"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Doprinos trgovinskoj bilanci prerađivačke industrije u 2010. iznosi -0,71% te se u 2011. i 2012. još smanjuje. Udio izvoza djelatnosti u ukupnom i</w:t>
      </w:r>
      <w:r w:rsidR="00424C4C" w:rsidRPr="004E6412">
        <w:rPr>
          <w:rFonts w:ascii="Times New Roman" w:hAnsi="Times New Roman"/>
        </w:rPr>
        <w:t>zvozu prerađivačke industrije i</w:t>
      </w:r>
      <w:r w:rsidRPr="004E6412">
        <w:rPr>
          <w:rFonts w:ascii="Times New Roman" w:hAnsi="Times New Roman"/>
        </w:rPr>
        <w:t xml:space="preserve"> u ukupnom</w:t>
      </w:r>
      <w:r w:rsidR="00424C4C" w:rsidRPr="004E6412">
        <w:rPr>
          <w:rFonts w:ascii="Times New Roman" w:hAnsi="Times New Roman"/>
        </w:rPr>
        <w:t xml:space="preserve"> BDP-u Hrvatske sudjeluje s veoma malim postotkom te s vremenom</w:t>
      </w:r>
      <w:r w:rsidRPr="004E6412">
        <w:rPr>
          <w:rFonts w:ascii="Times New Roman" w:hAnsi="Times New Roman"/>
        </w:rPr>
        <w:t xml:space="preserve"> opada.</w:t>
      </w:r>
      <w:r w:rsidR="004823E2" w:rsidRPr="004E6412">
        <w:rPr>
          <w:rFonts w:ascii="Times New Roman" w:hAnsi="Times New Roman"/>
        </w:rPr>
        <w:t xml:space="preserve"> </w:t>
      </w:r>
      <w:r w:rsidRPr="004E6412">
        <w:rPr>
          <w:rFonts w:ascii="Times New Roman" w:hAnsi="Times New Roman"/>
        </w:rPr>
        <w:t>Udio izvoza u ukupnim prihodima djelatnosti također bilježi blagi pad, upravo zbog značajnog smanjenja izvoza. Kako na razini djelatnosti tako i za obje poddjelatnosti</w:t>
      </w:r>
      <w:r w:rsidR="00424C4C" w:rsidRPr="004E6412">
        <w:rPr>
          <w:rFonts w:ascii="Times New Roman" w:hAnsi="Times New Roman"/>
        </w:rPr>
        <w:t>,</w:t>
      </w:r>
      <w:r w:rsidRPr="004E6412">
        <w:rPr>
          <w:rFonts w:ascii="Times New Roman" w:hAnsi="Times New Roman"/>
        </w:rPr>
        <w:t xml:space="preserve"> primjeću</w:t>
      </w:r>
      <w:r w:rsidR="00424C4C" w:rsidRPr="004E6412">
        <w:rPr>
          <w:rFonts w:ascii="Times New Roman" w:hAnsi="Times New Roman"/>
        </w:rPr>
        <w:t>je se nepostojanje usporednih</w:t>
      </w:r>
      <w:r w:rsidRPr="004E6412">
        <w:rPr>
          <w:rFonts w:ascii="Times New Roman" w:hAnsi="Times New Roman"/>
        </w:rPr>
        <w:t xml:space="preserve"> prednosti</w:t>
      </w:r>
      <w:r w:rsidR="00424C4C" w:rsidRPr="004E6412">
        <w:rPr>
          <w:rFonts w:ascii="Times New Roman" w:hAnsi="Times New Roman"/>
        </w:rPr>
        <w:t xml:space="preserve"> u međunarodnoj razmjeni. Ukupan</w:t>
      </w:r>
      <w:r w:rsidRPr="004E6412">
        <w:rPr>
          <w:rFonts w:ascii="Times New Roman" w:hAnsi="Times New Roman"/>
        </w:rPr>
        <w:t xml:space="preserve"> pad prihoda djelatnosti u promatranom</w:t>
      </w:r>
      <w:r w:rsidR="00424C4C" w:rsidRPr="004E6412">
        <w:rPr>
          <w:rFonts w:ascii="Times New Roman" w:hAnsi="Times New Roman"/>
        </w:rPr>
        <w:t>e</w:t>
      </w:r>
      <w:r w:rsidRPr="004E6412">
        <w:rPr>
          <w:rFonts w:ascii="Times New Roman" w:hAnsi="Times New Roman"/>
        </w:rPr>
        <w:t xml:space="preserve"> je razdoblju iznosio 6,68%, što je približno jednako smanjenju bruto dodane vrijednosti. Proizvodnost rada u promatranom</w:t>
      </w:r>
      <w:r w:rsidR="00424C4C" w:rsidRPr="004E6412">
        <w:rPr>
          <w:rFonts w:ascii="Times New Roman" w:hAnsi="Times New Roman"/>
        </w:rPr>
        <w:t>e</w:t>
      </w:r>
      <w:r w:rsidRPr="004E6412">
        <w:rPr>
          <w:rFonts w:ascii="Times New Roman" w:hAnsi="Times New Roman"/>
        </w:rPr>
        <w:t xml:space="preserve"> razdoblju </w:t>
      </w:r>
      <w:r w:rsidR="00424C4C" w:rsidRPr="004E6412">
        <w:rPr>
          <w:rFonts w:ascii="Times New Roman" w:hAnsi="Times New Roman"/>
        </w:rPr>
        <w:t>stalno raste (u iznosu</w:t>
      </w:r>
      <w:r w:rsidR="00887C92" w:rsidRPr="004E6412">
        <w:rPr>
          <w:rFonts w:ascii="Times New Roman" w:hAnsi="Times New Roman"/>
        </w:rPr>
        <w:t xml:space="preserve"> od 6,85</w:t>
      </w:r>
      <w:r w:rsidRPr="004E6412">
        <w:rPr>
          <w:rFonts w:ascii="Times New Roman" w:hAnsi="Times New Roman"/>
        </w:rPr>
        <w:t>%), uz istovremeno smanjenje jediničnog troška rada od 2010. do 2012.</w:t>
      </w:r>
      <w:r w:rsidR="00424C4C" w:rsidRPr="004E6412">
        <w:rPr>
          <w:rFonts w:ascii="Times New Roman" w:hAnsi="Times New Roman"/>
        </w:rPr>
        <w:t xml:space="preserve"> Proizvodnost rada </w:t>
      </w:r>
      <w:r w:rsidR="00887C92" w:rsidRPr="004E6412">
        <w:rPr>
          <w:rFonts w:ascii="Times New Roman" w:hAnsi="Times New Roman"/>
        </w:rPr>
        <w:t xml:space="preserve">smanjila </w:t>
      </w:r>
      <w:r w:rsidR="00424C4C" w:rsidRPr="004E6412">
        <w:rPr>
          <w:rFonts w:ascii="Times New Roman" w:hAnsi="Times New Roman"/>
        </w:rPr>
        <w:t xml:space="preserve">se </w:t>
      </w:r>
      <w:r w:rsidR="00887C92" w:rsidRPr="004E6412">
        <w:rPr>
          <w:rFonts w:ascii="Times New Roman" w:hAnsi="Times New Roman"/>
        </w:rPr>
        <w:t>za 15,46% uslijed smanjenja fiksne imovine za 12,96%.</w:t>
      </w:r>
    </w:p>
    <w:p w:rsidR="001B41B0" w:rsidRPr="004E6412" w:rsidRDefault="001B41B0" w:rsidP="001B41B0">
      <w:pPr>
        <w:rPr>
          <w:sz w:val="22"/>
        </w:rPr>
      </w:pPr>
    </w:p>
    <w:p w:rsidR="001B41B0" w:rsidRPr="004E6412" w:rsidRDefault="001B41B0" w:rsidP="00424C4C">
      <w:pPr>
        <w:pStyle w:val="ListParagraph"/>
        <w:numPr>
          <w:ilvl w:val="0"/>
          <w:numId w:val="39"/>
        </w:numPr>
        <w:spacing w:after="0"/>
        <w:jc w:val="both"/>
        <w:rPr>
          <w:rFonts w:ascii="Times New Roman" w:hAnsi="Times New Roman"/>
        </w:rPr>
      </w:pPr>
      <w:r w:rsidRPr="004E6412">
        <w:rPr>
          <w:rFonts w:ascii="Times New Roman" w:hAnsi="Times New Roman"/>
        </w:rPr>
        <w:t xml:space="preserve">Ulaganja u istraživanje i razvoj promatrane djelatnosti u ukupnim ulaganjima u istraživanje razvoj cjelokupne prerađivačke industrije iznosi 0,78%. Odnos ulaganja u istraživanje i razvoj i bruto dodane vrijednosti prerađivačke industrije čini zanemarivih 0,01%.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lastRenderedPageBreak/>
        <w:t>Primjetan je pad vrijednosti koeficijenata tekuće i ubrzane likvidnosti, dok se trenutna likvidnost nije suviše mijenjala u promatranom razdoblju. Pokazatelji ukazuju na nedovoljnu likvidnost djelatnosti.</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Koeficijent zaduženosti ukazuje na umjereno visoku zaduženost djelatnosti, a primjećuje se i blago povećanje zaduženosti u promatranom</w:t>
      </w:r>
      <w:r w:rsidR="00424C4C" w:rsidRPr="004E6412">
        <w:rPr>
          <w:rFonts w:ascii="Times New Roman" w:hAnsi="Times New Roman"/>
        </w:rPr>
        <w:t>e</w:t>
      </w:r>
      <w:r w:rsidRPr="004E6412">
        <w:rPr>
          <w:rFonts w:ascii="Times New Roman" w:hAnsi="Times New Roman"/>
        </w:rPr>
        <w:t xml:space="preserve"> razdoblju. Primjetan je rast omjera dugoročnih obveza i dugotrajne imovine, što znači da se opterećenje dugotrajne imovine dugoročnim obvezama povećalo u promatranom</w:t>
      </w:r>
      <w:r w:rsidR="00424C4C" w:rsidRPr="004E6412">
        <w:rPr>
          <w:rFonts w:ascii="Times New Roman" w:hAnsi="Times New Roman"/>
        </w:rPr>
        <w:t>e</w:t>
      </w:r>
      <w:r w:rsidRPr="004E6412">
        <w:rPr>
          <w:rFonts w:ascii="Times New Roman" w:hAnsi="Times New Roman"/>
        </w:rPr>
        <w:t xml:space="preserve"> razdoblju. Na razini djelatnosti zadovoljavajuće su vrijednosti pokazatelja pok</w:t>
      </w:r>
      <w:r w:rsidR="00E378E5" w:rsidRPr="004E6412">
        <w:rPr>
          <w:rFonts w:ascii="Times New Roman" w:hAnsi="Times New Roman"/>
        </w:rPr>
        <w:t>rića troškova kamata operativnoj zaradi koji je u stalnom</w:t>
      </w:r>
      <w:r w:rsidRPr="004E6412">
        <w:rPr>
          <w:rFonts w:ascii="Times New Roman" w:hAnsi="Times New Roman"/>
        </w:rPr>
        <w:t xml:space="preserve"> </w:t>
      </w:r>
      <w:r w:rsidR="00E378E5" w:rsidRPr="004E6412">
        <w:rPr>
          <w:rFonts w:ascii="Times New Roman" w:hAnsi="Times New Roman"/>
        </w:rPr>
        <w:t>po</w:t>
      </w:r>
      <w:r w:rsidRPr="004E6412">
        <w:rPr>
          <w:rFonts w:ascii="Times New Roman" w:hAnsi="Times New Roman"/>
        </w:rPr>
        <w:t>rastu u promatranom</w:t>
      </w:r>
      <w:r w:rsidR="00E378E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Broj zaposlenih u promatranoj djelatnos</w:t>
      </w:r>
      <w:r w:rsidR="00E378E5" w:rsidRPr="004E6412">
        <w:rPr>
          <w:rFonts w:ascii="Times New Roman" w:hAnsi="Times New Roman"/>
        </w:rPr>
        <w:t xml:space="preserve">ti </w:t>
      </w:r>
      <w:r w:rsidRPr="004E6412">
        <w:rPr>
          <w:rFonts w:ascii="Times New Roman" w:hAnsi="Times New Roman"/>
        </w:rPr>
        <w:t xml:space="preserve">pao </w:t>
      </w:r>
      <w:r w:rsidR="00E378E5" w:rsidRPr="004E6412">
        <w:rPr>
          <w:rFonts w:ascii="Times New Roman" w:hAnsi="Times New Roman"/>
        </w:rPr>
        <w:t xml:space="preserve">je </w:t>
      </w:r>
      <w:r w:rsidRPr="004E6412">
        <w:rPr>
          <w:rFonts w:ascii="Times New Roman" w:hAnsi="Times New Roman"/>
        </w:rPr>
        <w:t>za 11,56% u razdoblju 2010.</w:t>
      </w:r>
      <w:r w:rsidR="00E378E5" w:rsidRPr="004E6412">
        <w:rPr>
          <w:rFonts w:ascii="Times New Roman" w:hAnsi="Times New Roman"/>
        </w:rPr>
        <w:t xml:space="preserve"> – </w:t>
      </w:r>
      <w:r w:rsidRPr="004E6412">
        <w:rPr>
          <w:rFonts w:ascii="Times New Roman" w:hAnsi="Times New Roman"/>
        </w:rPr>
        <w:t>2012. U prerađivačkoj industriji udio zaposlenih je stoga u padu i na razini je od 2,94% u 2012. U ukupnom</w:t>
      </w:r>
      <w:r w:rsidR="00E378E5" w:rsidRPr="004E6412">
        <w:rPr>
          <w:rFonts w:ascii="Times New Roman" w:hAnsi="Times New Roman"/>
        </w:rPr>
        <w:t>e</w:t>
      </w:r>
      <w:r w:rsidRPr="004E6412">
        <w:rPr>
          <w:rFonts w:ascii="Times New Roman" w:hAnsi="Times New Roman"/>
        </w:rPr>
        <w:t xml:space="preserve"> gospodarstvu udio zaposlenih je 0,46%. Najveći udio zaposlenih ima srednju stručnu spremu (55,49% u 2012.), slijede NKV radnici s udjelom od 14,09% i KV radnici s udjelom od 12,22%.</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Poddjelatnost C22.2 čini veći udio u</w:t>
      </w:r>
      <w:r w:rsidR="00E378E5" w:rsidRPr="004E6412">
        <w:rPr>
          <w:rFonts w:ascii="Times New Roman" w:hAnsi="Times New Roman"/>
        </w:rPr>
        <w:t xml:space="preserve"> ukupnoj djelatnosti, s obzirom na kriterij</w:t>
      </w:r>
      <w:r w:rsidRPr="004E6412">
        <w:rPr>
          <w:rFonts w:ascii="Times New Roman" w:hAnsi="Times New Roman"/>
        </w:rPr>
        <w:t xml:space="preserve"> akt</w:t>
      </w:r>
      <w:r w:rsidR="00E378E5" w:rsidRPr="004E6412">
        <w:rPr>
          <w:rFonts w:ascii="Times New Roman" w:hAnsi="Times New Roman"/>
        </w:rPr>
        <w:t>ive i pripadajućih podstavki. Tijekom svih</w:t>
      </w:r>
      <w:r w:rsidRPr="004E6412">
        <w:rPr>
          <w:rFonts w:ascii="Times New Roman" w:hAnsi="Times New Roman"/>
        </w:rPr>
        <w:t xml:space="preserve"> tri</w:t>
      </w:r>
      <w:r w:rsidR="00E378E5" w:rsidRPr="004E6412">
        <w:rPr>
          <w:rFonts w:ascii="Times New Roman" w:hAnsi="Times New Roman"/>
        </w:rPr>
        <w:t>ju godina njezin</w:t>
      </w:r>
      <w:r w:rsidRPr="004E6412">
        <w:rPr>
          <w:rFonts w:ascii="Times New Roman" w:hAnsi="Times New Roman"/>
        </w:rPr>
        <w:t xml:space="preserve"> udio iznosio je 81% i više. Aktiva poddje</w:t>
      </w:r>
      <w:r w:rsidR="00E378E5" w:rsidRPr="004E6412">
        <w:rPr>
          <w:rFonts w:ascii="Times New Roman" w:hAnsi="Times New Roman"/>
        </w:rPr>
        <w:t>latnosti C22.1. povećavala se</w:t>
      </w:r>
      <w:r w:rsidRPr="004E6412">
        <w:rPr>
          <w:rFonts w:ascii="Times New Roman" w:hAnsi="Times New Roman"/>
        </w:rPr>
        <w:t xml:space="preserve"> iz godine u godinu, dok je trend obrnut u poddjelatnosti C22.2.</w:t>
      </w:r>
      <w:r w:rsidR="00E378E5" w:rsidRPr="004E6412">
        <w:rPr>
          <w:rFonts w:ascii="Times New Roman" w:hAnsi="Times New Roman"/>
        </w:rPr>
        <w:t xml:space="preserve"> </w:t>
      </w:r>
      <w:r w:rsidRPr="004E6412">
        <w:rPr>
          <w:rFonts w:ascii="Times New Roman" w:hAnsi="Times New Roman"/>
        </w:rPr>
        <w:t xml:space="preserve">U poddjelatnosti C22.1 broj zaposlenih se </w:t>
      </w:r>
      <w:r w:rsidR="00E378E5" w:rsidRPr="004E6412">
        <w:rPr>
          <w:rFonts w:ascii="Times New Roman" w:hAnsi="Times New Roman"/>
        </w:rPr>
        <w:t xml:space="preserve">u razdoblju </w:t>
      </w:r>
      <w:r w:rsidRPr="004E6412">
        <w:rPr>
          <w:rFonts w:ascii="Times New Roman" w:hAnsi="Times New Roman"/>
        </w:rPr>
        <w:t>2010.</w:t>
      </w:r>
      <w:r w:rsidR="00E378E5" w:rsidRPr="004E6412">
        <w:rPr>
          <w:rFonts w:ascii="Times New Roman" w:hAnsi="Times New Roman"/>
        </w:rPr>
        <w:t xml:space="preserve"> – </w:t>
      </w:r>
      <w:r w:rsidRPr="004E6412">
        <w:rPr>
          <w:rFonts w:ascii="Times New Roman" w:hAnsi="Times New Roman"/>
        </w:rPr>
        <w:t>2012. povećao sa 680 na 756, dok se broj poduzeća u istom</w:t>
      </w:r>
      <w:r w:rsidR="00E378E5" w:rsidRPr="004E6412">
        <w:rPr>
          <w:rFonts w:ascii="Times New Roman" w:hAnsi="Times New Roman"/>
        </w:rPr>
        <w:t>e</w:t>
      </w:r>
      <w:r w:rsidRPr="004E6412">
        <w:rPr>
          <w:rFonts w:ascii="Times New Roman" w:hAnsi="Times New Roman"/>
        </w:rPr>
        <w:t xml:space="preserve"> razdoblju pove</w:t>
      </w:r>
      <w:r w:rsidR="00E378E5" w:rsidRPr="004E6412">
        <w:rPr>
          <w:rFonts w:ascii="Times New Roman" w:hAnsi="Times New Roman"/>
        </w:rPr>
        <w:t xml:space="preserve">ćao s 94 na 96. Obrnut trend </w:t>
      </w:r>
      <w:r w:rsidRPr="004E6412">
        <w:rPr>
          <w:rFonts w:ascii="Times New Roman" w:hAnsi="Times New Roman"/>
        </w:rPr>
        <w:t xml:space="preserve">zabilježen </w:t>
      </w:r>
      <w:r w:rsidR="00E378E5" w:rsidRPr="004E6412">
        <w:rPr>
          <w:rFonts w:ascii="Times New Roman" w:hAnsi="Times New Roman"/>
        </w:rPr>
        <w:t xml:space="preserve">je </w:t>
      </w:r>
      <w:r w:rsidRPr="004E6412">
        <w:rPr>
          <w:rFonts w:ascii="Times New Roman" w:hAnsi="Times New Roman"/>
        </w:rPr>
        <w:t>u poddjelatnosti C22.2.</w:t>
      </w:r>
      <w:r w:rsidR="00E378E5" w:rsidRPr="004E6412">
        <w:rPr>
          <w:rFonts w:ascii="Times New Roman" w:hAnsi="Times New Roman"/>
        </w:rPr>
        <w:t xml:space="preserve"> U obje poddjelatnosti </w:t>
      </w:r>
      <w:r w:rsidRPr="004E6412">
        <w:rPr>
          <w:rFonts w:ascii="Times New Roman" w:hAnsi="Times New Roman"/>
        </w:rPr>
        <w:t xml:space="preserve">zamjetan </w:t>
      </w:r>
      <w:r w:rsidR="00E378E5" w:rsidRPr="004E6412">
        <w:rPr>
          <w:rFonts w:ascii="Times New Roman" w:hAnsi="Times New Roman"/>
        </w:rPr>
        <w:t xml:space="preserve">je </w:t>
      </w:r>
      <w:r w:rsidRPr="004E6412">
        <w:rPr>
          <w:rFonts w:ascii="Times New Roman" w:hAnsi="Times New Roman"/>
        </w:rPr>
        <w:t>znatno veći udio kratkoročnih od dugoročnih obveza, što je posebice izraženo u poddjelat</w:t>
      </w:r>
      <w:r w:rsidR="00E378E5" w:rsidRPr="004E6412">
        <w:rPr>
          <w:rFonts w:ascii="Times New Roman" w:hAnsi="Times New Roman"/>
        </w:rPr>
        <w:t>nosti C22.2. Ta poddjelatnost</w:t>
      </w:r>
      <w:r w:rsidRPr="004E6412">
        <w:rPr>
          <w:rFonts w:ascii="Times New Roman" w:hAnsi="Times New Roman"/>
        </w:rPr>
        <w:t xml:space="preserve"> čini gotovo 90% svih prihoda i ra</w:t>
      </w:r>
      <w:r w:rsidR="00E378E5" w:rsidRPr="004E6412">
        <w:rPr>
          <w:rFonts w:ascii="Times New Roman" w:hAnsi="Times New Roman"/>
        </w:rPr>
        <w:t>shoda djelatnosti C22 i to u svim</w:t>
      </w:r>
      <w:r w:rsidRPr="004E6412">
        <w:rPr>
          <w:rFonts w:ascii="Times New Roman" w:hAnsi="Times New Roman"/>
        </w:rPr>
        <w:t xml:space="preserve"> tri</w:t>
      </w:r>
      <w:r w:rsidR="00E378E5" w:rsidRPr="004E6412">
        <w:rPr>
          <w:rFonts w:ascii="Times New Roman" w:hAnsi="Times New Roman"/>
        </w:rPr>
        <w:t>ma</w:t>
      </w:r>
      <w:r w:rsidRPr="004E6412">
        <w:rPr>
          <w:rFonts w:ascii="Times New Roman" w:hAnsi="Times New Roman"/>
        </w:rPr>
        <w:t xml:space="preserve"> promatra</w:t>
      </w:r>
      <w:r w:rsidR="00E378E5" w:rsidRPr="004E6412">
        <w:rPr>
          <w:rFonts w:ascii="Times New Roman" w:hAnsi="Times New Roman"/>
        </w:rPr>
        <w:t>nim godinama</w:t>
      </w:r>
      <w:r w:rsidRPr="004E6412">
        <w:rPr>
          <w:rFonts w:ascii="Times New Roman" w:hAnsi="Times New Roman"/>
        </w:rPr>
        <w:t xml:space="preserve"> (2010.</w:t>
      </w:r>
      <w:r w:rsidR="00E378E5" w:rsidRPr="004E6412">
        <w:rPr>
          <w:rFonts w:ascii="Times New Roman" w:hAnsi="Times New Roman"/>
        </w:rPr>
        <w:t xml:space="preserve"> – </w:t>
      </w:r>
      <w:r w:rsidRPr="004E6412">
        <w:rPr>
          <w:rFonts w:ascii="Times New Roman" w:hAnsi="Times New Roman"/>
        </w:rPr>
        <w:t xml:space="preserve">2012.). Obje poddjelatnosti su sve tri godine </w:t>
      </w:r>
      <w:r w:rsidR="00520525" w:rsidRPr="004E6412">
        <w:rPr>
          <w:rFonts w:ascii="Times New Roman" w:hAnsi="Times New Roman"/>
        </w:rPr>
        <w:t>iskazivale negativni neto izvoz,</w:t>
      </w:r>
      <w:r w:rsidRPr="004E6412">
        <w:rPr>
          <w:rFonts w:ascii="Times New Roman" w:hAnsi="Times New Roman"/>
        </w:rPr>
        <w:t xml:space="preserve"> obje su više uvoznički nego izvoznički orijentirane i obje povećavaju apsolutnu vrijednost uvoza. Omjer broja zaposlenih u</w:t>
      </w:r>
      <w:r w:rsidR="004823E2" w:rsidRPr="004E6412">
        <w:rPr>
          <w:rFonts w:ascii="Times New Roman" w:hAnsi="Times New Roman"/>
        </w:rPr>
        <w:t xml:space="preserve"> </w:t>
      </w:r>
      <w:r w:rsidRPr="004E6412">
        <w:rPr>
          <w:rFonts w:ascii="Times New Roman" w:hAnsi="Times New Roman"/>
        </w:rPr>
        <w:t>poddjelat</w:t>
      </w:r>
      <w:r w:rsidR="00520525" w:rsidRPr="004E6412">
        <w:rPr>
          <w:rFonts w:ascii="Times New Roman" w:hAnsi="Times New Roman"/>
        </w:rPr>
        <w:t xml:space="preserve">nostima </w:t>
      </w:r>
      <w:r w:rsidRPr="004E6412">
        <w:rPr>
          <w:rFonts w:ascii="Times New Roman" w:hAnsi="Times New Roman"/>
        </w:rPr>
        <w:t xml:space="preserve">u skladu </w:t>
      </w:r>
      <w:r w:rsidR="00520525" w:rsidRPr="004E6412">
        <w:rPr>
          <w:rFonts w:ascii="Times New Roman" w:hAnsi="Times New Roman"/>
        </w:rPr>
        <w:t xml:space="preserve">je </w:t>
      </w:r>
      <w:r w:rsidRPr="004E6412">
        <w:rPr>
          <w:rFonts w:ascii="Times New Roman" w:hAnsi="Times New Roman"/>
        </w:rPr>
        <w:t>s omjerima ukupnih prihoda. 90% svih zaposlenih radi u poddjelatnosti C22.2.</w:t>
      </w:r>
    </w:p>
    <w:p w:rsidR="001B41B0" w:rsidRPr="004E6412" w:rsidRDefault="001B41B0" w:rsidP="001B41B0">
      <w:pPr>
        <w:tabs>
          <w:tab w:val="left" w:pos="1095"/>
        </w:tabs>
        <w:ind w:firstLine="1095"/>
        <w:rPr>
          <w:sz w:val="22"/>
        </w:rPr>
      </w:pPr>
    </w:p>
    <w:p w:rsidR="001B41B0" w:rsidRPr="004E6412" w:rsidRDefault="001B41B0" w:rsidP="001B41B0">
      <w:pPr>
        <w:pStyle w:val="ListParagraph"/>
        <w:numPr>
          <w:ilvl w:val="0"/>
          <w:numId w:val="39"/>
        </w:numPr>
        <w:spacing w:after="0"/>
        <w:jc w:val="both"/>
        <w:rPr>
          <w:rFonts w:ascii="Times New Roman" w:hAnsi="Times New Roman"/>
          <w:i/>
        </w:rPr>
      </w:pPr>
      <w:r w:rsidRPr="004E6412">
        <w:rPr>
          <w:rFonts w:ascii="Times New Roman" w:hAnsi="Times New Roman"/>
        </w:rPr>
        <w:t xml:space="preserve">Djelatnost plastike i gume doprinosi s 0,5% </w:t>
      </w:r>
      <w:r w:rsidR="00520525" w:rsidRPr="004E6412">
        <w:rPr>
          <w:rFonts w:ascii="Times New Roman" w:hAnsi="Times New Roman"/>
        </w:rPr>
        <w:t xml:space="preserve">u </w:t>
      </w:r>
      <w:r w:rsidRPr="004E6412">
        <w:rPr>
          <w:rFonts w:ascii="Times New Roman" w:hAnsi="Times New Roman"/>
        </w:rPr>
        <w:t>BDP-u Hrvatske, te s 2,9% u BDP-u prerađivačke industrije. Od ukupnog</w:t>
      </w:r>
      <w:r w:rsidR="00520525" w:rsidRPr="004E6412">
        <w:rPr>
          <w:rFonts w:ascii="Times New Roman" w:hAnsi="Times New Roman"/>
        </w:rPr>
        <w:t>a</w:t>
      </w:r>
      <w:r w:rsidRPr="004E6412">
        <w:rPr>
          <w:rFonts w:ascii="Times New Roman" w:hAnsi="Times New Roman"/>
        </w:rPr>
        <w:t xml:space="preserve"> broja zaposlenih u prerađivačkoj industriji, industrija plastike i gume sudjelovala je s 3,6% u 2011.</w:t>
      </w:r>
    </w:p>
    <w:p w:rsidR="001B41B0" w:rsidRPr="004E6412" w:rsidRDefault="001B41B0" w:rsidP="001B41B0">
      <w:pPr>
        <w:rPr>
          <w:i/>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Proizvodnja proizvoda od plastike u Hrvatskoj je znatno razvijenija od proizvodnje proi</w:t>
      </w:r>
      <w:r w:rsidR="00520525" w:rsidRPr="004E6412">
        <w:rPr>
          <w:rFonts w:ascii="Times New Roman" w:hAnsi="Times New Roman"/>
        </w:rPr>
        <w:t>zvoda od gume, što se odražava</w:t>
      </w:r>
      <w:r w:rsidRPr="004E6412">
        <w:rPr>
          <w:rFonts w:ascii="Times New Roman" w:hAnsi="Times New Roman"/>
        </w:rPr>
        <w:t xml:space="preserve"> i na broj zaposlenih, ostvarene prihode, ukupan izvoz i drugo.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 xml:space="preserve">Povoljnija gospodarska kretanja u 2011. blago </w:t>
      </w:r>
      <w:r w:rsidR="00520525" w:rsidRPr="004E6412">
        <w:rPr>
          <w:rFonts w:ascii="Times New Roman" w:hAnsi="Times New Roman"/>
        </w:rPr>
        <w:t>s</w:t>
      </w:r>
      <w:r w:rsidRPr="004E6412">
        <w:rPr>
          <w:rFonts w:ascii="Times New Roman" w:hAnsi="Times New Roman"/>
        </w:rPr>
        <w:t>u pokrenula rast djelatnosti (rast od 4,7% u odnosu na 2010.),  premda se još uvijek ne može govoriti o značajnijem oporavku. Za veće stope rasta bitan je oporavak općeg</w:t>
      </w:r>
      <w:r w:rsidR="00520525" w:rsidRPr="004E6412">
        <w:rPr>
          <w:rFonts w:ascii="Times New Roman" w:hAnsi="Times New Roman"/>
        </w:rPr>
        <w:t>a</w:t>
      </w:r>
      <w:r w:rsidRPr="004E6412">
        <w:rPr>
          <w:rFonts w:ascii="Times New Roman" w:hAnsi="Times New Roman"/>
        </w:rPr>
        <w:t xml:space="preserve"> gospodarstva, kao i djelatnosti koje predstavljaju g</w:t>
      </w:r>
      <w:r w:rsidR="00520525" w:rsidRPr="004E6412">
        <w:rPr>
          <w:rFonts w:ascii="Times New Roman" w:hAnsi="Times New Roman"/>
        </w:rPr>
        <w:t xml:space="preserve">lavne korisnike proizvoda </w:t>
      </w:r>
      <w:r w:rsidRPr="004E6412">
        <w:rPr>
          <w:rFonts w:ascii="Times New Roman" w:hAnsi="Times New Roman"/>
        </w:rPr>
        <w:t>od plastike i gume (građevinska, prehrambena, automobilska, elektroničke opreme i drugo). Kako je hrvatsko tržište premalo za p</w:t>
      </w:r>
      <w:r w:rsidR="00520525" w:rsidRPr="004E6412">
        <w:rPr>
          <w:rFonts w:ascii="Times New Roman" w:hAnsi="Times New Roman"/>
        </w:rPr>
        <w:t>otencijal ove djelatnosti, važnu</w:t>
      </w:r>
      <w:r w:rsidRPr="004E6412">
        <w:rPr>
          <w:rFonts w:ascii="Times New Roman" w:hAnsi="Times New Roman"/>
        </w:rPr>
        <w:t xml:space="preserve"> ulogu </w:t>
      </w:r>
      <w:r w:rsidR="00520525" w:rsidRPr="004E6412">
        <w:rPr>
          <w:rFonts w:ascii="Times New Roman" w:hAnsi="Times New Roman"/>
        </w:rPr>
        <w:t>od</w:t>
      </w:r>
      <w:r w:rsidRPr="004E6412">
        <w:rPr>
          <w:rFonts w:ascii="Times New Roman" w:hAnsi="Times New Roman"/>
        </w:rPr>
        <w:t>igrat će i gospodarski oporavak i rast potražnje u zemljama EU</w:t>
      </w:r>
      <w:r w:rsidR="00520525" w:rsidRPr="004E6412">
        <w:rPr>
          <w:rFonts w:ascii="Times New Roman" w:hAnsi="Times New Roman"/>
        </w:rPr>
        <w:t>-a</w:t>
      </w:r>
      <w:r w:rsidRPr="004E6412">
        <w:rPr>
          <w:rFonts w:ascii="Times New Roman" w:hAnsi="Times New Roman"/>
        </w:rPr>
        <w:t xml:space="preserve">, kao i </w:t>
      </w:r>
      <w:r w:rsidR="00520525" w:rsidRPr="004E6412">
        <w:rPr>
          <w:rFonts w:ascii="Times New Roman" w:hAnsi="Times New Roman"/>
        </w:rPr>
        <w:t xml:space="preserve">u </w:t>
      </w:r>
      <w:r w:rsidRPr="004E6412">
        <w:rPr>
          <w:rFonts w:ascii="Times New Roman" w:hAnsi="Times New Roman"/>
        </w:rPr>
        <w:t xml:space="preserve">ovisnim djelatnostima.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Tehnološka oprem</w:t>
      </w:r>
      <w:r w:rsidR="00520525" w:rsidRPr="004E6412">
        <w:rPr>
          <w:rFonts w:ascii="Times New Roman" w:hAnsi="Times New Roman"/>
        </w:rPr>
        <w:t>ljenost na razini djelatnosti</w:t>
      </w:r>
      <w:r w:rsidRPr="004E6412">
        <w:rPr>
          <w:rFonts w:ascii="Times New Roman" w:hAnsi="Times New Roman"/>
        </w:rPr>
        <w:t xml:space="preserve"> dobra</w:t>
      </w:r>
      <w:r w:rsidR="00520525" w:rsidRPr="004E6412">
        <w:rPr>
          <w:rFonts w:ascii="Times New Roman" w:hAnsi="Times New Roman"/>
        </w:rPr>
        <w:t xml:space="preserve"> je</w:t>
      </w:r>
      <w:r w:rsidRPr="004E6412">
        <w:rPr>
          <w:rFonts w:ascii="Times New Roman" w:hAnsi="Times New Roman"/>
        </w:rPr>
        <w:t xml:space="preserve"> i u rangu proizvodnih tehnologija inozemnih konkurenata, premda </w:t>
      </w:r>
      <w:r w:rsidR="00520525" w:rsidRPr="004E6412">
        <w:rPr>
          <w:rFonts w:ascii="Times New Roman" w:hAnsi="Times New Roman"/>
        </w:rPr>
        <w:t>i dalje postoji relativno velik</w:t>
      </w:r>
      <w:r w:rsidRPr="004E6412">
        <w:rPr>
          <w:rFonts w:ascii="Times New Roman" w:hAnsi="Times New Roman"/>
        </w:rPr>
        <w:t xml:space="preserve"> potencijal za modernizaciju tehnologija i povećanje produktivnosti imovine.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lastRenderedPageBreak/>
        <w:t>Broj zaposlenih je u poddjelatnosti Proizvodnja proizvoda od plastike pao oko 14% u posljednje tri godine, dok je broj zaposlenih u proizvodnji proizvoda od gume u istom</w:t>
      </w:r>
      <w:r w:rsidR="00520525" w:rsidRPr="004E6412">
        <w:rPr>
          <w:rFonts w:ascii="Times New Roman" w:hAnsi="Times New Roman"/>
        </w:rPr>
        <w:t>e</w:t>
      </w:r>
      <w:r w:rsidRPr="004E6412">
        <w:rPr>
          <w:rFonts w:ascii="Times New Roman" w:hAnsi="Times New Roman"/>
        </w:rPr>
        <w:t xml:space="preserve"> razdoblju porastao za preko 11%. </w:t>
      </w:r>
      <w:r w:rsidR="003132CD" w:rsidRPr="004E6412">
        <w:rPr>
          <w:rFonts w:ascii="Times New Roman" w:hAnsi="Times New Roman"/>
        </w:rPr>
        <w:t>Unatoč tome, proizvodnost se nije povećala jer je bruto dodana vrijednost poddjelatnosti smanjena.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9"/>
        </w:numPr>
        <w:autoSpaceDE w:val="0"/>
        <w:autoSpaceDN w:val="0"/>
        <w:adjustRightInd w:val="0"/>
        <w:spacing w:after="0"/>
        <w:jc w:val="both"/>
        <w:rPr>
          <w:rFonts w:ascii="Times New Roman" w:hAnsi="Times New Roman"/>
        </w:rPr>
      </w:pPr>
      <w:r w:rsidRPr="004E6412">
        <w:rPr>
          <w:rFonts w:ascii="Times New Roman" w:hAnsi="Times New Roman"/>
        </w:rPr>
        <w:t>Proizvodnja proizvoda od gume i plastike nema domaću proizv</w:t>
      </w:r>
      <w:r w:rsidR="00520525" w:rsidRPr="004E6412">
        <w:rPr>
          <w:rFonts w:ascii="Times New Roman" w:hAnsi="Times New Roman"/>
        </w:rPr>
        <w:t>odnu osnovicu. Premda ima velik</w:t>
      </w:r>
      <w:r w:rsidRPr="004E6412">
        <w:rPr>
          <w:rFonts w:ascii="Times New Roman" w:hAnsi="Times New Roman"/>
        </w:rPr>
        <w:t xml:space="preserve"> izvozni potencijal, uvoz i dalje znatno nadmašuje izvoz, čime djelatnost ostvaruje vanjskotrgovinski deficit. Dok je omjer izvoza i uvoza iznosio otprilike 1:3 krajem 90-ih godina dvadesetog</w:t>
      </w:r>
      <w:r w:rsidR="00520525" w:rsidRPr="004E6412">
        <w:rPr>
          <w:rFonts w:ascii="Times New Roman" w:hAnsi="Times New Roman"/>
        </w:rPr>
        <w:t>a</w:t>
      </w:r>
      <w:r w:rsidRPr="004E6412">
        <w:rPr>
          <w:rFonts w:ascii="Times New Roman" w:hAnsi="Times New Roman"/>
        </w:rPr>
        <w:t xml:space="preserve"> stoljeća, 2009. </w:t>
      </w:r>
      <w:r w:rsidR="00520525" w:rsidRPr="004E6412">
        <w:rPr>
          <w:rFonts w:ascii="Times New Roman" w:hAnsi="Times New Roman"/>
        </w:rPr>
        <w:t xml:space="preserve">godine </w:t>
      </w:r>
      <w:r w:rsidRPr="004E6412">
        <w:rPr>
          <w:rFonts w:ascii="Times New Roman" w:hAnsi="Times New Roman"/>
        </w:rPr>
        <w:t>taj je odnos iznosio otprilike 1:5, što znači da se uveze robe u vrijednosti peterostruko većoj od uvoza. Većinu potrebnih sirovina industrija nabavlja iz zemalja EU</w:t>
      </w:r>
      <w:r w:rsidR="0052052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02" w:name="_Toc372088031"/>
      <w:bookmarkStart w:id="703" w:name="_Toc378069092"/>
      <w:bookmarkStart w:id="704" w:name="_Toc366152989"/>
      <w:bookmarkStart w:id="705" w:name="_Toc366154304"/>
      <w:bookmarkStart w:id="706" w:name="_Toc366154424"/>
      <w:bookmarkStart w:id="707" w:name="_Toc366409967"/>
      <w:r w:rsidRPr="004E6412">
        <w:rPr>
          <w:rFonts w:eastAsia="Calibri"/>
        </w:rPr>
        <w:lastRenderedPageBreak/>
        <w:t>Zaključni prikaz pokazatelja</w:t>
      </w:r>
      <w:bookmarkEnd w:id="702"/>
      <w:bookmarkEnd w:id="703"/>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08" w:name="_Toc372088157"/>
      <w:bookmarkStart w:id="709" w:name="_Toc377551092"/>
      <w:bookmarkStart w:id="710" w:name="_Toc37763528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80</w:t>
      </w:r>
      <w:r w:rsidRPr="007D0CFD">
        <w:rPr>
          <w:rStyle w:val="IntenseEmphasis"/>
          <w:b/>
          <w:bCs w:val="0"/>
          <w:iCs w:val="0"/>
          <w:color w:val="548DD4" w:themeColor="text2" w:themeTint="99"/>
          <w:sz w:val="20"/>
        </w:rPr>
        <w:t>. Kvantitativni pokazatelji (C22)</w:t>
      </w:r>
      <w:bookmarkEnd w:id="708"/>
      <w:bookmarkEnd w:id="709"/>
      <w:bookmarkEnd w:id="710"/>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99,20</w:t>
            </w:r>
          </w:p>
        </w:tc>
        <w:tc>
          <w:tcPr>
            <w:tcW w:w="968" w:type="pct"/>
            <w:shd w:val="clear" w:color="auto" w:fill="auto"/>
            <w:noWrap/>
          </w:tcPr>
          <w:p w:rsidR="001B41B0" w:rsidRPr="004E6412" w:rsidRDefault="001B41B0" w:rsidP="001B41B0">
            <w:pPr>
              <w:jc w:val="right"/>
            </w:pPr>
            <w:r w:rsidRPr="004E6412">
              <w:rPr>
                <w:sz w:val="22"/>
              </w:rPr>
              <w:t>108,00</w:t>
            </w:r>
          </w:p>
        </w:tc>
        <w:tc>
          <w:tcPr>
            <w:tcW w:w="1100" w:type="pct"/>
            <w:shd w:val="clear" w:color="auto" w:fill="auto"/>
            <w:noWrap/>
          </w:tcPr>
          <w:p w:rsidR="001B41B0" w:rsidRPr="004E6412" w:rsidRDefault="001B41B0" w:rsidP="001B41B0">
            <w:pPr>
              <w:jc w:val="right"/>
            </w:pPr>
            <w:r w:rsidRPr="004E6412">
              <w:rPr>
                <w:sz w:val="22"/>
              </w:rPr>
              <w:t>100,46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98,0</w:t>
            </w:r>
          </w:p>
        </w:tc>
        <w:tc>
          <w:tcPr>
            <w:tcW w:w="968" w:type="pct"/>
            <w:shd w:val="clear" w:color="auto" w:fill="auto"/>
            <w:noWrap/>
          </w:tcPr>
          <w:p w:rsidR="001B41B0" w:rsidRPr="004E6412" w:rsidRDefault="001B41B0" w:rsidP="001B41B0">
            <w:pPr>
              <w:jc w:val="right"/>
            </w:pPr>
            <w:r w:rsidRPr="004E6412">
              <w:rPr>
                <w:sz w:val="22"/>
              </w:rPr>
              <w:t>104,1</w:t>
            </w:r>
          </w:p>
        </w:tc>
        <w:tc>
          <w:tcPr>
            <w:tcW w:w="1100" w:type="pct"/>
            <w:shd w:val="clear" w:color="auto" w:fill="auto"/>
            <w:noWrap/>
          </w:tcPr>
          <w:p w:rsidR="001B41B0" w:rsidRPr="004E6412" w:rsidRDefault="005A57E5" w:rsidP="001B41B0">
            <w:pPr>
              <w:jc w:val="right"/>
            </w:pPr>
            <w:r w:rsidRPr="004E6412">
              <w:rPr>
                <w:sz w:val="22"/>
              </w:rPr>
              <w:t>100,9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7.449</w:t>
            </w:r>
          </w:p>
        </w:tc>
        <w:tc>
          <w:tcPr>
            <w:tcW w:w="968" w:type="pct"/>
            <w:shd w:val="clear" w:color="auto" w:fill="auto"/>
            <w:noWrap/>
          </w:tcPr>
          <w:p w:rsidR="001B41B0" w:rsidRPr="004E6412" w:rsidRDefault="001B41B0" w:rsidP="001B41B0">
            <w:pPr>
              <w:jc w:val="right"/>
            </w:pPr>
            <w:r w:rsidRPr="004E6412">
              <w:rPr>
                <w:sz w:val="22"/>
              </w:rPr>
              <w:t>6.868</w:t>
            </w:r>
          </w:p>
        </w:tc>
        <w:tc>
          <w:tcPr>
            <w:tcW w:w="1100" w:type="pct"/>
            <w:shd w:val="clear" w:color="auto" w:fill="auto"/>
            <w:noWrap/>
          </w:tcPr>
          <w:p w:rsidR="001B41B0" w:rsidRPr="004E6412" w:rsidRDefault="001B41B0" w:rsidP="001B41B0">
            <w:pPr>
              <w:jc w:val="right"/>
            </w:pPr>
            <w:r w:rsidRPr="004E6412">
              <w:rPr>
                <w:sz w:val="22"/>
              </w:rPr>
              <w:t>6.588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4.481.643.932</w:t>
            </w:r>
          </w:p>
        </w:tc>
        <w:tc>
          <w:tcPr>
            <w:tcW w:w="968" w:type="pct"/>
            <w:shd w:val="clear" w:color="auto" w:fill="auto"/>
            <w:noWrap/>
          </w:tcPr>
          <w:p w:rsidR="001B41B0" w:rsidRPr="004E6412" w:rsidRDefault="001B41B0" w:rsidP="001B41B0">
            <w:pPr>
              <w:jc w:val="right"/>
            </w:pPr>
            <w:r w:rsidRPr="004E6412">
              <w:rPr>
                <w:sz w:val="22"/>
              </w:rPr>
              <w:t>4.204.688.798</w:t>
            </w:r>
          </w:p>
        </w:tc>
        <w:tc>
          <w:tcPr>
            <w:tcW w:w="1100" w:type="pct"/>
            <w:shd w:val="clear" w:color="auto" w:fill="auto"/>
            <w:noWrap/>
          </w:tcPr>
          <w:p w:rsidR="001B41B0" w:rsidRPr="004E6412" w:rsidRDefault="001B41B0" w:rsidP="001B41B0">
            <w:pPr>
              <w:jc w:val="right"/>
            </w:pPr>
            <w:r w:rsidRPr="004E6412">
              <w:rPr>
                <w:sz w:val="22"/>
              </w:rPr>
              <w:t>4.182.178.616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284.584.104</w:t>
            </w:r>
          </w:p>
        </w:tc>
        <w:tc>
          <w:tcPr>
            <w:tcW w:w="968" w:type="pct"/>
            <w:shd w:val="clear" w:color="auto" w:fill="auto"/>
            <w:noWrap/>
          </w:tcPr>
          <w:p w:rsidR="001B41B0" w:rsidRPr="004E6412" w:rsidRDefault="001B41B0" w:rsidP="001B41B0">
            <w:pPr>
              <w:jc w:val="right"/>
            </w:pPr>
            <w:r w:rsidRPr="004E6412">
              <w:rPr>
                <w:sz w:val="22"/>
              </w:rPr>
              <w:t>322.301.552</w:t>
            </w:r>
          </w:p>
        </w:tc>
        <w:tc>
          <w:tcPr>
            <w:tcW w:w="1100" w:type="pct"/>
            <w:shd w:val="clear" w:color="auto" w:fill="auto"/>
            <w:noWrap/>
          </w:tcPr>
          <w:p w:rsidR="001B41B0" w:rsidRPr="004E6412" w:rsidRDefault="001B41B0" w:rsidP="001B41B0">
            <w:pPr>
              <w:jc w:val="right"/>
            </w:pPr>
            <w:r w:rsidRPr="004E6412">
              <w:rPr>
                <w:sz w:val="22"/>
              </w:rPr>
              <w:t>310.278.229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1,77</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3,43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 xml:space="preserve">601.644 </w:t>
            </w:r>
          </w:p>
        </w:tc>
        <w:tc>
          <w:tcPr>
            <w:tcW w:w="968" w:type="pct"/>
            <w:shd w:val="clear" w:color="auto" w:fill="auto"/>
            <w:noWrap/>
          </w:tcPr>
          <w:p w:rsidR="001B41B0" w:rsidRPr="004E6412" w:rsidRDefault="001B41B0" w:rsidP="001B41B0">
            <w:pPr>
              <w:jc w:val="right"/>
            </w:pPr>
            <w:r w:rsidRPr="004E6412">
              <w:rPr>
                <w:sz w:val="22"/>
              </w:rPr>
              <w:t>612.214</w:t>
            </w:r>
          </w:p>
        </w:tc>
        <w:tc>
          <w:tcPr>
            <w:tcW w:w="1100" w:type="pct"/>
            <w:shd w:val="clear" w:color="auto" w:fill="auto"/>
            <w:noWrap/>
          </w:tcPr>
          <w:p w:rsidR="001B41B0" w:rsidRPr="004E6412" w:rsidRDefault="001B41B0" w:rsidP="001B41B0">
            <w:pPr>
              <w:jc w:val="right"/>
            </w:pPr>
            <w:r w:rsidRPr="004E6412">
              <w:rPr>
                <w:sz w:val="22"/>
              </w:rPr>
              <w:t>634.818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977.247.618</w:t>
            </w:r>
          </w:p>
        </w:tc>
        <w:tc>
          <w:tcPr>
            <w:tcW w:w="968" w:type="pct"/>
            <w:shd w:val="clear" w:color="auto" w:fill="auto"/>
            <w:noWrap/>
          </w:tcPr>
          <w:p w:rsidR="001B41B0" w:rsidRPr="004E6412" w:rsidRDefault="001B41B0" w:rsidP="001B41B0">
            <w:pPr>
              <w:jc w:val="right"/>
            </w:pPr>
            <w:r w:rsidRPr="004E6412">
              <w:rPr>
                <w:sz w:val="22"/>
              </w:rPr>
              <w:t>927.107.545</w:t>
            </w:r>
          </w:p>
        </w:tc>
        <w:tc>
          <w:tcPr>
            <w:tcW w:w="1100" w:type="pct"/>
            <w:shd w:val="clear" w:color="auto" w:fill="auto"/>
            <w:noWrap/>
          </w:tcPr>
          <w:p w:rsidR="001B41B0" w:rsidRPr="004E6412" w:rsidRDefault="001B41B0" w:rsidP="001B41B0">
            <w:pPr>
              <w:jc w:val="right"/>
            </w:pPr>
            <w:r w:rsidRPr="004E6412">
              <w:rPr>
                <w:sz w:val="22"/>
              </w:rPr>
              <w:t>908.903.357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18.123</w:t>
            </w:r>
          </w:p>
        </w:tc>
        <w:tc>
          <w:tcPr>
            <w:tcW w:w="968" w:type="pct"/>
            <w:shd w:val="clear" w:color="auto" w:fill="auto"/>
            <w:noWrap/>
          </w:tcPr>
          <w:p w:rsidR="001B41B0" w:rsidRPr="004E6412" w:rsidRDefault="001B41B0" w:rsidP="001B41B0">
            <w:pPr>
              <w:jc w:val="right"/>
            </w:pPr>
            <w:r w:rsidRPr="004E6412">
              <w:rPr>
                <w:sz w:val="22"/>
              </w:rPr>
              <w:t>25.063</w:t>
            </w:r>
          </w:p>
        </w:tc>
        <w:tc>
          <w:tcPr>
            <w:tcW w:w="1100" w:type="pct"/>
            <w:shd w:val="clear" w:color="auto" w:fill="auto"/>
            <w:noWrap/>
          </w:tcPr>
          <w:p w:rsidR="001B41B0" w:rsidRPr="004E6412" w:rsidRDefault="001B41B0" w:rsidP="001B41B0">
            <w:pPr>
              <w:jc w:val="right"/>
            </w:pPr>
            <w:r w:rsidRPr="004E6412">
              <w:rPr>
                <w:sz w:val="22"/>
              </w:rPr>
              <w:t>28.178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22.362</w:t>
            </w:r>
          </w:p>
        </w:tc>
        <w:tc>
          <w:tcPr>
            <w:tcW w:w="968" w:type="pct"/>
            <w:shd w:val="clear" w:color="auto" w:fill="auto"/>
            <w:noWrap/>
          </w:tcPr>
          <w:p w:rsidR="001B41B0" w:rsidRPr="004E6412" w:rsidRDefault="001B41B0" w:rsidP="001B41B0">
            <w:pPr>
              <w:jc w:val="right"/>
            </w:pPr>
            <w:r w:rsidRPr="004E6412">
              <w:rPr>
                <w:sz w:val="22"/>
              </w:rPr>
              <w:t>20.089</w:t>
            </w:r>
          </w:p>
        </w:tc>
        <w:tc>
          <w:tcPr>
            <w:tcW w:w="1100" w:type="pct"/>
            <w:shd w:val="clear" w:color="auto" w:fill="auto"/>
            <w:noWrap/>
          </w:tcPr>
          <w:p w:rsidR="001B41B0" w:rsidRPr="004E6412" w:rsidRDefault="001B41B0" w:rsidP="001B41B0">
            <w:pPr>
              <w:jc w:val="right"/>
            </w:pPr>
            <w:r w:rsidRPr="004E6412">
              <w:rPr>
                <w:sz w:val="22"/>
              </w:rPr>
              <w:t>23.150</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0,898</w:t>
            </w:r>
          </w:p>
        </w:tc>
        <w:tc>
          <w:tcPr>
            <w:tcW w:w="968" w:type="pct"/>
            <w:shd w:val="clear" w:color="auto" w:fill="auto"/>
            <w:noWrap/>
          </w:tcPr>
          <w:p w:rsidR="001B41B0" w:rsidRPr="004E6412" w:rsidRDefault="001B41B0" w:rsidP="001B41B0">
            <w:pPr>
              <w:jc w:val="right"/>
            </w:pPr>
            <w:r w:rsidRPr="004E6412">
              <w:rPr>
                <w:sz w:val="22"/>
              </w:rPr>
              <w:t>0,717</w:t>
            </w:r>
          </w:p>
        </w:tc>
        <w:tc>
          <w:tcPr>
            <w:tcW w:w="1100" w:type="pct"/>
            <w:shd w:val="clear" w:color="auto" w:fill="auto"/>
            <w:noWrap/>
          </w:tcPr>
          <w:p w:rsidR="001B41B0" w:rsidRPr="004E6412" w:rsidRDefault="001B41B0" w:rsidP="001B41B0">
            <w:pPr>
              <w:jc w:val="right"/>
            </w:pPr>
            <w:r w:rsidRPr="004E6412">
              <w:rPr>
                <w:sz w:val="22"/>
              </w:rPr>
              <w:t>0,748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-149.700.231</w:t>
            </w:r>
          </w:p>
        </w:tc>
        <w:tc>
          <w:tcPr>
            <w:tcW w:w="968" w:type="pct"/>
            <w:shd w:val="clear" w:color="auto" w:fill="auto"/>
            <w:noWrap/>
          </w:tcPr>
          <w:p w:rsidR="001B41B0" w:rsidRPr="004E6412" w:rsidRDefault="001B41B0" w:rsidP="001B41B0">
            <w:pPr>
              <w:jc w:val="right"/>
            </w:pPr>
            <w:r w:rsidRPr="004E6412">
              <w:rPr>
                <w:sz w:val="22"/>
              </w:rPr>
              <w:t>-436.259.250</w:t>
            </w:r>
          </w:p>
        </w:tc>
        <w:tc>
          <w:tcPr>
            <w:tcW w:w="1100" w:type="pct"/>
            <w:shd w:val="clear" w:color="auto" w:fill="auto"/>
            <w:noWrap/>
          </w:tcPr>
          <w:p w:rsidR="001B41B0" w:rsidRPr="004E6412" w:rsidRDefault="001B41B0" w:rsidP="001B41B0">
            <w:pPr>
              <w:jc w:val="right"/>
            </w:pPr>
            <w:r w:rsidRPr="004E6412">
              <w:rPr>
                <w:sz w:val="22"/>
              </w:rPr>
              <w:t>-394.444.875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29,55</w:t>
            </w:r>
          </w:p>
        </w:tc>
        <w:tc>
          <w:tcPr>
            <w:tcW w:w="968" w:type="pct"/>
            <w:shd w:val="clear" w:color="auto" w:fill="auto"/>
            <w:noWrap/>
          </w:tcPr>
          <w:p w:rsidR="001B41B0" w:rsidRPr="004E6412" w:rsidRDefault="001B41B0" w:rsidP="001B41B0">
            <w:pPr>
              <w:jc w:val="right"/>
            </w:pPr>
            <w:r w:rsidRPr="004E6412">
              <w:rPr>
                <w:sz w:val="22"/>
              </w:rPr>
              <w:t>26,28</w:t>
            </w:r>
          </w:p>
        </w:tc>
        <w:tc>
          <w:tcPr>
            <w:tcW w:w="1100" w:type="pct"/>
            <w:shd w:val="clear" w:color="auto" w:fill="auto"/>
            <w:noWrap/>
          </w:tcPr>
          <w:p w:rsidR="001B41B0" w:rsidRPr="004E6412" w:rsidRDefault="001B41B0" w:rsidP="001B41B0">
            <w:pPr>
              <w:jc w:val="right"/>
            </w:pPr>
            <w:r w:rsidRPr="004E6412">
              <w:rPr>
                <w:sz w:val="22"/>
              </w:rPr>
              <w:t>27,93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-0,180</w:t>
            </w:r>
          </w:p>
        </w:tc>
        <w:tc>
          <w:tcPr>
            <w:tcW w:w="968" w:type="pct"/>
            <w:shd w:val="clear" w:color="auto" w:fill="auto"/>
            <w:noWrap/>
          </w:tcPr>
          <w:p w:rsidR="001B41B0" w:rsidRPr="004E6412" w:rsidRDefault="001B41B0" w:rsidP="001B41B0">
            <w:pPr>
              <w:jc w:val="right"/>
            </w:pPr>
            <w:r w:rsidRPr="004E6412">
              <w:rPr>
                <w:sz w:val="22"/>
              </w:rPr>
              <w:t>-0,584</w:t>
            </w:r>
          </w:p>
        </w:tc>
        <w:tc>
          <w:tcPr>
            <w:tcW w:w="1100" w:type="pct"/>
            <w:shd w:val="clear" w:color="auto" w:fill="auto"/>
            <w:noWrap/>
          </w:tcPr>
          <w:p w:rsidR="001B41B0" w:rsidRPr="004E6412" w:rsidRDefault="001B41B0" w:rsidP="001B41B0">
            <w:pPr>
              <w:jc w:val="right"/>
            </w:pPr>
            <w:r w:rsidRPr="004E6412">
              <w:rPr>
                <w:sz w:val="22"/>
              </w:rPr>
              <w:t>-0,527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20525"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2,46</w:t>
            </w:r>
          </w:p>
        </w:tc>
        <w:tc>
          <w:tcPr>
            <w:tcW w:w="968" w:type="pct"/>
            <w:shd w:val="clear" w:color="auto" w:fill="auto"/>
            <w:noWrap/>
          </w:tcPr>
          <w:p w:rsidR="001B41B0" w:rsidRPr="004E6412" w:rsidRDefault="001B41B0" w:rsidP="001B41B0">
            <w:pPr>
              <w:tabs>
                <w:tab w:val="center" w:pos="1281"/>
              </w:tabs>
              <w:jc w:val="right"/>
            </w:pPr>
            <w:r w:rsidRPr="004E6412">
              <w:rPr>
                <w:sz w:val="22"/>
              </w:rPr>
              <w:t>2,00</w:t>
            </w:r>
          </w:p>
        </w:tc>
        <w:tc>
          <w:tcPr>
            <w:tcW w:w="1100" w:type="pct"/>
            <w:shd w:val="clear" w:color="auto" w:fill="auto"/>
            <w:noWrap/>
          </w:tcPr>
          <w:p w:rsidR="001B41B0" w:rsidRPr="004E6412" w:rsidRDefault="001B41B0" w:rsidP="001B41B0">
            <w:pPr>
              <w:jc w:val="right"/>
            </w:pPr>
            <w:r w:rsidRPr="004E6412">
              <w:rPr>
                <w:sz w:val="22"/>
              </w:rPr>
              <w:t>1,99</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0,947</w:t>
            </w:r>
          </w:p>
        </w:tc>
        <w:tc>
          <w:tcPr>
            <w:tcW w:w="968" w:type="pct"/>
            <w:shd w:val="clear" w:color="auto" w:fill="auto"/>
            <w:noWrap/>
          </w:tcPr>
          <w:p w:rsidR="001B41B0" w:rsidRPr="004E6412" w:rsidRDefault="001B41B0" w:rsidP="001B41B0">
            <w:pPr>
              <w:jc w:val="right"/>
            </w:pPr>
            <w:r w:rsidRPr="004E6412">
              <w:rPr>
                <w:sz w:val="22"/>
              </w:rPr>
              <w:t>0,835</w:t>
            </w:r>
          </w:p>
        </w:tc>
        <w:tc>
          <w:tcPr>
            <w:tcW w:w="1100" w:type="pct"/>
            <w:shd w:val="clear" w:color="auto" w:fill="auto"/>
            <w:noWrap/>
          </w:tcPr>
          <w:p w:rsidR="001B41B0" w:rsidRPr="004E6412" w:rsidRDefault="001B41B0" w:rsidP="001B41B0">
            <w:pPr>
              <w:jc w:val="right"/>
            </w:pPr>
            <w:r w:rsidRPr="004E6412">
              <w:rPr>
                <w:sz w:val="22"/>
              </w:rPr>
              <w:t>0,856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131.192</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134.989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137.963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0,43</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0,50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0,55</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0,69</w:t>
            </w:r>
          </w:p>
        </w:tc>
        <w:tc>
          <w:tcPr>
            <w:tcW w:w="1100" w:type="pct"/>
            <w:shd w:val="clear" w:color="auto" w:fill="auto"/>
            <w:noWrap/>
          </w:tcPr>
          <w:p w:rsidR="001B41B0" w:rsidRPr="004E6412" w:rsidRDefault="001B41B0" w:rsidP="001B41B0">
            <w:pPr>
              <w:jc w:val="right"/>
            </w:pPr>
            <w:r w:rsidRPr="004E6412">
              <w:rPr>
                <w:sz w:val="22"/>
              </w:rPr>
              <w:t>0,73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11" w:name="_Toc372088158"/>
      <w:bookmarkStart w:id="712" w:name="_Toc377551093"/>
      <w:bookmarkStart w:id="713" w:name="_Toc377635282"/>
      <w:r w:rsidRPr="007D0CFD">
        <w:rPr>
          <w:rStyle w:val="IntenseEmphasis"/>
          <w:b/>
          <w:bCs w:val="0"/>
          <w:iCs w:val="0"/>
          <w:color w:val="548DD4" w:themeColor="text2" w:themeTint="99"/>
          <w:sz w:val="20"/>
        </w:rPr>
        <w:lastRenderedPageBreak/>
        <w:t xml:space="preserve">Tablica </w:t>
      </w:r>
      <w:r w:rsidR="00B54DF2" w:rsidRPr="007D0CFD">
        <w:rPr>
          <w:rStyle w:val="IntenseEmphasis"/>
          <w:b/>
          <w:bCs w:val="0"/>
          <w:iCs w:val="0"/>
          <w:color w:val="548DD4" w:themeColor="text2" w:themeTint="99"/>
          <w:sz w:val="20"/>
        </w:rPr>
        <w:t>8</w:t>
      </w:r>
      <w:r w:rsidR="00FB4A6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Kvalitativni pokazatelji (C22)</w:t>
      </w:r>
      <w:bookmarkEnd w:id="711"/>
      <w:bookmarkEnd w:id="712"/>
      <w:bookmarkEnd w:id="7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 industrije</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20525"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3D3044">
            <w:pPr>
              <w:spacing w:line="240" w:lineRule="auto"/>
              <w:rPr>
                <w:sz w:val="22"/>
              </w:rPr>
            </w:pPr>
            <w:r w:rsidRPr="004E6412">
              <w:rPr>
                <w:sz w:val="22"/>
              </w:rPr>
              <w:t>Rad</w:t>
            </w:r>
            <w:r w:rsidR="003D3044" w:rsidRPr="004E6412">
              <w:rPr>
                <w:sz w:val="22"/>
              </w:rPr>
              <w:t>na snaga dostupna</w:t>
            </w:r>
            <w:r w:rsidRPr="004E6412">
              <w:rPr>
                <w:sz w:val="22"/>
              </w:rPr>
              <w:t>. Resursi dostupni isključivo na stranim trži</w:t>
            </w:r>
            <w:r w:rsidR="00520525" w:rsidRPr="004E6412">
              <w:rPr>
                <w:sz w:val="22"/>
              </w:rPr>
              <w:t>štima. Dobra dostupnost kapitala</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za primjenu u različitim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98 poduzeća ostvaruje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Dobar izvozni potencijal, no zbog nepostojanja domaće resursne osnovice industrija ostvaruje vanjskotrgovinski deficit.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postoji, naročito u poddjelatnosti C22.2 Proizvodnja proizvoda od plastike.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sirovina za proizvodnju.</w:t>
            </w:r>
          </w:p>
        </w:tc>
      </w:tr>
    </w:tbl>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14" w:name="_Toc372088032"/>
      <w:bookmarkStart w:id="715" w:name="_Toc378069093"/>
      <w:r w:rsidRPr="004E6412">
        <w:lastRenderedPageBreak/>
        <w:t>C23 Proizvodnja ostalih nemetalnih mineralnih proizvoda</w:t>
      </w:r>
      <w:bookmarkEnd w:id="704"/>
      <w:bookmarkEnd w:id="705"/>
      <w:bookmarkEnd w:id="706"/>
      <w:bookmarkEnd w:id="707"/>
      <w:bookmarkEnd w:id="714"/>
      <w:bookmarkEnd w:id="715"/>
    </w:p>
    <w:p w:rsidR="001B41B0" w:rsidRPr="004E6412" w:rsidRDefault="001B41B0" w:rsidP="001B41B0">
      <w:pPr>
        <w:rPr>
          <w:szCs w:val="24"/>
        </w:rPr>
      </w:pPr>
    </w:p>
    <w:p w:rsidR="001B41B0" w:rsidRPr="004E6412" w:rsidRDefault="001B41B0" w:rsidP="001B41B0">
      <w:pPr>
        <w:rPr>
          <w:sz w:val="22"/>
        </w:rPr>
      </w:pPr>
      <w:r w:rsidRPr="004E6412">
        <w:rPr>
          <w:sz w:val="22"/>
        </w:rPr>
        <w:t xml:space="preserve">Djelatnost </w:t>
      </w:r>
      <w:r w:rsidR="008058BC" w:rsidRPr="004E6412">
        <w:rPr>
          <w:sz w:val="22"/>
        </w:rPr>
        <w:t xml:space="preserve">proizvodnje </w:t>
      </w:r>
      <w:r w:rsidRPr="004E6412">
        <w:rPr>
          <w:sz w:val="22"/>
        </w:rPr>
        <w:t xml:space="preserve">ostalih nemetalnih mineralnih proizvoda (C23) uključuje proizvodnju stakla i proizvoda od stakla (C23.1), proizvodnju vatrostalnih proizvoda (C23.2), proizvodnju proizvoda od gline za građevinarstvo (C23.3), proizvodnju ostalih proizvoda od porculana i keramike (C23.4), proizvodnju cementa, vapna i gipsa (C23.5), proizvodnju proizvoda od betona, cementa i gipsa (C23.6), rezanje, oblikovanje i obradu kamena (C23.7) i proizvodnju brusnih proizvoda i nemetalnih mineralnih proizvoda (C23.9). </w:t>
      </w:r>
    </w:p>
    <w:p w:rsidR="001B41B0" w:rsidRPr="004E6412" w:rsidRDefault="001B41B0" w:rsidP="001B41B0">
      <w:pPr>
        <w:rPr>
          <w:i/>
          <w:szCs w:val="24"/>
        </w:rPr>
      </w:pPr>
    </w:p>
    <w:p w:rsidR="001B41B0" w:rsidRPr="004E6412" w:rsidRDefault="001B41B0" w:rsidP="00D001B9">
      <w:pPr>
        <w:pStyle w:val="Heading3"/>
      </w:pPr>
      <w:bookmarkStart w:id="716" w:name="_Toc366154305"/>
      <w:bookmarkStart w:id="717" w:name="_Toc366154425"/>
      <w:bookmarkStart w:id="718" w:name="_Toc366409968"/>
      <w:bookmarkStart w:id="719" w:name="_Toc372088033"/>
      <w:bookmarkStart w:id="720" w:name="_Toc378069094"/>
      <w:r w:rsidRPr="004E6412">
        <w:t>Globalni trendovi razvoja</w:t>
      </w:r>
      <w:bookmarkEnd w:id="716"/>
      <w:bookmarkEnd w:id="717"/>
      <w:bookmarkEnd w:id="718"/>
      <w:bookmarkEnd w:id="719"/>
      <w:bookmarkEnd w:id="720"/>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Sektor proizvodnje nemetalnih mineralnih proizvoda prerađuje nemetalne minerale u gotove ili intermedijarne proizvode. Proces prerade često uključuje visoke temperature u kojima se mijenja</w:t>
      </w:r>
      <w:r w:rsidR="008058BC" w:rsidRPr="004E6412">
        <w:rPr>
          <w:rFonts w:ascii="Times New Roman" w:hAnsi="Times New Roman"/>
        </w:rPr>
        <w:t>ju</w:t>
      </w:r>
      <w:r w:rsidRPr="004E6412">
        <w:rPr>
          <w:rFonts w:ascii="Times New Roman" w:hAnsi="Times New Roman"/>
        </w:rPr>
        <w:t xml:space="preserve"> sastav, čis</w:t>
      </w:r>
      <w:r w:rsidR="008058BC" w:rsidRPr="004E6412">
        <w:rPr>
          <w:rFonts w:ascii="Times New Roman" w:hAnsi="Times New Roman"/>
        </w:rPr>
        <w:t>toća i kemijska svojstva krajnje</w:t>
      </w:r>
      <w:r w:rsidRPr="004E6412">
        <w:rPr>
          <w:rFonts w:ascii="Times New Roman" w:hAnsi="Times New Roman"/>
        </w:rPr>
        <w:t xml:space="preserve">g proizvoda. </w:t>
      </w:r>
      <w:r w:rsidR="003D3044" w:rsidRPr="004E6412">
        <w:rPr>
          <w:rFonts w:ascii="Times New Roman" w:hAnsi="Times New Roman"/>
        </w:rPr>
        <w:t>Najčešće korišten</w:t>
      </w:r>
      <w:r w:rsidRPr="004E6412">
        <w:rPr>
          <w:rFonts w:ascii="Times New Roman" w:hAnsi="Times New Roman"/>
        </w:rPr>
        <w:t xml:space="preserve"> </w:t>
      </w:r>
      <w:r w:rsidR="003D3044" w:rsidRPr="004E6412">
        <w:rPr>
          <w:rFonts w:ascii="Times New Roman" w:hAnsi="Times New Roman"/>
        </w:rPr>
        <w:t>energent</w:t>
      </w:r>
      <w:r w:rsidRPr="004E6412">
        <w:rPr>
          <w:rFonts w:ascii="Times New Roman" w:hAnsi="Times New Roman"/>
        </w:rPr>
        <w:t xml:space="preserve"> u proizvodnji</w:t>
      </w:r>
      <w:r w:rsidR="008058BC" w:rsidRPr="004E6412">
        <w:rPr>
          <w:rFonts w:ascii="Times New Roman" w:hAnsi="Times New Roman"/>
        </w:rPr>
        <w:t xml:space="preserve"> </w:t>
      </w:r>
      <w:r w:rsidR="003D3044" w:rsidRPr="004E6412">
        <w:rPr>
          <w:rFonts w:ascii="Times New Roman" w:hAnsi="Times New Roman"/>
        </w:rPr>
        <w:t xml:space="preserve">je </w:t>
      </w:r>
      <w:r w:rsidRPr="004E6412">
        <w:rPr>
          <w:rFonts w:ascii="Times New Roman" w:hAnsi="Times New Roman"/>
        </w:rPr>
        <w:t>ugljen ili petrol koks, a rjeđe prirodni plin i druga industrijska goriva. Proizvodi ove industrijske djelatnosti najčešće se koriste kao sirovine ili poluproizvodi za građevinsku industriju, uz iznimku proizvodnje šupljeg stakla, koje se najčešće plasira kao ambalaža u prehrambenu i druge djelatnosti.</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Djelatnost proizvodnje ostalih nemetalnih</w:t>
      </w:r>
      <w:r w:rsidR="008058BC" w:rsidRPr="004E6412">
        <w:rPr>
          <w:rFonts w:ascii="Times New Roman" w:hAnsi="Times New Roman"/>
        </w:rPr>
        <w:t xml:space="preserve"> mineralnih proizvoda </w:t>
      </w:r>
      <w:r w:rsidRPr="004E6412">
        <w:rPr>
          <w:rFonts w:ascii="Times New Roman" w:hAnsi="Times New Roman"/>
        </w:rPr>
        <w:t xml:space="preserve">ciklički </w:t>
      </w:r>
      <w:r w:rsidR="008058BC" w:rsidRPr="004E6412">
        <w:rPr>
          <w:rFonts w:ascii="Times New Roman" w:hAnsi="Times New Roman"/>
        </w:rPr>
        <w:t xml:space="preserve">je </w:t>
      </w:r>
      <w:r w:rsidRPr="004E6412">
        <w:rPr>
          <w:rFonts w:ascii="Times New Roman" w:hAnsi="Times New Roman"/>
        </w:rPr>
        <w:t xml:space="preserve">vezana uz građevinarstvo i </w:t>
      </w:r>
      <w:r w:rsidR="008058BC" w:rsidRPr="004E6412">
        <w:rPr>
          <w:rFonts w:ascii="Times New Roman" w:hAnsi="Times New Roman"/>
        </w:rPr>
        <w:t xml:space="preserve">opće stanje u </w:t>
      </w:r>
      <w:r w:rsidRPr="004E6412">
        <w:rPr>
          <w:rFonts w:ascii="Times New Roman" w:hAnsi="Times New Roman"/>
        </w:rPr>
        <w:t>gospodarstvu. Kao posljedica globalne gospodarske kri</w:t>
      </w:r>
      <w:r w:rsidR="008058BC" w:rsidRPr="004E6412">
        <w:rPr>
          <w:rFonts w:ascii="Times New Roman" w:hAnsi="Times New Roman"/>
        </w:rPr>
        <w:t xml:space="preserve">ze, potražnja za proizvodima </w:t>
      </w:r>
      <w:r w:rsidRPr="004E6412">
        <w:rPr>
          <w:rFonts w:ascii="Times New Roman" w:hAnsi="Times New Roman"/>
        </w:rPr>
        <w:t xml:space="preserve">uvelike </w:t>
      </w:r>
      <w:r w:rsidR="008058BC" w:rsidRPr="004E6412">
        <w:rPr>
          <w:rFonts w:ascii="Times New Roman" w:hAnsi="Times New Roman"/>
        </w:rPr>
        <w:t xml:space="preserve">je </w:t>
      </w:r>
      <w:r w:rsidRPr="004E6412">
        <w:rPr>
          <w:rFonts w:ascii="Times New Roman" w:hAnsi="Times New Roman"/>
        </w:rPr>
        <w:t xml:space="preserve">smanjena, prvenstveno zbog smanjenja velikih infrastrukturnih projekata i krize na tržištu nekretnina.  </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Među nemetalnim mineralnim pr</w:t>
      </w:r>
      <w:r w:rsidR="00D127CA" w:rsidRPr="004E6412">
        <w:rPr>
          <w:rFonts w:ascii="Times New Roman" w:hAnsi="Times New Roman"/>
        </w:rPr>
        <w:t>oizvodima najznačajnije mjesto ima</w:t>
      </w:r>
      <w:r w:rsidRPr="004E6412">
        <w:rPr>
          <w:rFonts w:ascii="Times New Roman" w:hAnsi="Times New Roman"/>
        </w:rPr>
        <w:t xml:space="preserve"> proizvodnja cementa koji je kao sirovina nezamjenjiv prilikom izgradnje infrastrukture i nekretnina. Vrijednost svjetske proizvodnje cemen</w:t>
      </w:r>
      <w:r w:rsidR="00D127CA" w:rsidRPr="004E6412">
        <w:rPr>
          <w:rFonts w:ascii="Times New Roman" w:hAnsi="Times New Roman"/>
        </w:rPr>
        <w:t>ta iznosila je 250 milijardi USD</w:t>
      </w:r>
      <w:r w:rsidRPr="004E6412">
        <w:rPr>
          <w:rFonts w:ascii="Times New Roman" w:hAnsi="Times New Roman"/>
        </w:rPr>
        <w:t xml:space="preserve"> u 2011. Lidersku poziciju u proizvodnji cementa u po</w:t>
      </w:r>
      <w:r w:rsidR="00D127CA" w:rsidRPr="004E6412">
        <w:rPr>
          <w:rFonts w:ascii="Times New Roman" w:hAnsi="Times New Roman"/>
        </w:rPr>
        <w:t>sljednjih 20 godina neprestano</w:t>
      </w:r>
      <w:r w:rsidRPr="004E6412">
        <w:rPr>
          <w:rFonts w:ascii="Times New Roman" w:hAnsi="Times New Roman"/>
        </w:rPr>
        <w:t xml:space="preserve"> drži Kina koja je zaslužna za 54% ukupne svjetske proizvo</w:t>
      </w:r>
      <w:r w:rsidR="00D127CA" w:rsidRPr="004E6412">
        <w:rPr>
          <w:rFonts w:ascii="Times New Roman" w:hAnsi="Times New Roman"/>
        </w:rPr>
        <w:t>dnje. Nakon Kine, na drugom je mjestu</w:t>
      </w:r>
      <w:r w:rsidRPr="004E6412">
        <w:rPr>
          <w:rFonts w:ascii="Times New Roman" w:hAnsi="Times New Roman"/>
        </w:rPr>
        <w:t xml:space="preserve"> Indija sa 7% svjetske proizvodnje. Tržišni udio bilo koje druge zemlje u svijetu ne prelazi 2% ukupne proizvodnje. Najveći svjetski proizvođači ujedno su i najveći potrošači. Zbog svoje masivnosti i relativno niske cijene proizvodnje, transportni trošak previše opterećuje prodajne marže, zbog čega transport pri prodaji cementa rijetko prelazi udaljenost veću od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što je i glavni razlog zašto se od ukupne svjetske proizvodnje cementa svega 3% plasira na strana tržišta.</w:t>
      </w:r>
    </w:p>
    <w:p w:rsidR="001B41B0" w:rsidRPr="004E6412" w:rsidRDefault="001B41B0" w:rsidP="001B41B0">
      <w:pPr>
        <w:rPr>
          <w:sz w:val="22"/>
        </w:rPr>
      </w:pPr>
    </w:p>
    <w:p w:rsidR="00083DEE" w:rsidRPr="004E6412" w:rsidRDefault="001B41B0" w:rsidP="00083DEE">
      <w:pPr>
        <w:pStyle w:val="ListParagraph"/>
        <w:numPr>
          <w:ilvl w:val="0"/>
          <w:numId w:val="40"/>
        </w:numPr>
        <w:spacing w:after="0"/>
        <w:jc w:val="both"/>
        <w:rPr>
          <w:rFonts w:ascii="Times New Roman" w:hAnsi="Times New Roman"/>
        </w:rPr>
      </w:pPr>
      <w:r w:rsidRPr="004E6412">
        <w:rPr>
          <w:rFonts w:ascii="Times New Roman" w:hAnsi="Times New Roman"/>
        </w:rPr>
        <w:t>U razdoblju 2002.</w:t>
      </w:r>
      <w:r w:rsidR="00D127CA" w:rsidRPr="004E6412">
        <w:rPr>
          <w:rFonts w:ascii="Times New Roman" w:hAnsi="Times New Roman"/>
        </w:rPr>
        <w:t xml:space="preserve"> – </w:t>
      </w:r>
      <w:r w:rsidRPr="004E6412">
        <w:rPr>
          <w:rFonts w:ascii="Times New Roman" w:hAnsi="Times New Roman"/>
        </w:rPr>
        <w:t>2011. sv</w:t>
      </w:r>
      <w:r w:rsidR="00D127CA" w:rsidRPr="004E6412">
        <w:rPr>
          <w:rFonts w:ascii="Times New Roman" w:hAnsi="Times New Roman"/>
        </w:rPr>
        <w:t xml:space="preserve">jetska potražnja za cementom </w:t>
      </w:r>
      <w:r w:rsidRPr="004E6412">
        <w:rPr>
          <w:rFonts w:ascii="Times New Roman" w:hAnsi="Times New Roman"/>
        </w:rPr>
        <w:t xml:space="preserve">neprekidno </w:t>
      </w:r>
      <w:r w:rsidR="00D127CA" w:rsidRPr="004E6412">
        <w:rPr>
          <w:rFonts w:ascii="Times New Roman" w:hAnsi="Times New Roman"/>
        </w:rPr>
        <w:t xml:space="preserve">je </w:t>
      </w:r>
      <w:r w:rsidRPr="004E6412">
        <w:rPr>
          <w:rFonts w:ascii="Times New Roman" w:hAnsi="Times New Roman"/>
        </w:rPr>
        <w:t>rasla i to po prosječnoj stopi</w:t>
      </w:r>
      <w:r w:rsidR="00D127CA" w:rsidRPr="004E6412">
        <w:rPr>
          <w:rFonts w:ascii="Times New Roman" w:hAnsi="Times New Roman"/>
        </w:rPr>
        <w:t xml:space="preserve"> od 6,91% godišnje. Do 2016. </w:t>
      </w:r>
      <w:r w:rsidRPr="004E6412">
        <w:rPr>
          <w:rFonts w:ascii="Times New Roman" w:hAnsi="Times New Roman"/>
        </w:rPr>
        <w:t xml:space="preserve">očekuje </w:t>
      </w:r>
      <w:r w:rsidR="00D127CA" w:rsidRPr="004E6412">
        <w:rPr>
          <w:rFonts w:ascii="Times New Roman" w:hAnsi="Times New Roman"/>
        </w:rPr>
        <w:t xml:space="preserve">se </w:t>
      </w:r>
      <w:r w:rsidRPr="004E6412">
        <w:rPr>
          <w:rFonts w:ascii="Times New Roman" w:hAnsi="Times New Roman"/>
        </w:rPr>
        <w:t>usporavanje rasta i porast potražnje po prosječnoj stopi od 3,9% godišnje. Potražnja za građevinskim materijalima najsnažnije je izražena u zemljama u razvoju zbog procesa urbanizacije i industrijalizacije zemalja (zemlje u razvoju zaslužne su za 90% svjetske potražnje cementa), dok su razvijene zapadne zemlje prošl</w:t>
      </w:r>
      <w:r w:rsidR="00D127CA" w:rsidRPr="004E6412">
        <w:rPr>
          <w:rFonts w:ascii="Times New Roman" w:hAnsi="Times New Roman"/>
        </w:rPr>
        <w:t>e kroz navedene procese pa potražnja ovisi prvenstveno o građevinskoj industriji</w:t>
      </w:r>
      <w:r w:rsidRPr="004E6412">
        <w:rPr>
          <w:rFonts w:ascii="Times New Roman" w:hAnsi="Times New Roman"/>
        </w:rPr>
        <w:t xml:space="preserve"> i modernizaciji infrastrukture (dugoročne prognoze predviđaju negativne stope rasta ove industrije u budućnosti). </w:t>
      </w:r>
    </w:p>
    <w:p w:rsidR="00083DEE" w:rsidRPr="007D0CFD" w:rsidRDefault="00083DEE" w:rsidP="007D0CFD">
      <w:pPr>
        <w:pStyle w:val="Heading5"/>
        <w:rPr>
          <w:rStyle w:val="IntenseEmphasis"/>
          <w:b/>
          <w:bCs w:val="0"/>
          <w:iCs w:val="0"/>
          <w:color w:val="548DD4" w:themeColor="text2" w:themeTint="99"/>
          <w:sz w:val="20"/>
        </w:rPr>
      </w:pPr>
    </w:p>
    <w:p w:rsidR="001B41B0" w:rsidRPr="004E6412" w:rsidRDefault="001B41B0" w:rsidP="00C27E82">
      <w:pPr>
        <w:numPr>
          <w:ilvl w:val="0"/>
          <w:numId w:val="281"/>
        </w:numPr>
        <w:rPr>
          <w:rStyle w:val="IntenseEmphasis"/>
          <w:b w:val="0"/>
          <w:bCs w:val="0"/>
          <w:iCs w:val="0"/>
          <w:color w:val="auto"/>
          <w:sz w:val="24"/>
        </w:rPr>
      </w:pPr>
      <w:r w:rsidRPr="004E6412">
        <w:rPr>
          <w:rStyle w:val="IntenseEmphasis"/>
          <w:b w:val="0"/>
          <w:bCs w:val="0"/>
          <w:iCs w:val="0"/>
          <w:color w:val="auto"/>
          <w:sz w:val="24"/>
        </w:rPr>
        <w:t>Konkurentska prednost u proizvodn</w:t>
      </w:r>
      <w:r w:rsidR="00D127CA" w:rsidRPr="004E6412">
        <w:rPr>
          <w:rStyle w:val="IntenseEmphasis"/>
          <w:b w:val="0"/>
          <w:bCs w:val="0"/>
          <w:iCs w:val="0"/>
          <w:color w:val="auto"/>
          <w:sz w:val="24"/>
        </w:rPr>
        <w:t>ji cementa postiže se ekonomijom</w:t>
      </w:r>
      <w:r w:rsidRPr="004E6412">
        <w:rPr>
          <w:rStyle w:val="IntenseEmphasis"/>
          <w:b w:val="0"/>
          <w:bCs w:val="0"/>
          <w:iCs w:val="0"/>
          <w:color w:val="auto"/>
          <w:sz w:val="24"/>
        </w:rPr>
        <w:t xml:space="preserve"> obujma b</w:t>
      </w:r>
      <w:r w:rsidR="00D127CA" w:rsidRPr="004E6412">
        <w:rPr>
          <w:rStyle w:val="IntenseEmphasis"/>
          <w:b w:val="0"/>
          <w:bCs w:val="0"/>
          <w:iCs w:val="0"/>
          <w:color w:val="auto"/>
          <w:sz w:val="24"/>
        </w:rPr>
        <w:t>udući da je diferencijacija na osnovi</w:t>
      </w:r>
      <w:r w:rsidRPr="004E6412">
        <w:rPr>
          <w:rStyle w:val="IntenseEmphasis"/>
          <w:b w:val="0"/>
          <w:bCs w:val="0"/>
          <w:iCs w:val="0"/>
          <w:color w:val="auto"/>
          <w:sz w:val="24"/>
        </w:rPr>
        <w:t xml:space="preserve"> specifičnosti proizvoda teško ostv</w:t>
      </w:r>
      <w:r w:rsidR="00D127CA" w:rsidRPr="004E6412">
        <w:rPr>
          <w:rStyle w:val="IntenseEmphasis"/>
          <w:b w:val="0"/>
          <w:bCs w:val="0"/>
          <w:iCs w:val="0"/>
          <w:color w:val="auto"/>
          <w:sz w:val="24"/>
        </w:rPr>
        <w:t xml:space="preserve">ariva, a odgovarajuća </w:t>
      </w:r>
      <w:r w:rsidR="00D127CA" w:rsidRPr="004E6412">
        <w:rPr>
          <w:rStyle w:val="IntenseEmphasis"/>
          <w:b w:val="0"/>
          <w:bCs w:val="0"/>
          <w:iCs w:val="0"/>
          <w:color w:val="auto"/>
          <w:sz w:val="24"/>
        </w:rPr>
        <w:lastRenderedPageBreak/>
        <w:t>zamjena za cement</w:t>
      </w:r>
      <w:r w:rsidRPr="004E6412">
        <w:rPr>
          <w:rStyle w:val="IntenseEmphasis"/>
          <w:b w:val="0"/>
          <w:bCs w:val="0"/>
          <w:iCs w:val="0"/>
          <w:color w:val="auto"/>
          <w:sz w:val="24"/>
        </w:rPr>
        <w:t xml:space="preserve"> ne posto</w:t>
      </w:r>
      <w:r w:rsidR="00D127CA" w:rsidRPr="004E6412">
        <w:rPr>
          <w:rStyle w:val="IntenseEmphasis"/>
          <w:b w:val="0"/>
          <w:bCs w:val="0"/>
          <w:iCs w:val="0"/>
          <w:color w:val="auto"/>
          <w:sz w:val="24"/>
        </w:rPr>
        <w:t>ji</w:t>
      </w:r>
      <w:r w:rsidRPr="004E6412">
        <w:rPr>
          <w:rStyle w:val="IntenseEmphasis"/>
          <w:b w:val="0"/>
          <w:bCs w:val="0"/>
          <w:iCs w:val="0"/>
          <w:color w:val="auto"/>
          <w:sz w:val="24"/>
        </w:rPr>
        <w:t>. Lokalni proizvođači, odnosno oni koji su blizu proizvodnih sirovina i blizu centara potražnje imaju prednosti pred međunarodnom konkurencijom. To je ujedno i razlog velikog b</w:t>
      </w:r>
      <w:r w:rsidR="00D127CA" w:rsidRPr="004E6412">
        <w:rPr>
          <w:rStyle w:val="IntenseEmphasis"/>
          <w:b w:val="0"/>
          <w:bCs w:val="0"/>
          <w:iCs w:val="0"/>
          <w:color w:val="auto"/>
          <w:sz w:val="24"/>
        </w:rPr>
        <w:t>roja preuzimanja lokalnih</w:t>
      </w:r>
      <w:r w:rsidRPr="004E6412">
        <w:rPr>
          <w:rStyle w:val="IntenseEmphasis"/>
          <w:b w:val="0"/>
          <w:bCs w:val="0"/>
          <w:iCs w:val="0"/>
          <w:color w:val="auto"/>
          <w:sz w:val="24"/>
        </w:rPr>
        <w:t xml:space="preserve"> </w:t>
      </w:r>
      <w:r w:rsidR="00D127CA" w:rsidRPr="004E6412">
        <w:rPr>
          <w:rStyle w:val="IntenseEmphasis"/>
          <w:b w:val="0"/>
          <w:bCs w:val="0"/>
          <w:iCs w:val="0"/>
          <w:color w:val="auto"/>
          <w:sz w:val="24"/>
        </w:rPr>
        <w:t xml:space="preserve">od strane međunarodnih tvrtki, </w:t>
      </w:r>
      <w:r w:rsidRPr="004E6412">
        <w:rPr>
          <w:rStyle w:val="IntenseEmphasis"/>
          <w:b w:val="0"/>
          <w:bCs w:val="0"/>
          <w:iCs w:val="0"/>
          <w:color w:val="auto"/>
          <w:sz w:val="24"/>
        </w:rPr>
        <w:t xml:space="preserve">što je </w:t>
      </w:r>
      <w:r w:rsidR="00D127CA" w:rsidRPr="004E6412">
        <w:rPr>
          <w:rStyle w:val="IntenseEmphasis"/>
          <w:b w:val="0"/>
          <w:bCs w:val="0"/>
          <w:iCs w:val="0"/>
          <w:color w:val="auto"/>
          <w:sz w:val="24"/>
        </w:rPr>
        <w:t xml:space="preserve">znatno </w:t>
      </w:r>
      <w:r w:rsidRPr="004E6412">
        <w:rPr>
          <w:rStyle w:val="IntenseEmphasis"/>
          <w:b w:val="0"/>
          <w:bCs w:val="0"/>
          <w:iCs w:val="0"/>
          <w:color w:val="auto"/>
          <w:sz w:val="24"/>
        </w:rPr>
        <w:t>optereti</w:t>
      </w:r>
      <w:r w:rsidR="00D127CA" w:rsidRPr="004E6412">
        <w:rPr>
          <w:rStyle w:val="IntenseEmphasis"/>
          <w:b w:val="0"/>
          <w:bCs w:val="0"/>
          <w:iCs w:val="0"/>
          <w:color w:val="auto"/>
          <w:sz w:val="24"/>
        </w:rPr>
        <w:t>lo bilance međunarodnih tvrtki</w:t>
      </w:r>
      <w:r w:rsidRPr="004E6412">
        <w:rPr>
          <w:rStyle w:val="IntenseEmphasis"/>
          <w:b w:val="0"/>
          <w:bCs w:val="0"/>
          <w:iCs w:val="0"/>
          <w:color w:val="auto"/>
          <w:sz w:val="24"/>
        </w:rPr>
        <w:t>, dok su sinergijski učinci izostali.</w:t>
      </w:r>
    </w:p>
    <w:p w:rsidR="001B41B0" w:rsidRPr="004E6412" w:rsidRDefault="001B41B0" w:rsidP="00083DEE">
      <w:pPr>
        <w:rPr>
          <w:sz w:val="22"/>
          <w:lang w:eastAsia="hr-HR"/>
        </w:rPr>
      </w:pPr>
    </w:p>
    <w:p w:rsidR="001B41B0" w:rsidRPr="004E6412" w:rsidRDefault="001B41B0" w:rsidP="001B41B0">
      <w:pPr>
        <w:pStyle w:val="ListParagraph"/>
        <w:numPr>
          <w:ilvl w:val="0"/>
          <w:numId w:val="40"/>
        </w:numPr>
        <w:spacing w:after="0"/>
        <w:ind w:left="714" w:hanging="357"/>
        <w:jc w:val="both"/>
        <w:rPr>
          <w:rFonts w:ascii="Times New Roman" w:hAnsi="Times New Roman"/>
        </w:rPr>
      </w:pPr>
      <w:r w:rsidRPr="004E6412">
        <w:rPr>
          <w:rFonts w:ascii="Times New Roman" w:hAnsi="Times New Roman"/>
        </w:rPr>
        <w:t>Volatilnost cijena energenata i potrebnih sirovina stvorila je dodatan pritisak na ostvarene poslovne rezultate.</w:t>
      </w:r>
    </w:p>
    <w:p w:rsidR="001B41B0" w:rsidRPr="004E6412" w:rsidRDefault="001B41B0" w:rsidP="001B41B0">
      <w:pPr>
        <w:rPr>
          <w:szCs w:val="24"/>
        </w:rPr>
      </w:pPr>
    </w:p>
    <w:p w:rsidR="001B41B0" w:rsidRPr="004E6412" w:rsidRDefault="001B41B0" w:rsidP="00D001B9">
      <w:pPr>
        <w:pStyle w:val="Heading3"/>
      </w:pPr>
      <w:bookmarkStart w:id="721" w:name="_Toc366154306"/>
      <w:bookmarkStart w:id="722" w:name="_Toc366154426"/>
      <w:bookmarkStart w:id="723" w:name="_Toc366409969"/>
      <w:bookmarkStart w:id="724" w:name="_Toc372088034"/>
      <w:bookmarkStart w:id="725" w:name="_Toc378069095"/>
      <w:r w:rsidRPr="004E6412">
        <w:t>Trendovi razvoja u Europskoj uniji</w:t>
      </w:r>
      <w:bookmarkEnd w:id="721"/>
      <w:bookmarkEnd w:id="722"/>
      <w:bookmarkEnd w:id="723"/>
      <w:bookmarkEnd w:id="724"/>
      <w:bookmarkEnd w:id="725"/>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u 2010. </w:t>
      </w:r>
      <w:r w:rsidRPr="004E6412">
        <w:rPr>
          <w:rFonts w:ascii="Times New Roman" w:hAnsi="Times New Roman"/>
        </w:rPr>
        <w:t xml:space="preserve">godini </w:t>
      </w:r>
      <w:r w:rsidR="001B41B0" w:rsidRPr="004E6412">
        <w:rPr>
          <w:rFonts w:ascii="Times New Roman" w:hAnsi="Times New Roman"/>
        </w:rPr>
        <w:t>u industriji proizvodnje nemetal</w:t>
      </w:r>
      <w:r w:rsidRPr="004E6412">
        <w:rPr>
          <w:rFonts w:ascii="Times New Roman" w:hAnsi="Times New Roman"/>
        </w:rPr>
        <w:t>nih mineralnih proizvoda bilo je uključeno 102.300 poduzeća</w:t>
      </w:r>
      <w:r w:rsidR="001B41B0" w:rsidRPr="004E6412">
        <w:rPr>
          <w:rFonts w:ascii="Times New Roman" w:hAnsi="Times New Roman"/>
        </w:rPr>
        <w:t xml:space="preserve"> koja su ukupno zapošljavala 1,3 milijuna ljudi</w:t>
      </w:r>
      <w:r w:rsidRPr="004E6412">
        <w:rPr>
          <w:rFonts w:ascii="Times New Roman" w:hAnsi="Times New Roman"/>
        </w:rPr>
        <w:t>,</w:t>
      </w:r>
      <w:r w:rsidR="001B41B0" w:rsidRPr="004E6412">
        <w:rPr>
          <w:rFonts w:ascii="Times New Roman" w:hAnsi="Times New Roman"/>
        </w:rPr>
        <w:t xml:space="preserve"> što predstavlja 4,5% svih zaposlenih u prerađivačkoj industriji. Sektor je zaslužan za 54,3 milijarde eura dodane vr</w:t>
      </w:r>
      <w:r w:rsidRPr="004E6412">
        <w:rPr>
          <w:rFonts w:ascii="Times New Roman" w:hAnsi="Times New Roman"/>
        </w:rPr>
        <w:t>ijednosti, odnosno</w:t>
      </w:r>
      <w:r w:rsidR="001B41B0" w:rsidRPr="004E6412">
        <w:rPr>
          <w:rFonts w:ascii="Times New Roman" w:hAnsi="Times New Roman"/>
        </w:rPr>
        <w:t xml:space="preserve"> 4% cjelokupne prerađivačke industrije.</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T</w:t>
      </w:r>
      <w:r w:rsidR="008927C3" w:rsidRPr="004E6412">
        <w:rPr>
          <w:rFonts w:ascii="Times New Roman" w:hAnsi="Times New Roman"/>
        </w:rPr>
        <w:t>roškovi i produktivnost radnika</w:t>
      </w:r>
      <w:r w:rsidRPr="004E6412">
        <w:rPr>
          <w:rFonts w:ascii="Times New Roman" w:hAnsi="Times New Roman"/>
        </w:rPr>
        <w:t xml:space="preserve"> kao i produktivnost </w:t>
      </w:r>
      <w:r w:rsidR="008927C3" w:rsidRPr="004E6412">
        <w:rPr>
          <w:rFonts w:ascii="Times New Roman" w:hAnsi="Times New Roman"/>
        </w:rPr>
        <w:t>usklađena za trošak rada nešto su</w:t>
      </w:r>
      <w:r w:rsidRPr="004E6412">
        <w:rPr>
          <w:rFonts w:ascii="Times New Roman" w:hAnsi="Times New Roman"/>
        </w:rPr>
        <w:t xml:space="preserve"> ispod prosjeka EU</w:t>
      </w:r>
      <w:r w:rsidR="008927C3" w:rsidRPr="004E6412">
        <w:rPr>
          <w:rFonts w:ascii="Times New Roman" w:hAnsi="Times New Roman"/>
        </w:rPr>
        <w:t>-a</w:t>
      </w:r>
      <w:r w:rsidRPr="004E6412">
        <w:rPr>
          <w:rFonts w:ascii="Times New Roman" w:hAnsi="Times New Roman"/>
        </w:rPr>
        <w:t xml:space="preserve">, za svaki od promatranih pokazatelja. </w:t>
      </w:r>
    </w:p>
    <w:p w:rsidR="001B41B0" w:rsidRPr="004E6412" w:rsidRDefault="001B41B0" w:rsidP="001B41B0">
      <w:pPr>
        <w:rPr>
          <w:sz w:val="22"/>
        </w:rPr>
      </w:pPr>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Od osam poddjelatnosti koje</w:t>
      </w:r>
      <w:r w:rsidR="001B41B0" w:rsidRPr="004E6412">
        <w:rPr>
          <w:rFonts w:ascii="Times New Roman" w:hAnsi="Times New Roman"/>
        </w:rPr>
        <w:t xml:space="preserve"> čine ovu djelatnost, proizvodnja proizvoda od betona, cementa i gipsa najviše je doprinosila zaposlenosti (31% ukupno zaposlenih), nakon čega slijede proizvodnja stakla i proiz</w:t>
      </w:r>
      <w:r w:rsidR="004823E2" w:rsidRPr="004E6412">
        <w:rPr>
          <w:rFonts w:ascii="Times New Roman" w:hAnsi="Times New Roman"/>
        </w:rPr>
        <w:t>voda od stakla s 24% i poddjelatnost</w:t>
      </w:r>
      <w:r w:rsidRPr="004E6412">
        <w:rPr>
          <w:rFonts w:ascii="Times New Roman" w:hAnsi="Times New Roman"/>
        </w:rPr>
        <w:t xml:space="preserve"> rezanja, oblikovanja i obrade</w:t>
      </w:r>
      <w:r w:rsidR="001B41B0" w:rsidRPr="004E6412">
        <w:rPr>
          <w:rFonts w:ascii="Times New Roman" w:hAnsi="Times New Roman"/>
        </w:rPr>
        <w:t xml:space="preserve"> kamena s 14% doprinosa zaposlenosti. Na razini prom</w:t>
      </w:r>
      <w:r w:rsidRPr="004E6412">
        <w:rPr>
          <w:rFonts w:ascii="Times New Roman" w:hAnsi="Times New Roman"/>
        </w:rPr>
        <w:t>atrane industrijske djelatnosti</w:t>
      </w:r>
      <w:r w:rsidR="001B41B0" w:rsidRPr="004E6412">
        <w:rPr>
          <w:rFonts w:ascii="Times New Roman" w:hAnsi="Times New Roman"/>
        </w:rPr>
        <w:t xml:space="preserve"> za dodanu </w:t>
      </w:r>
      <w:r w:rsidRPr="004E6412">
        <w:rPr>
          <w:rFonts w:ascii="Times New Roman" w:hAnsi="Times New Roman"/>
        </w:rPr>
        <w:t xml:space="preserve">su vrijednost najviše </w:t>
      </w:r>
      <w:r w:rsidR="001B41B0" w:rsidRPr="004E6412">
        <w:rPr>
          <w:rFonts w:ascii="Times New Roman" w:hAnsi="Times New Roman"/>
        </w:rPr>
        <w:t>zaslužne poddjelatnosti proizvodnje proizvoda od betona, cementa i gipsa (29%), proizvodnje stak</w:t>
      </w:r>
      <w:r w:rsidRPr="004E6412">
        <w:rPr>
          <w:rFonts w:ascii="Times New Roman" w:hAnsi="Times New Roman"/>
        </w:rPr>
        <w:t>la i proizvoda od stakla (24%) te</w:t>
      </w:r>
      <w:r w:rsidR="001B41B0" w:rsidRPr="004E6412">
        <w:rPr>
          <w:rFonts w:ascii="Times New Roman" w:hAnsi="Times New Roman"/>
        </w:rPr>
        <w:t xml:space="preserve"> proizvodnje cementa, vapna i gipsa (13%).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Obilježja europskih proizvođača iz ove industrijske djelatnosti su duga tradicija, primjena suvremenih proizvodnih</w:t>
      </w:r>
      <w:r w:rsidR="008927C3" w:rsidRPr="004E6412">
        <w:rPr>
          <w:rFonts w:ascii="Times New Roman" w:hAnsi="Times New Roman"/>
        </w:rPr>
        <w:t xml:space="preserve"> tehnologija i poslovnih praksi</w:t>
      </w:r>
      <w:r w:rsidRPr="004E6412">
        <w:rPr>
          <w:rFonts w:ascii="Times New Roman" w:hAnsi="Times New Roman"/>
        </w:rPr>
        <w:t xml:space="preserve"> te poštivanje visokih standarda u zaštiti okoliša. Glavne proizvodne lokacije smještene su u blizini ključnih proizvodnih sirovina kako </w:t>
      </w:r>
      <w:r w:rsidR="008927C3" w:rsidRPr="004E6412">
        <w:rPr>
          <w:rFonts w:ascii="Times New Roman" w:hAnsi="Times New Roman"/>
        </w:rPr>
        <w:t xml:space="preserve">bi </w:t>
      </w:r>
      <w:r w:rsidRPr="004E6412">
        <w:rPr>
          <w:rFonts w:ascii="Times New Roman" w:hAnsi="Times New Roman"/>
        </w:rPr>
        <w:t xml:space="preserve">se izbjegli relativno visoki transportni troškovi i održala visoka razina konkurentnosti.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Svjetski trendovi u ovoj djelatnosti nisu zaobišli ni EU. </w:t>
      </w:r>
      <w:r w:rsidR="008927C3" w:rsidRPr="004E6412">
        <w:rPr>
          <w:rFonts w:ascii="Times New Roman" w:hAnsi="Times New Roman"/>
        </w:rPr>
        <w:t>Zbog globalne gospodarske krize</w:t>
      </w:r>
      <w:r w:rsidRPr="004E6412">
        <w:rPr>
          <w:rFonts w:ascii="Times New Roman" w:hAnsi="Times New Roman"/>
        </w:rPr>
        <w:t xml:space="preserve"> došlo je do pada potražnje za građevinskim materijalima, što je u kombinaciji s volatilnošću</w:t>
      </w:r>
      <w:r w:rsidR="008927C3" w:rsidRPr="004E6412">
        <w:rPr>
          <w:rFonts w:ascii="Times New Roman" w:hAnsi="Times New Roman"/>
        </w:rPr>
        <w:t xml:space="preserve"> cijena energije stvorilo velik</w:t>
      </w:r>
      <w:r w:rsidRPr="004E6412">
        <w:rPr>
          <w:rFonts w:ascii="Times New Roman" w:hAnsi="Times New Roman"/>
        </w:rPr>
        <w:t xml:space="preserve"> pritisak na ostvarene poslovne rezultate. Djelatnost je na vrlo visokom</w:t>
      </w:r>
      <w:r w:rsidR="008927C3" w:rsidRPr="004E6412">
        <w:rPr>
          <w:rFonts w:ascii="Times New Roman" w:hAnsi="Times New Roman"/>
        </w:rPr>
        <w:t xml:space="preserve"> tehnološkom stupnju razvoja pa</w:t>
      </w:r>
      <w:r w:rsidRPr="004E6412">
        <w:rPr>
          <w:rFonts w:ascii="Times New Roman" w:hAnsi="Times New Roman"/>
        </w:rPr>
        <w:t xml:space="preserve"> daljnja ulaganja u tehnološku opremljenost ne bi značajnije podigla proizvodnu učinkovitost, zbog čega se u kratkom roku ne očekuju investicije u novu proizvodnu tehnologiju.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Val preuzimanja lokalnih proizvodnih </w:t>
      </w:r>
      <w:r w:rsidR="008927C3" w:rsidRPr="004E6412">
        <w:rPr>
          <w:rFonts w:ascii="Times New Roman" w:hAnsi="Times New Roman"/>
        </w:rPr>
        <w:t>poduzeća u zemljama u razvoju tije</w:t>
      </w:r>
      <w:r w:rsidRPr="004E6412">
        <w:rPr>
          <w:rFonts w:ascii="Times New Roman" w:hAnsi="Times New Roman"/>
        </w:rPr>
        <w:t>kom razdoblja pozitivnih gospod</w:t>
      </w:r>
      <w:r w:rsidR="008927C3" w:rsidRPr="004E6412">
        <w:rPr>
          <w:rFonts w:ascii="Times New Roman" w:hAnsi="Times New Roman"/>
        </w:rPr>
        <w:t xml:space="preserve">arskih prilika zahvatio je i </w:t>
      </w:r>
      <w:r w:rsidRPr="004E6412">
        <w:rPr>
          <w:rFonts w:ascii="Times New Roman" w:hAnsi="Times New Roman"/>
        </w:rPr>
        <w:t>poduzeća</w:t>
      </w:r>
      <w:r w:rsidR="008927C3" w:rsidRPr="004E6412">
        <w:rPr>
          <w:rFonts w:ascii="Times New Roman" w:hAnsi="Times New Roman"/>
        </w:rPr>
        <w:t xml:space="preserve"> u EU</w:t>
      </w:r>
      <w:r w:rsidRPr="004E6412">
        <w:rPr>
          <w:rFonts w:ascii="Times New Roman" w:hAnsi="Times New Roman"/>
        </w:rPr>
        <w:t>, koja</w:t>
      </w:r>
      <w:r w:rsidR="008927C3" w:rsidRPr="004E6412">
        <w:rPr>
          <w:rFonts w:ascii="Times New Roman" w:hAnsi="Times New Roman"/>
        </w:rPr>
        <w:t xml:space="preserve"> </w:t>
      </w:r>
      <w:r w:rsidRPr="004E6412">
        <w:rPr>
          <w:rFonts w:ascii="Times New Roman" w:hAnsi="Times New Roman"/>
        </w:rPr>
        <w:t>posjeduju velike proizvodne kapacitete i izvan EU</w:t>
      </w:r>
      <w:r w:rsidR="008927C3" w:rsidRPr="004E6412">
        <w:rPr>
          <w:rFonts w:ascii="Times New Roman" w:hAnsi="Times New Roman"/>
        </w:rPr>
        <w:t>-a</w:t>
      </w:r>
      <w:r w:rsidRPr="004E6412">
        <w:rPr>
          <w:rFonts w:ascii="Times New Roman" w:hAnsi="Times New Roman"/>
        </w:rPr>
        <w:t>, pogotovo u SAD-u (60% proizvodnih kapaciteta).</w:t>
      </w:r>
    </w:p>
    <w:p w:rsidR="001B41B0" w:rsidRPr="004E6412" w:rsidRDefault="001B41B0" w:rsidP="001B41B0">
      <w:pPr>
        <w:rPr>
          <w:sz w:val="22"/>
        </w:rPr>
      </w:pPr>
    </w:p>
    <w:p w:rsidR="001B41B0" w:rsidRPr="004E6412" w:rsidRDefault="001B41B0" w:rsidP="00D001B9">
      <w:pPr>
        <w:pStyle w:val="Heading3"/>
      </w:pPr>
      <w:bookmarkStart w:id="726" w:name="_Toc366154307"/>
      <w:bookmarkStart w:id="727" w:name="_Toc366154427"/>
      <w:bookmarkStart w:id="728" w:name="_Toc366409970"/>
      <w:bookmarkStart w:id="729" w:name="_Toc372088035"/>
      <w:bookmarkStart w:id="730" w:name="_Toc378069096"/>
      <w:r w:rsidRPr="004E6412">
        <w:t>Stanje i perspektive razvoja u Republici Hrvatskoj</w:t>
      </w:r>
      <w:bookmarkEnd w:id="726"/>
      <w:bookmarkEnd w:id="727"/>
      <w:bookmarkEnd w:id="728"/>
      <w:bookmarkEnd w:id="729"/>
      <w:bookmarkEnd w:id="730"/>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 okviru promatrane industrijske djelatnosti, poduzeća koja proizvode sirovine za proizvode od betona, cementa i gipsa kao i proizvođači proizvoda </w:t>
      </w:r>
      <w:r w:rsidR="008927C3" w:rsidRPr="004E6412">
        <w:rPr>
          <w:rFonts w:ascii="Times New Roman" w:hAnsi="Times New Roman"/>
        </w:rPr>
        <w:t>od navedenih sirovina sadržavali</w:t>
      </w:r>
      <w:r w:rsidRPr="004E6412">
        <w:rPr>
          <w:rFonts w:ascii="Times New Roman" w:hAnsi="Times New Roman"/>
        </w:rPr>
        <w:t xml:space="preserve"> su </w:t>
      </w:r>
      <w:r w:rsidRPr="004E6412">
        <w:rPr>
          <w:rFonts w:ascii="Times New Roman" w:hAnsi="Times New Roman"/>
        </w:rPr>
        <w:lastRenderedPageBreak/>
        <w:t>preko 50% aktive ukupne djelatnosti. Nijedna od ostalih poddjelatnosti nije prelazila udio od 10% ukupne aktive promatrane djelatnosti.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Ukupna djelatnost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 bilježi pad broja poduzeća sa 663 poduzeća u 2011. na 649 poduzeća u 2012. I broj zaposle</w:t>
      </w:r>
      <w:r w:rsidR="008927C3" w:rsidRPr="004E6412">
        <w:rPr>
          <w:rFonts w:ascii="Times New Roman" w:hAnsi="Times New Roman"/>
        </w:rPr>
        <w:t>nih bilježi negativno kretanje</w:t>
      </w:r>
      <w:r w:rsidRPr="004E6412">
        <w:rPr>
          <w:rFonts w:ascii="Times New Roman" w:hAnsi="Times New Roman"/>
        </w:rPr>
        <w:t xml:space="preserve">, pa je pad u ukupnom razdoblju iznosio 5,5%. Po kriteriju vlasništva kapitala, </w:t>
      </w:r>
      <w:r w:rsidR="008927C3" w:rsidRPr="004E6412">
        <w:rPr>
          <w:rFonts w:ascii="Times New Roman" w:hAnsi="Times New Roman"/>
        </w:rPr>
        <w:t>veći dio je inozemnog porijekla</w:t>
      </w:r>
      <w:r w:rsidRPr="004E6412">
        <w:rPr>
          <w:rFonts w:ascii="Times New Roman" w:hAnsi="Times New Roman"/>
        </w:rPr>
        <w:t xml:space="preserve">, </w:t>
      </w:r>
      <w:r w:rsidR="008927C3" w:rsidRPr="004E6412">
        <w:rPr>
          <w:rFonts w:ascii="Times New Roman" w:hAnsi="Times New Roman"/>
        </w:rPr>
        <w:t xml:space="preserve">odnosno </w:t>
      </w:r>
      <w:r w:rsidRPr="004E6412">
        <w:rPr>
          <w:rFonts w:ascii="Times New Roman" w:hAnsi="Times New Roman"/>
        </w:rPr>
        <w:t>49,83%.</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ukupne aktive (pasive)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 xml:space="preserve">2012., i to za 11%. Pri tome se može zamijetiti da u ukupnoj aktivi i dugotrajna i kratkotrajna imovina bilježe pad (redom 12% i 9%). U strukturi aktive dugotrajna imovina sudjeluje sa znatno većim udjelom od kratkotrajne imovine u sve tri godine, i to ponajprije zbog visoke vrijednosti materijalne imovine, točnije zemljišta, građevinskih objekata te postrojenja i </w:t>
      </w:r>
      <w:r w:rsidR="008927C3" w:rsidRPr="004E6412">
        <w:rPr>
          <w:rFonts w:ascii="Times New Roman" w:hAnsi="Times New Roman"/>
        </w:rPr>
        <w:t>opreme. U kratkotrajnoj imovini</w:t>
      </w:r>
      <w:r w:rsidRPr="004E6412">
        <w:rPr>
          <w:rFonts w:ascii="Times New Roman" w:hAnsi="Times New Roman"/>
        </w:rPr>
        <w:t xml:space="preserve"> vidljivo je smanjenje zajmova danih povezanim poduzetnicima za 36%, te istovremeno </w:t>
      </w:r>
      <w:r w:rsidR="008927C3" w:rsidRPr="004E6412">
        <w:rPr>
          <w:rFonts w:ascii="Times New Roman" w:hAnsi="Times New Roman"/>
        </w:rPr>
        <w:t>udvostručenje zajmova danih</w:t>
      </w:r>
      <w:r w:rsidRPr="004E6412">
        <w:rPr>
          <w:rFonts w:ascii="Times New Roman" w:hAnsi="Times New Roman"/>
        </w:rPr>
        <w:t xml:space="preserve"> poduzetnic</w:t>
      </w:r>
      <w:r w:rsidR="008927C3" w:rsidRPr="004E6412">
        <w:rPr>
          <w:rFonts w:ascii="Times New Roman" w:hAnsi="Times New Roman"/>
        </w:rPr>
        <w:t>ima u kojima postoje uzajamni</w:t>
      </w:r>
      <w:r w:rsidRPr="004E6412">
        <w:rPr>
          <w:rFonts w:ascii="Times New Roman" w:hAnsi="Times New Roman"/>
        </w:rPr>
        <w:t xml:space="preserve"> interesi. U strukturi pasive vidljivo je smanjenje svih stavki u promatranom</w:t>
      </w:r>
      <w:r w:rsidR="008927C3" w:rsidRPr="004E6412">
        <w:rPr>
          <w:rFonts w:ascii="Times New Roman" w:hAnsi="Times New Roman"/>
        </w:rPr>
        <w:t>e</w:t>
      </w:r>
      <w:r w:rsidRPr="004E6412">
        <w:rPr>
          <w:rFonts w:ascii="Times New Roman" w:hAnsi="Times New Roman"/>
        </w:rPr>
        <w:t xml:space="preserve"> razdoblju.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U ukupnoj strukturi prih</w:t>
      </w:r>
      <w:r w:rsidR="008927C3" w:rsidRPr="004E6412">
        <w:rPr>
          <w:rFonts w:ascii="Times New Roman" w:hAnsi="Times New Roman"/>
        </w:rPr>
        <w:t>oda dominiraju poslovni prihodi</w:t>
      </w:r>
      <w:r w:rsidRPr="004E6412">
        <w:rPr>
          <w:rFonts w:ascii="Times New Roman" w:hAnsi="Times New Roman"/>
        </w:rPr>
        <w:t xml:space="preserve"> za koje se može reći da u promatranom</w:t>
      </w:r>
      <w:r w:rsidR="008927C3" w:rsidRPr="004E6412">
        <w:rPr>
          <w:rFonts w:ascii="Times New Roman" w:hAnsi="Times New Roman"/>
        </w:rPr>
        <w:t>e</w:t>
      </w:r>
      <w:r w:rsidRPr="004E6412">
        <w:rPr>
          <w:rFonts w:ascii="Times New Roman" w:hAnsi="Times New Roman"/>
        </w:rPr>
        <w:t xml:space="preserve"> </w:t>
      </w:r>
      <w:r w:rsidR="008927C3" w:rsidRPr="004E6412">
        <w:rPr>
          <w:rFonts w:ascii="Times New Roman" w:hAnsi="Times New Roman"/>
        </w:rPr>
        <w:t>razdoblju bilježe</w:t>
      </w:r>
      <w:r w:rsidRPr="004E6412">
        <w:rPr>
          <w:rFonts w:ascii="Times New Roman" w:hAnsi="Times New Roman"/>
        </w:rPr>
        <w:t xml:space="preserve"> blagi pad (1,21%). Financijski prihodi kroz promatrano razdoblje variraju, s tim da u 2012. dolaze na razinu iz 2010. Financijski rashodi se smanjuju, naročito zbog smanjenja nerealiziranih gubitaka od financijske imovine. Sve kategorije variraju kroz razdoblje, no djelatnost u cjelini ostvaruje veće gubitke od dobiti kroz cijelo razdoblje 2010.</w:t>
      </w:r>
      <w:r w:rsidR="008927C3"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Zarade prije kamata, poreza i amortizacije (EBITDA) </w:t>
      </w:r>
      <w:r w:rsidR="008927C3" w:rsidRPr="004E6412">
        <w:rPr>
          <w:rFonts w:ascii="Times New Roman" w:hAnsi="Times New Roman"/>
        </w:rPr>
        <w:t xml:space="preserve">povećale </w:t>
      </w:r>
      <w:r w:rsidRPr="004E6412">
        <w:rPr>
          <w:rFonts w:ascii="Times New Roman" w:hAnsi="Times New Roman"/>
        </w:rPr>
        <w:t xml:space="preserve">su se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w:t>
      </w:r>
      <w:r w:rsidR="008927C3" w:rsidRPr="004E6412">
        <w:rPr>
          <w:rFonts w:ascii="Times New Roman" w:hAnsi="Times New Roman"/>
        </w:rPr>
        <w:t xml:space="preserve">. </w:t>
      </w:r>
      <w:r w:rsidRPr="004E6412">
        <w:rPr>
          <w:rFonts w:ascii="Times New Roman" w:hAnsi="Times New Roman"/>
        </w:rPr>
        <w:t>za 13,05%, dok operativna marža profita pokazuje sličnu putanj</w:t>
      </w:r>
      <w:r w:rsidR="008927C3" w:rsidRPr="004E6412">
        <w:rPr>
          <w:rFonts w:ascii="Times New Roman" w:hAnsi="Times New Roman"/>
        </w:rPr>
        <w:t xml:space="preserve">u. Međutim, </w:t>
      </w:r>
      <w:r w:rsidRPr="004E6412">
        <w:rPr>
          <w:rFonts w:ascii="Times New Roman" w:hAnsi="Times New Roman"/>
        </w:rPr>
        <w:t xml:space="preserve">u 2010. profit </w:t>
      </w:r>
      <w:r w:rsidR="008927C3" w:rsidRPr="004E6412">
        <w:rPr>
          <w:rFonts w:ascii="Times New Roman" w:hAnsi="Times New Roman"/>
        </w:rPr>
        <w:t xml:space="preserve">je </w:t>
      </w:r>
      <w:r w:rsidRPr="004E6412">
        <w:rPr>
          <w:rFonts w:ascii="Times New Roman" w:hAnsi="Times New Roman"/>
        </w:rPr>
        <w:t xml:space="preserve">bio negativan </w:t>
      </w:r>
      <w:r w:rsidR="008927C3" w:rsidRPr="004E6412">
        <w:rPr>
          <w:rFonts w:ascii="Times New Roman" w:hAnsi="Times New Roman"/>
        </w:rPr>
        <w:t>(-1.12%) zbog činjenice</w:t>
      </w:r>
      <w:r w:rsidRPr="004E6412">
        <w:rPr>
          <w:rFonts w:ascii="Times New Roman" w:hAnsi="Times New Roman"/>
        </w:rPr>
        <w:t xml:space="preserve"> da su poslovni rashodi vrijednosno bili veći od poslovnih prihoda. Pokazatelj zaduženosti neto dug</w:t>
      </w:r>
      <w:r w:rsidR="008927C3" w:rsidRPr="004E6412">
        <w:rPr>
          <w:rFonts w:ascii="Times New Roman" w:hAnsi="Times New Roman"/>
        </w:rPr>
        <w:t xml:space="preserve">a/EBITDA </w:t>
      </w:r>
      <w:r w:rsidRPr="004E6412">
        <w:rPr>
          <w:rFonts w:ascii="Times New Roman" w:hAnsi="Times New Roman"/>
        </w:rPr>
        <w:t xml:space="preserve">značajno </w:t>
      </w:r>
      <w:r w:rsidR="008927C3" w:rsidRPr="004E6412">
        <w:rPr>
          <w:rFonts w:ascii="Times New Roman" w:hAnsi="Times New Roman"/>
        </w:rPr>
        <w:t xml:space="preserve">se </w:t>
      </w:r>
      <w:r w:rsidRPr="004E6412">
        <w:rPr>
          <w:rFonts w:ascii="Times New Roman" w:hAnsi="Times New Roman"/>
        </w:rPr>
        <w:t>smanjuje, te je u posljednje dvije godine promatranog</w:t>
      </w:r>
      <w:r w:rsidR="008927C3" w:rsidRPr="004E6412">
        <w:rPr>
          <w:rFonts w:ascii="Times New Roman" w:hAnsi="Times New Roman"/>
        </w:rPr>
        <w:t>a</w:t>
      </w:r>
      <w:r w:rsidRPr="004E6412">
        <w:rPr>
          <w:rFonts w:ascii="Times New Roman" w:hAnsi="Times New Roman"/>
        </w:rPr>
        <w:t xml:space="preserve"> razdoblja negativan. To je posljedica povećanih financijskih obveza u odnosu na financijsku imovinu, što upućuje na loše upravljanje likvidnošću. Prinos na imovinu (ROA), prinos na kapital (ROE) i prinos na investicije (ROI) u sve tri godine iskazuju negativne vrijednosti.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Doprinos trgovinskoj bilanci prerađivačke industrije u 2010. iznosi 3,09%, u 2011. raste na 3,59%, da bi u </w:t>
      </w:r>
      <w:smartTag w:uri="urn:schemas-microsoft-com:office:smarttags" w:element="metricconverter">
        <w:smartTagPr>
          <w:attr w:name="ProductID" w:val="2012. pao"/>
        </w:smartTagPr>
        <w:r w:rsidRPr="004E6412">
          <w:rPr>
            <w:rFonts w:ascii="Times New Roman" w:hAnsi="Times New Roman"/>
          </w:rPr>
          <w:t>2012. pao</w:t>
        </w:r>
      </w:smartTag>
      <w:r w:rsidRPr="004E6412">
        <w:rPr>
          <w:rFonts w:ascii="Times New Roman" w:hAnsi="Times New Roman"/>
        </w:rPr>
        <w:t xml:space="preserve"> na 3,34%. Udio izvoza djelatnosti u ukupnom izvozu prerađivačke industrije te u ukupnom BDP-u Hrvatske raste, kao što raste i iznos izvoza po zaposlenom</w:t>
      </w:r>
      <w:r w:rsidR="008927C3" w:rsidRPr="004E6412">
        <w:rPr>
          <w:rFonts w:ascii="Times New Roman" w:hAnsi="Times New Roman"/>
        </w:rPr>
        <w:t>e</w:t>
      </w:r>
      <w:r w:rsidRPr="004E6412">
        <w:rPr>
          <w:rFonts w:ascii="Times New Roman" w:hAnsi="Times New Roman"/>
        </w:rPr>
        <w:t>. Udio izvoza u ukupnim prihodima djel</w:t>
      </w:r>
      <w:r w:rsidR="008927C3" w:rsidRPr="004E6412">
        <w:rPr>
          <w:rFonts w:ascii="Times New Roman" w:hAnsi="Times New Roman"/>
        </w:rPr>
        <w:t>atnosti tijekom godina raste pa</w:t>
      </w:r>
      <w:r w:rsidRPr="004E6412">
        <w:rPr>
          <w:rFonts w:ascii="Times New Roman" w:hAnsi="Times New Roman"/>
        </w:rPr>
        <w:t xml:space="preserve"> u 2012. čini preko 30%. Na razini djelatnosti u promatranom</w:t>
      </w:r>
      <w:r w:rsidR="008927C3" w:rsidRPr="004E6412">
        <w:rPr>
          <w:rFonts w:ascii="Times New Roman" w:hAnsi="Times New Roman"/>
        </w:rPr>
        <w:t>e</w:t>
      </w:r>
      <w:r w:rsidRPr="004E6412">
        <w:rPr>
          <w:rFonts w:ascii="Times New Roman" w:hAnsi="Times New Roman"/>
        </w:rPr>
        <w:t xml:space="preserve"> je razdoblju došlo</w:t>
      </w:r>
      <w:r w:rsidR="008927C3" w:rsidRPr="004E6412">
        <w:rPr>
          <w:rFonts w:ascii="Times New Roman" w:hAnsi="Times New Roman"/>
        </w:rPr>
        <w:t xml:space="preserve"> do povećanja ukupnih uspored</w:t>
      </w:r>
      <w:r w:rsidRPr="004E6412">
        <w:rPr>
          <w:rFonts w:ascii="Times New Roman" w:hAnsi="Times New Roman"/>
        </w:rPr>
        <w:t>nih prednosti. Bruto dodana vrijednost djelatnosti ukupno se nije promijenila u promatranom</w:t>
      </w:r>
      <w:r w:rsidR="008927C3" w:rsidRPr="004E6412">
        <w:rPr>
          <w:rFonts w:ascii="Times New Roman" w:hAnsi="Times New Roman"/>
        </w:rPr>
        <w:t>e</w:t>
      </w:r>
      <w:r w:rsidRPr="004E6412">
        <w:rPr>
          <w:rFonts w:ascii="Times New Roman" w:hAnsi="Times New Roman"/>
        </w:rPr>
        <w:t xml:space="preserve"> razdoblju i na razini j</w:t>
      </w:r>
      <w:r w:rsidR="008927C3" w:rsidRPr="004E6412">
        <w:rPr>
          <w:rFonts w:ascii="Times New Roman" w:hAnsi="Times New Roman"/>
        </w:rPr>
        <w:t>e nešto višoj od 2 milijarde kuna</w:t>
      </w:r>
      <w:r w:rsidRPr="004E6412">
        <w:rPr>
          <w:rFonts w:ascii="Times New Roman" w:hAnsi="Times New Roman"/>
        </w:rPr>
        <w:t xml:space="preserve"> u 2012. Udio bruto dodane vrijednosti djelatnosti u ukupnoj bruto dodanoj vrijednosti prerađivačke industrije u 2012. iznosi 4,48%. Proizvodnost rada u promatranom</w:t>
      </w:r>
      <w:r w:rsidR="008927C3" w:rsidRPr="004E6412">
        <w:rPr>
          <w:rFonts w:ascii="Times New Roman" w:hAnsi="Times New Roman"/>
        </w:rPr>
        <w:t>e</w:t>
      </w:r>
      <w:r w:rsidRPr="004E6412">
        <w:rPr>
          <w:rFonts w:ascii="Times New Roman" w:hAnsi="Times New Roman"/>
        </w:rPr>
        <w:t xml:space="preserve"> razdoblju raste</w:t>
      </w:r>
      <w:r w:rsidR="008927C3" w:rsidRPr="004E6412">
        <w:rPr>
          <w:rFonts w:ascii="Times New Roman" w:hAnsi="Times New Roman"/>
        </w:rPr>
        <w:t>, ukupno 5,81% u razdoblju</w:t>
      </w:r>
      <w:r w:rsidR="00887C92" w:rsidRPr="004E6412">
        <w:rPr>
          <w:rFonts w:ascii="Times New Roman" w:hAnsi="Times New Roman"/>
        </w:rPr>
        <w:t xml:space="preserve"> 2010.</w:t>
      </w:r>
      <w:r w:rsidR="008927C3" w:rsidRPr="004E6412">
        <w:rPr>
          <w:rFonts w:ascii="Times New Roman" w:hAnsi="Times New Roman"/>
        </w:rPr>
        <w:t xml:space="preserve"> – </w:t>
      </w:r>
      <w:r w:rsidR="00887C92" w:rsidRPr="004E6412">
        <w:rPr>
          <w:rFonts w:ascii="Times New Roman" w:hAnsi="Times New Roman"/>
        </w:rPr>
        <w:t>2012.</w:t>
      </w:r>
      <w:r w:rsidRPr="004E6412">
        <w:rPr>
          <w:rFonts w:ascii="Times New Roman" w:hAnsi="Times New Roman"/>
        </w:rPr>
        <w:t xml:space="preserve"> Istovremeno </w:t>
      </w:r>
      <w:r w:rsidR="008927C3" w:rsidRPr="004E6412">
        <w:rPr>
          <w:rFonts w:ascii="Times New Roman" w:hAnsi="Times New Roman"/>
        </w:rPr>
        <w:t xml:space="preserve">se jedinični trošak rada smanjuje na 0,50 kuna. Ukupno gledajući, učinkovitost korištenja radne snage </w:t>
      </w:r>
      <w:r w:rsidRPr="004E6412">
        <w:rPr>
          <w:rFonts w:ascii="Times New Roman" w:hAnsi="Times New Roman"/>
        </w:rPr>
        <w:t xml:space="preserve">znatno </w:t>
      </w:r>
      <w:r w:rsidR="00806E6B" w:rsidRPr="004E6412">
        <w:rPr>
          <w:rFonts w:ascii="Times New Roman" w:hAnsi="Times New Roman"/>
        </w:rPr>
        <w:t xml:space="preserve">je </w:t>
      </w:r>
      <w:r w:rsidRPr="004E6412">
        <w:rPr>
          <w:rFonts w:ascii="Times New Roman" w:hAnsi="Times New Roman"/>
        </w:rPr>
        <w:t xml:space="preserve">povećana. Proizvodnost kapitala se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blago smanjila, što je izazvano povećanjem</w:t>
      </w:r>
      <w:r w:rsidR="00887C92" w:rsidRPr="004E6412">
        <w:rPr>
          <w:rFonts w:ascii="Times New Roman" w:hAnsi="Times New Roman"/>
        </w:rPr>
        <w:t xml:space="preserve"> dugotrajne materijalne imovine većim od povećanja ostv</w:t>
      </w:r>
      <w:r w:rsidR="00472508" w:rsidRPr="004E6412">
        <w:rPr>
          <w:rFonts w:ascii="Times New Roman" w:hAnsi="Times New Roman"/>
        </w:rPr>
        <w:t>arene bruto dodane vrijednosti.</w:t>
      </w:r>
    </w:p>
    <w:p w:rsidR="001B41B0" w:rsidRPr="004E6412" w:rsidRDefault="001B41B0" w:rsidP="001B41B0">
      <w:pPr>
        <w:rPr>
          <w:b/>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lastRenderedPageBreak/>
        <w:t xml:space="preserve">Udio ulaganja u istraživanje i razvoj u ukupnim ulaganjima u istraživanje </w:t>
      </w:r>
      <w:r w:rsidR="00806E6B" w:rsidRPr="004E6412">
        <w:rPr>
          <w:rFonts w:ascii="Times New Roman" w:hAnsi="Times New Roman"/>
        </w:rPr>
        <w:t xml:space="preserve">i </w:t>
      </w:r>
      <w:r w:rsidRPr="004E6412">
        <w:rPr>
          <w:rFonts w:ascii="Times New Roman" w:hAnsi="Times New Roman"/>
        </w:rPr>
        <w:t>razvoj cjelokupne prera</w:t>
      </w:r>
      <w:r w:rsidR="00806E6B" w:rsidRPr="004E6412">
        <w:rPr>
          <w:rFonts w:ascii="Times New Roman" w:hAnsi="Times New Roman"/>
        </w:rPr>
        <w:t>đivačke industrije iznosi 2,34%, a</w:t>
      </w:r>
      <w:r w:rsidRPr="004E6412">
        <w:rPr>
          <w:rFonts w:ascii="Times New Roman" w:hAnsi="Times New Roman"/>
        </w:rPr>
        <w:t xml:space="preserve"> u apsolutnom </w:t>
      </w:r>
      <w:r w:rsidR="00806E6B" w:rsidRPr="004E6412">
        <w:rPr>
          <w:rFonts w:ascii="Times New Roman" w:hAnsi="Times New Roman"/>
        </w:rPr>
        <w:t xml:space="preserve">se </w:t>
      </w:r>
      <w:r w:rsidRPr="004E6412">
        <w:rPr>
          <w:rFonts w:ascii="Times New Roman" w:hAnsi="Times New Roman"/>
        </w:rPr>
        <w:t>izn</w:t>
      </w:r>
      <w:r w:rsidR="00806E6B" w:rsidRPr="004E6412">
        <w:rPr>
          <w:rFonts w:ascii="Times New Roman" w:hAnsi="Times New Roman"/>
        </w:rPr>
        <w:t>osu radi o 9,45 milijuna kuna</w:t>
      </w:r>
      <w:r w:rsidRPr="004E6412">
        <w:rPr>
          <w:rFonts w:ascii="Times New Roman" w:hAnsi="Times New Roman"/>
        </w:rPr>
        <w:t xml:space="preserve">. Odnos ulaganja u istraživanje i razvoj i bruto dodane vrijednosti prerađivačke industrije čini zanemarivih 0,02%.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vrijednosti koeficijenata tekuće i ubrzane likvidnosti, dok se trenutna likvidnost djelatnosti povećala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Koeficijent zaduženosti ukazuje na umjerenu zaduženost djelatnosti, ali se primjećuje blago povećanje zaduženosti u promatranom</w:t>
      </w:r>
      <w:r w:rsidR="00806E6B" w:rsidRPr="004E6412">
        <w:rPr>
          <w:rFonts w:ascii="Times New Roman" w:hAnsi="Times New Roman"/>
        </w:rPr>
        <w:t>e</w:t>
      </w:r>
      <w:r w:rsidRPr="004E6412">
        <w:rPr>
          <w:rFonts w:ascii="Times New Roman" w:hAnsi="Times New Roman"/>
        </w:rPr>
        <w:t xml:space="preserve"> razdoblju. Primjetan je blagi rast omjera dugoročnih obveza i dugotrajne imovine, što znači da se opterećenje dugotrajne imovine dugoročnim obvezama povećalo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Broj zaposlenih po godinama se kretao redom 10.734, 10.530 i 10.146, što je ukupan pad od 5,48% (588 osoba)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Najveći udio zaposlenih ima srednju stručnu spremu (45,61% u 2012.), slijede KV radnici s udjelom od 18,32% i NKV radnici s udjelom od 11,94%.</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Poduzeća koja proizvode sirovine za proizvode o</w:t>
      </w:r>
      <w:r w:rsidR="00806E6B" w:rsidRPr="004E6412">
        <w:rPr>
          <w:rFonts w:ascii="Times New Roman" w:hAnsi="Times New Roman"/>
        </w:rPr>
        <w:t xml:space="preserve">d betona, cementa i gipsa i poduzeća koja sama </w:t>
      </w:r>
      <w:r w:rsidRPr="004E6412">
        <w:rPr>
          <w:rFonts w:ascii="Times New Roman" w:hAnsi="Times New Roman"/>
        </w:rPr>
        <w:t xml:space="preserve">proizvode od tih sirovina čine više od 50% aktive ukupne djelatnosti C23. Ostale poddjelatnosti čine 10% ili manje udjela u ukupnoj </w:t>
      </w:r>
      <w:r w:rsidR="00806E6B" w:rsidRPr="004E6412">
        <w:rPr>
          <w:rFonts w:ascii="Times New Roman" w:hAnsi="Times New Roman"/>
        </w:rPr>
        <w:t>aktivi djelatnosti. Posebnost</w:t>
      </w:r>
      <w:r w:rsidRPr="004E6412">
        <w:rPr>
          <w:rFonts w:ascii="Times New Roman" w:hAnsi="Times New Roman"/>
        </w:rPr>
        <w:t xml:space="preserve"> svih poddjelatnosti je znatno veća vrijednost dugotrajne od kratkotrajne imovine. Naime, poduzeća iz ovih poddjelatnosti zahtijevaju mnogo proizvodnog kapitala u vidu strojeva, opreme, proizvodnih hala i zemljišta za proizvodna postrojenja. Radi se o kapitalno intenzivnim proizvodnim procesima.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Dvije izrazito gubitaške poddjelatnosti, C23.2 Proizvodnja vatrostalnih proizvoda i C23.3 Proizvodnja proizvoda od gline za građevinarstvo, jedine su ostvarile negativne vrijednosti zarada prije kamata, amortizacije i poreza</w:t>
      </w:r>
      <w:r w:rsidR="00806E6B" w:rsidRPr="004E6412">
        <w:rPr>
          <w:rFonts w:ascii="Times New Roman" w:hAnsi="Times New Roman"/>
        </w:rPr>
        <w:t>,</w:t>
      </w:r>
      <w:r w:rsidRPr="004E6412">
        <w:rPr>
          <w:rFonts w:ascii="Times New Roman" w:hAnsi="Times New Roman"/>
        </w:rPr>
        <w:t xml:space="preserve"> što govori o golemim poslovnim i financijskim problemima pripadajućih poduzeća. </w:t>
      </w:r>
      <w:r w:rsidR="00806E6B" w:rsidRPr="004E6412">
        <w:rPr>
          <w:rFonts w:ascii="Times New Roman" w:hAnsi="Times New Roman"/>
        </w:rPr>
        <w:t>Najprofitabilnija poddjelatnost</w:t>
      </w:r>
      <w:r w:rsidRPr="004E6412">
        <w:rPr>
          <w:rFonts w:ascii="Times New Roman" w:hAnsi="Times New Roman"/>
        </w:rPr>
        <w:t xml:space="preserve"> C23.1 Proizvodnja stakla i proizvoda od </w:t>
      </w:r>
      <w:r w:rsidR="00806E6B" w:rsidRPr="004E6412">
        <w:rPr>
          <w:rFonts w:ascii="Times New Roman" w:hAnsi="Times New Roman"/>
        </w:rPr>
        <w:t>stakla</w:t>
      </w:r>
      <w:r w:rsidRPr="004E6412">
        <w:rPr>
          <w:rFonts w:ascii="Times New Roman" w:hAnsi="Times New Roman"/>
        </w:rPr>
        <w:t xml:space="preserve"> činila je visok udio u ost</w:t>
      </w:r>
      <w:r w:rsidR="00806E6B" w:rsidRPr="004E6412">
        <w:rPr>
          <w:rFonts w:ascii="Times New Roman" w:hAnsi="Times New Roman"/>
        </w:rPr>
        <w:t>varenim EBITDA djelatnosti u svim</w:t>
      </w:r>
      <w:r w:rsidRPr="004E6412">
        <w:rPr>
          <w:rFonts w:ascii="Times New Roman" w:hAnsi="Times New Roman"/>
        </w:rPr>
        <w:t xml:space="preserve"> tri</w:t>
      </w:r>
      <w:r w:rsidR="00806E6B" w:rsidRPr="004E6412">
        <w:rPr>
          <w:rFonts w:ascii="Times New Roman" w:hAnsi="Times New Roman"/>
        </w:rPr>
        <w:t>ma promatranim godinama</w:t>
      </w:r>
      <w:r w:rsidRPr="004E6412">
        <w:rPr>
          <w:rFonts w:ascii="Times New Roman" w:hAnsi="Times New Roman"/>
        </w:rPr>
        <w:t xml:space="preserve"> 2010.</w:t>
      </w:r>
      <w:r w:rsidR="00806E6B" w:rsidRPr="004E6412">
        <w:rPr>
          <w:rFonts w:ascii="Times New Roman" w:hAnsi="Times New Roman"/>
        </w:rPr>
        <w:t xml:space="preserve"> – </w:t>
      </w:r>
      <w:r w:rsidRPr="004E6412">
        <w:rPr>
          <w:rFonts w:ascii="Times New Roman" w:hAnsi="Times New Roman"/>
        </w:rPr>
        <w:t>2012. (33,16% u 2012.), uz izražen trend rasta EBITDA.</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Djelatnost proizvodnje ostalih nemetalnih mineralnih proizvoda obuhvaća preradu nemetalnih mineralnih sirovina s ciljem proizvodnje sirovina i poluproizvoda namijenjenih prvenstveno građevinarskoj industriji (proizvodnja cementa, vapna, gipsa, kamena, mineralne vune, te proizvoda od stakla, </w:t>
      </w:r>
      <w:r w:rsidR="00806E6B" w:rsidRPr="004E6412">
        <w:rPr>
          <w:rFonts w:ascii="Times New Roman" w:hAnsi="Times New Roman"/>
        </w:rPr>
        <w:t>keramike, porculana, kao i prethodno</w:t>
      </w:r>
      <w:r w:rsidRPr="004E6412">
        <w:rPr>
          <w:rFonts w:ascii="Times New Roman" w:hAnsi="Times New Roman"/>
        </w:rPr>
        <w:t xml:space="preserve"> navedenih materijala). Potražnja za proizvodima ove djelatnosti stoga je izrazito ciklički ovisna o kretanjima u građevinskoj industriji i investicijskim aktivnostima države, a koje su posredno vezane uz opće stanje u gospodarstvu.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Proizvodi o</w:t>
      </w:r>
      <w:r w:rsidR="00806E6B" w:rsidRPr="004E6412">
        <w:rPr>
          <w:rFonts w:ascii="Times New Roman" w:hAnsi="Times New Roman"/>
        </w:rPr>
        <w:t>d stakla i keramike imaju velik</w:t>
      </w:r>
      <w:r w:rsidRPr="004E6412">
        <w:rPr>
          <w:rFonts w:ascii="Times New Roman" w:hAnsi="Times New Roman"/>
        </w:rPr>
        <w:t xml:space="preserve"> izvozni potencijal, kao i mineralna vuna i kamen. Izvozni potencijal cementa kao i drugih građevinski</w:t>
      </w:r>
      <w:r w:rsidR="00806E6B" w:rsidRPr="004E6412">
        <w:rPr>
          <w:rFonts w:ascii="Times New Roman" w:hAnsi="Times New Roman"/>
        </w:rPr>
        <w:t xml:space="preserve">h materijala </w:t>
      </w:r>
      <w:r w:rsidRPr="004E6412">
        <w:rPr>
          <w:rFonts w:ascii="Times New Roman" w:hAnsi="Times New Roman"/>
        </w:rPr>
        <w:t>manji</w:t>
      </w:r>
      <w:r w:rsidR="00806E6B" w:rsidRPr="004E6412">
        <w:rPr>
          <w:rFonts w:ascii="Times New Roman" w:hAnsi="Times New Roman"/>
        </w:rPr>
        <w:t xml:space="preserve"> je</w:t>
      </w:r>
      <w:r w:rsidRPr="004E6412">
        <w:rPr>
          <w:rFonts w:ascii="Times New Roman" w:hAnsi="Times New Roman"/>
        </w:rPr>
        <w:t xml:space="preserve"> zbog prirode samog proizvoda, tj. odnosa između troška transporta i pripadajuće cijene samog</w:t>
      </w:r>
      <w:r w:rsidR="00806E6B" w:rsidRPr="004E6412">
        <w:rPr>
          <w:rFonts w:ascii="Times New Roman" w:hAnsi="Times New Roman"/>
        </w:rPr>
        <w:t>a</w:t>
      </w:r>
      <w:r w:rsidRPr="004E6412">
        <w:rPr>
          <w:rFonts w:ascii="Times New Roman" w:hAnsi="Times New Roman"/>
        </w:rPr>
        <w:t xml:space="preserve"> proizvoda. Istraživanja u svijetu pokazuju da transport pri prodaji cementa rijetko prelazi udaljenosti od otprilike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jer sve više od navedenog</w:t>
      </w:r>
      <w:r w:rsidR="00806E6B" w:rsidRPr="004E6412">
        <w:rPr>
          <w:rFonts w:ascii="Times New Roman" w:hAnsi="Times New Roman"/>
        </w:rPr>
        <w:t>a</w:t>
      </w:r>
      <w:r w:rsidRPr="004E6412">
        <w:rPr>
          <w:rFonts w:ascii="Times New Roman" w:hAnsi="Times New Roman"/>
        </w:rPr>
        <w:t xml:space="preserve"> znatno opterećuje prodajnu maržu. </w:t>
      </w:r>
      <w:r w:rsidR="00806E6B" w:rsidRPr="004E6412">
        <w:rPr>
          <w:rFonts w:ascii="Times New Roman" w:hAnsi="Times New Roman"/>
        </w:rPr>
        <w:t>Na međunarodnu razmjenu cementa</w:t>
      </w:r>
      <w:r w:rsidRPr="004E6412">
        <w:rPr>
          <w:rFonts w:ascii="Times New Roman" w:hAnsi="Times New Roman"/>
        </w:rPr>
        <w:t xml:space="preserve"> u svijetu otpada</w:t>
      </w:r>
      <w:r w:rsidR="00806E6B" w:rsidRPr="004E6412">
        <w:rPr>
          <w:rFonts w:ascii="Times New Roman" w:hAnsi="Times New Roman"/>
        </w:rPr>
        <w:t xml:space="preserve"> svega 3% ukupne proizvodnje, a </w:t>
      </w:r>
      <w:r w:rsidRPr="004E6412">
        <w:rPr>
          <w:rFonts w:ascii="Times New Roman" w:hAnsi="Times New Roman"/>
        </w:rPr>
        <w:lastRenderedPageBreak/>
        <w:t>za navedeno su većinom zaslužne zemlje koje i</w:t>
      </w:r>
      <w:r w:rsidR="00806E6B" w:rsidRPr="004E6412">
        <w:rPr>
          <w:rFonts w:ascii="Times New Roman" w:hAnsi="Times New Roman"/>
        </w:rPr>
        <w:t>maju razvijenu proizvodnju u blizini</w:t>
      </w:r>
      <w:r w:rsidRPr="004E6412">
        <w:rPr>
          <w:rFonts w:ascii="Times New Roman" w:hAnsi="Times New Roman"/>
        </w:rPr>
        <w:t xml:space="preserve"> pomorskih transportnih </w:t>
      </w:r>
      <w:r w:rsidR="004823E2" w:rsidRPr="004E6412">
        <w:rPr>
          <w:rFonts w:ascii="Times New Roman" w:hAnsi="Times New Roman"/>
        </w:rPr>
        <w:t>putova</w:t>
      </w:r>
      <w:r w:rsidRPr="004E6412">
        <w:rPr>
          <w:rFonts w:ascii="Times New Roman" w:hAnsi="Times New Roman"/>
        </w:rPr>
        <w:t xml:space="preserve"> kao i dovoljno proizvodnih kapaciteta. </w:t>
      </w:r>
    </w:p>
    <w:p w:rsidR="001B41B0" w:rsidRPr="004E6412" w:rsidRDefault="001B41B0" w:rsidP="001B41B0">
      <w:pPr>
        <w:rPr>
          <w:sz w:val="22"/>
        </w:rPr>
      </w:pPr>
    </w:p>
    <w:p w:rsidR="001B41B0" w:rsidRPr="004E6412" w:rsidRDefault="00806E6B" w:rsidP="001B41B0">
      <w:pPr>
        <w:pStyle w:val="ListParagraph"/>
        <w:numPr>
          <w:ilvl w:val="0"/>
          <w:numId w:val="42"/>
        </w:numPr>
        <w:spacing w:after="0"/>
        <w:jc w:val="both"/>
        <w:rPr>
          <w:rFonts w:ascii="Times New Roman" w:hAnsi="Times New Roman"/>
        </w:rPr>
      </w:pPr>
      <w:r w:rsidRPr="004E6412">
        <w:rPr>
          <w:rFonts w:ascii="Times New Roman" w:hAnsi="Times New Roman"/>
        </w:rPr>
        <w:t>Kriza građevinske industrije i</w:t>
      </w:r>
      <w:r w:rsidR="001B41B0" w:rsidRPr="004E6412">
        <w:rPr>
          <w:rFonts w:ascii="Times New Roman" w:hAnsi="Times New Roman"/>
        </w:rPr>
        <w:t xml:space="preserve"> pad infrastrukturnih projekata utjecali su na smanjenje potražnje za proizvodima ove industrijske djelatnosti. Rast cijena energenata i nemogućnost plasiranja većine proizvoda na udaljena strana tržišta dodatno opterećuju poslovanje i ograničavaju mogućnosti rasta. </w:t>
      </w:r>
      <w:bookmarkStart w:id="731" w:name="_Toc365992554"/>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32" w:name="_Toc372088036"/>
      <w:bookmarkStart w:id="733" w:name="_Toc378069097"/>
      <w:r w:rsidRPr="004E6412">
        <w:rPr>
          <w:rFonts w:eastAsia="Calibri"/>
        </w:rPr>
        <w:lastRenderedPageBreak/>
        <w:t>Zaključni prikaz pokazatelja</w:t>
      </w:r>
      <w:bookmarkEnd w:id="732"/>
      <w:bookmarkEnd w:id="733"/>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34" w:name="_Toc372088159"/>
      <w:bookmarkStart w:id="735" w:name="_Toc377551094"/>
      <w:bookmarkStart w:id="736" w:name="_Toc37763528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82</w:t>
      </w:r>
      <w:r w:rsidRPr="007D0CFD">
        <w:rPr>
          <w:rStyle w:val="IntenseEmphasis"/>
          <w:b/>
          <w:bCs w:val="0"/>
          <w:iCs w:val="0"/>
          <w:color w:val="548DD4" w:themeColor="text2" w:themeTint="99"/>
          <w:sz w:val="20"/>
        </w:rPr>
        <w:t>. Kvantitativni pokazatelji (C23)</w:t>
      </w:r>
      <w:bookmarkEnd w:id="734"/>
      <w:bookmarkEnd w:id="735"/>
      <w:bookmarkEnd w:id="736"/>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98,60</w:t>
            </w:r>
          </w:p>
        </w:tc>
        <w:tc>
          <w:tcPr>
            <w:tcW w:w="968" w:type="pct"/>
            <w:shd w:val="clear" w:color="auto" w:fill="auto"/>
            <w:noWrap/>
          </w:tcPr>
          <w:p w:rsidR="001B41B0" w:rsidRPr="004E6412" w:rsidRDefault="001B41B0" w:rsidP="001B41B0">
            <w:pPr>
              <w:jc w:val="right"/>
            </w:pPr>
            <w:r w:rsidRPr="004E6412">
              <w:rPr>
                <w:sz w:val="22"/>
              </w:rPr>
              <w:t>97,60</w:t>
            </w:r>
          </w:p>
        </w:tc>
        <w:tc>
          <w:tcPr>
            <w:tcW w:w="1100" w:type="pct"/>
            <w:shd w:val="clear" w:color="auto" w:fill="auto"/>
            <w:noWrap/>
          </w:tcPr>
          <w:p w:rsidR="001B41B0" w:rsidRPr="004E6412" w:rsidRDefault="005A57E5" w:rsidP="001B41B0">
            <w:pPr>
              <w:jc w:val="right"/>
            </w:pPr>
            <w:r w:rsidRPr="004E6412">
              <w:rPr>
                <w:sz w:val="22"/>
              </w:rPr>
              <w:t>93,0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79,8</w:t>
            </w:r>
          </w:p>
        </w:tc>
        <w:tc>
          <w:tcPr>
            <w:tcW w:w="968" w:type="pct"/>
            <w:shd w:val="clear" w:color="auto" w:fill="auto"/>
            <w:noWrap/>
          </w:tcPr>
          <w:p w:rsidR="001B41B0" w:rsidRPr="004E6412" w:rsidRDefault="001B41B0" w:rsidP="001B41B0">
            <w:pPr>
              <w:jc w:val="right"/>
            </w:pPr>
            <w:r w:rsidRPr="004E6412">
              <w:rPr>
                <w:sz w:val="22"/>
              </w:rPr>
              <w:t>97,4</w:t>
            </w:r>
          </w:p>
        </w:tc>
        <w:tc>
          <w:tcPr>
            <w:tcW w:w="1100" w:type="pct"/>
            <w:shd w:val="clear" w:color="auto" w:fill="auto"/>
            <w:noWrap/>
          </w:tcPr>
          <w:p w:rsidR="001B41B0" w:rsidRPr="004E6412" w:rsidRDefault="001B41B0" w:rsidP="001B41B0">
            <w:pPr>
              <w:jc w:val="right"/>
            </w:pPr>
            <w:r w:rsidRPr="004E6412">
              <w:rPr>
                <w:sz w:val="22"/>
              </w:rPr>
              <w:t>101,4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10.734</w:t>
            </w:r>
          </w:p>
        </w:tc>
        <w:tc>
          <w:tcPr>
            <w:tcW w:w="968" w:type="pct"/>
            <w:shd w:val="clear" w:color="auto" w:fill="auto"/>
            <w:noWrap/>
          </w:tcPr>
          <w:p w:rsidR="001B41B0" w:rsidRPr="004E6412" w:rsidRDefault="001B41B0" w:rsidP="001B41B0">
            <w:pPr>
              <w:jc w:val="right"/>
            </w:pPr>
            <w:r w:rsidRPr="004E6412">
              <w:rPr>
                <w:sz w:val="22"/>
              </w:rPr>
              <w:t>10.530</w:t>
            </w:r>
          </w:p>
        </w:tc>
        <w:tc>
          <w:tcPr>
            <w:tcW w:w="1100" w:type="pct"/>
            <w:shd w:val="clear" w:color="auto" w:fill="auto"/>
            <w:noWrap/>
          </w:tcPr>
          <w:p w:rsidR="001B41B0" w:rsidRPr="004E6412" w:rsidRDefault="001B41B0" w:rsidP="001B41B0">
            <w:pPr>
              <w:jc w:val="right"/>
            </w:pPr>
            <w:r w:rsidRPr="004E6412">
              <w:rPr>
                <w:sz w:val="22"/>
              </w:rPr>
              <w:t>10.146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7.666.453.443</w:t>
            </w:r>
          </w:p>
        </w:tc>
        <w:tc>
          <w:tcPr>
            <w:tcW w:w="968" w:type="pct"/>
            <w:shd w:val="clear" w:color="auto" w:fill="auto"/>
            <w:noWrap/>
          </w:tcPr>
          <w:p w:rsidR="001B41B0" w:rsidRPr="004E6412" w:rsidRDefault="001B41B0" w:rsidP="001B41B0">
            <w:pPr>
              <w:jc w:val="right"/>
            </w:pPr>
            <w:r w:rsidRPr="004E6412">
              <w:rPr>
                <w:sz w:val="22"/>
              </w:rPr>
              <w:t>7.915.982.338</w:t>
            </w:r>
          </w:p>
        </w:tc>
        <w:tc>
          <w:tcPr>
            <w:tcW w:w="1100" w:type="pct"/>
            <w:shd w:val="clear" w:color="auto" w:fill="auto"/>
            <w:noWrap/>
          </w:tcPr>
          <w:p w:rsidR="001B41B0" w:rsidRPr="004E6412" w:rsidRDefault="001B41B0" w:rsidP="001B41B0">
            <w:pPr>
              <w:jc w:val="right"/>
            </w:pPr>
            <w:r w:rsidRPr="004E6412">
              <w:rPr>
                <w:sz w:val="22"/>
              </w:rPr>
              <w:t>7.529.428.896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589.148.388</w:t>
            </w:r>
          </w:p>
        </w:tc>
        <w:tc>
          <w:tcPr>
            <w:tcW w:w="968" w:type="pct"/>
            <w:shd w:val="clear" w:color="auto" w:fill="auto"/>
            <w:noWrap/>
          </w:tcPr>
          <w:p w:rsidR="001B41B0" w:rsidRPr="004E6412" w:rsidRDefault="001B41B0" w:rsidP="001B41B0">
            <w:pPr>
              <w:jc w:val="right"/>
            </w:pPr>
            <w:r w:rsidRPr="004E6412">
              <w:rPr>
                <w:sz w:val="22"/>
              </w:rPr>
              <w:t>730.764.934</w:t>
            </w:r>
          </w:p>
        </w:tc>
        <w:tc>
          <w:tcPr>
            <w:tcW w:w="1100" w:type="pct"/>
            <w:shd w:val="clear" w:color="auto" w:fill="auto"/>
            <w:noWrap/>
          </w:tcPr>
          <w:p w:rsidR="001B41B0" w:rsidRPr="004E6412" w:rsidRDefault="001B41B0" w:rsidP="001B41B0">
            <w:pPr>
              <w:jc w:val="right"/>
            </w:pPr>
            <w:r w:rsidRPr="004E6412">
              <w:rPr>
                <w:sz w:val="22"/>
              </w:rPr>
              <w:t>666.064.328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-1,12</w:t>
            </w:r>
          </w:p>
        </w:tc>
        <w:tc>
          <w:tcPr>
            <w:tcW w:w="968" w:type="pct"/>
            <w:shd w:val="clear" w:color="auto" w:fill="auto"/>
            <w:noWrap/>
          </w:tcPr>
          <w:p w:rsidR="001B41B0" w:rsidRPr="004E6412" w:rsidRDefault="001B41B0" w:rsidP="001B41B0">
            <w:pPr>
              <w:jc w:val="right"/>
            </w:pPr>
            <w:r w:rsidRPr="004E6412">
              <w:rPr>
                <w:sz w:val="22"/>
              </w:rPr>
              <w:t>1,43</w:t>
            </w:r>
          </w:p>
        </w:tc>
        <w:tc>
          <w:tcPr>
            <w:tcW w:w="1100" w:type="pct"/>
            <w:shd w:val="clear" w:color="auto" w:fill="auto"/>
            <w:noWrap/>
          </w:tcPr>
          <w:p w:rsidR="001B41B0" w:rsidRPr="004E6412" w:rsidRDefault="001B41B0" w:rsidP="001B41B0">
            <w:pPr>
              <w:jc w:val="right"/>
            </w:pPr>
            <w:r w:rsidRPr="004E6412">
              <w:rPr>
                <w:sz w:val="22"/>
              </w:rPr>
              <w:t>0,51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714.221</w:t>
            </w:r>
          </w:p>
        </w:tc>
        <w:tc>
          <w:tcPr>
            <w:tcW w:w="968" w:type="pct"/>
            <w:shd w:val="clear" w:color="auto" w:fill="auto"/>
            <w:noWrap/>
          </w:tcPr>
          <w:p w:rsidR="001B41B0" w:rsidRPr="004E6412" w:rsidRDefault="001B41B0" w:rsidP="001B41B0">
            <w:pPr>
              <w:jc w:val="right"/>
            </w:pPr>
            <w:r w:rsidRPr="004E6412">
              <w:rPr>
                <w:sz w:val="22"/>
              </w:rPr>
              <w:t>751.755</w:t>
            </w:r>
          </w:p>
        </w:tc>
        <w:tc>
          <w:tcPr>
            <w:tcW w:w="1100" w:type="pct"/>
            <w:shd w:val="clear" w:color="auto" w:fill="auto"/>
            <w:noWrap/>
          </w:tcPr>
          <w:p w:rsidR="001B41B0" w:rsidRPr="004E6412" w:rsidRDefault="001B41B0" w:rsidP="001B41B0">
            <w:pPr>
              <w:jc w:val="right"/>
            </w:pPr>
            <w:r w:rsidRPr="004E6412">
              <w:rPr>
                <w:sz w:val="22"/>
              </w:rPr>
              <w:t>742.108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2.048.803.650</w:t>
            </w:r>
          </w:p>
        </w:tc>
        <w:tc>
          <w:tcPr>
            <w:tcW w:w="968" w:type="pct"/>
            <w:shd w:val="clear" w:color="auto" w:fill="auto"/>
            <w:noWrap/>
          </w:tcPr>
          <w:p w:rsidR="001B41B0" w:rsidRPr="004E6412" w:rsidRDefault="001B41B0" w:rsidP="001B41B0">
            <w:pPr>
              <w:jc w:val="right"/>
            </w:pPr>
            <w:r w:rsidRPr="004E6412">
              <w:rPr>
                <w:sz w:val="22"/>
              </w:rPr>
              <w:t>2.107.789.537</w:t>
            </w:r>
          </w:p>
        </w:tc>
        <w:tc>
          <w:tcPr>
            <w:tcW w:w="1100" w:type="pct"/>
            <w:shd w:val="clear" w:color="auto" w:fill="auto"/>
            <w:noWrap/>
          </w:tcPr>
          <w:p w:rsidR="001B41B0" w:rsidRPr="004E6412" w:rsidRDefault="001B41B0" w:rsidP="001B41B0">
            <w:pPr>
              <w:jc w:val="right"/>
            </w:pPr>
            <w:r w:rsidRPr="004E6412">
              <w:rPr>
                <w:sz w:val="22"/>
              </w:rPr>
              <w:t>2.049.148.317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18.463</w:t>
            </w:r>
          </w:p>
        </w:tc>
        <w:tc>
          <w:tcPr>
            <w:tcW w:w="968" w:type="pct"/>
            <w:shd w:val="clear" w:color="auto" w:fill="auto"/>
            <w:noWrap/>
          </w:tcPr>
          <w:p w:rsidR="001B41B0" w:rsidRPr="004E6412" w:rsidRDefault="001B41B0" w:rsidP="001B41B0">
            <w:pPr>
              <w:jc w:val="right"/>
            </w:pPr>
            <w:r w:rsidRPr="004E6412">
              <w:rPr>
                <w:sz w:val="22"/>
              </w:rPr>
              <w:t>22.148</w:t>
            </w:r>
          </w:p>
        </w:tc>
        <w:tc>
          <w:tcPr>
            <w:tcW w:w="1100" w:type="pct"/>
            <w:shd w:val="clear" w:color="auto" w:fill="auto"/>
            <w:noWrap/>
          </w:tcPr>
          <w:p w:rsidR="001B41B0" w:rsidRPr="004E6412" w:rsidRDefault="001B41B0" w:rsidP="001B41B0">
            <w:pPr>
              <w:jc w:val="right"/>
            </w:pPr>
            <w:r w:rsidRPr="004E6412">
              <w:rPr>
                <w:sz w:val="22"/>
              </w:rPr>
              <w:t>25.329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51.807</w:t>
            </w:r>
          </w:p>
        </w:tc>
        <w:tc>
          <w:tcPr>
            <w:tcW w:w="968" w:type="pct"/>
            <w:shd w:val="clear" w:color="auto" w:fill="auto"/>
            <w:noWrap/>
          </w:tcPr>
          <w:p w:rsidR="001B41B0" w:rsidRPr="004E6412" w:rsidRDefault="001B41B0" w:rsidP="001B41B0">
            <w:pPr>
              <w:jc w:val="right"/>
            </w:pPr>
            <w:r w:rsidRPr="004E6412">
              <w:rPr>
                <w:sz w:val="22"/>
              </w:rPr>
              <w:t>56.425</w:t>
            </w:r>
          </w:p>
        </w:tc>
        <w:tc>
          <w:tcPr>
            <w:tcW w:w="1100" w:type="pct"/>
            <w:shd w:val="clear" w:color="auto" w:fill="auto"/>
            <w:noWrap/>
          </w:tcPr>
          <w:p w:rsidR="001B41B0" w:rsidRPr="004E6412" w:rsidRDefault="001B41B0" w:rsidP="001B41B0">
            <w:pPr>
              <w:jc w:val="right"/>
            </w:pPr>
            <w:r w:rsidRPr="004E6412">
              <w:rPr>
                <w:sz w:val="22"/>
              </w:rPr>
              <w:t>47.552</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1,423</w:t>
            </w:r>
          </w:p>
        </w:tc>
        <w:tc>
          <w:tcPr>
            <w:tcW w:w="968" w:type="pct"/>
            <w:shd w:val="clear" w:color="auto" w:fill="auto"/>
            <w:noWrap/>
          </w:tcPr>
          <w:p w:rsidR="001B41B0" w:rsidRPr="004E6412" w:rsidRDefault="001B41B0" w:rsidP="001B41B0">
            <w:pPr>
              <w:jc w:val="right"/>
            </w:pPr>
            <w:r w:rsidRPr="004E6412">
              <w:rPr>
                <w:sz w:val="22"/>
              </w:rPr>
              <w:t>1,566</w:t>
            </w:r>
          </w:p>
        </w:tc>
        <w:tc>
          <w:tcPr>
            <w:tcW w:w="1100" w:type="pct"/>
            <w:shd w:val="clear" w:color="auto" w:fill="auto"/>
            <w:noWrap/>
          </w:tcPr>
          <w:p w:rsidR="001B41B0" w:rsidRPr="004E6412" w:rsidRDefault="001B41B0" w:rsidP="001B41B0">
            <w:pPr>
              <w:jc w:val="right"/>
            </w:pPr>
            <w:r w:rsidRPr="004E6412">
              <w:rPr>
                <w:sz w:val="22"/>
              </w:rPr>
              <w:t>1,521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655.357.691</w:t>
            </w:r>
          </w:p>
        </w:tc>
        <w:tc>
          <w:tcPr>
            <w:tcW w:w="968" w:type="pct"/>
            <w:shd w:val="clear" w:color="auto" w:fill="auto"/>
            <w:noWrap/>
          </w:tcPr>
          <w:p w:rsidR="001B41B0" w:rsidRPr="004E6412" w:rsidRDefault="001B41B0" w:rsidP="001B41B0">
            <w:pPr>
              <w:jc w:val="right"/>
            </w:pPr>
            <w:r w:rsidRPr="004E6412">
              <w:rPr>
                <w:sz w:val="22"/>
              </w:rPr>
              <w:t>878.843.413</w:t>
            </w:r>
          </w:p>
        </w:tc>
        <w:tc>
          <w:tcPr>
            <w:tcW w:w="1100" w:type="pct"/>
            <w:shd w:val="clear" w:color="auto" w:fill="auto"/>
            <w:noWrap/>
          </w:tcPr>
          <w:p w:rsidR="001B41B0" w:rsidRPr="004E6412" w:rsidRDefault="001B41B0" w:rsidP="001B41B0">
            <w:pPr>
              <w:jc w:val="right"/>
            </w:pPr>
            <w:r w:rsidRPr="004E6412">
              <w:rPr>
                <w:sz w:val="22"/>
              </w:rPr>
              <w:t>855.315.024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28,76</w:t>
            </w:r>
          </w:p>
        </w:tc>
        <w:tc>
          <w:tcPr>
            <w:tcW w:w="968" w:type="pct"/>
            <w:shd w:val="clear" w:color="auto" w:fill="auto"/>
            <w:noWrap/>
          </w:tcPr>
          <w:p w:rsidR="001B41B0" w:rsidRPr="004E6412" w:rsidRDefault="001B41B0" w:rsidP="001B41B0">
            <w:pPr>
              <w:jc w:val="right"/>
            </w:pPr>
            <w:r w:rsidRPr="004E6412">
              <w:rPr>
                <w:sz w:val="22"/>
              </w:rPr>
              <w:t>30,73</w:t>
            </w:r>
          </w:p>
        </w:tc>
        <w:tc>
          <w:tcPr>
            <w:tcW w:w="1100" w:type="pct"/>
            <w:shd w:val="clear" w:color="auto" w:fill="auto"/>
            <w:noWrap/>
          </w:tcPr>
          <w:p w:rsidR="001B41B0" w:rsidRPr="004E6412" w:rsidRDefault="001B41B0" w:rsidP="001B41B0">
            <w:pPr>
              <w:jc w:val="right"/>
            </w:pPr>
            <w:r w:rsidRPr="004E6412">
              <w:rPr>
                <w:sz w:val="22"/>
              </w:rPr>
              <w:t>33,18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0,592</w:t>
            </w:r>
          </w:p>
        </w:tc>
        <w:tc>
          <w:tcPr>
            <w:tcW w:w="968" w:type="pct"/>
            <w:shd w:val="clear" w:color="auto" w:fill="auto"/>
            <w:noWrap/>
          </w:tcPr>
          <w:p w:rsidR="001B41B0" w:rsidRPr="004E6412" w:rsidRDefault="001B41B0" w:rsidP="001B41B0">
            <w:pPr>
              <w:jc w:val="right"/>
            </w:pPr>
            <w:r w:rsidRPr="004E6412">
              <w:rPr>
                <w:sz w:val="22"/>
              </w:rPr>
              <w:t>0,787</w:t>
            </w:r>
          </w:p>
        </w:tc>
        <w:tc>
          <w:tcPr>
            <w:tcW w:w="1100" w:type="pct"/>
            <w:shd w:val="clear" w:color="auto" w:fill="auto"/>
            <w:noWrap/>
          </w:tcPr>
          <w:p w:rsidR="001B41B0" w:rsidRPr="004E6412" w:rsidRDefault="001B41B0" w:rsidP="001B41B0">
            <w:pPr>
              <w:jc w:val="right"/>
            </w:pPr>
            <w:r w:rsidRPr="004E6412">
              <w:rPr>
                <w:sz w:val="22"/>
              </w:rPr>
              <w:t>0,759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806E6B"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5,16</w:t>
            </w:r>
          </w:p>
        </w:tc>
        <w:tc>
          <w:tcPr>
            <w:tcW w:w="968" w:type="pct"/>
            <w:shd w:val="clear" w:color="auto" w:fill="auto"/>
            <w:noWrap/>
          </w:tcPr>
          <w:p w:rsidR="001B41B0" w:rsidRPr="004E6412" w:rsidRDefault="001B41B0" w:rsidP="001B41B0">
            <w:pPr>
              <w:jc w:val="right"/>
            </w:pPr>
            <w:r w:rsidRPr="004E6412">
              <w:rPr>
                <w:sz w:val="22"/>
              </w:rPr>
              <w:t>4,54</w:t>
            </w:r>
          </w:p>
        </w:tc>
        <w:tc>
          <w:tcPr>
            <w:tcW w:w="1100" w:type="pct"/>
            <w:shd w:val="clear" w:color="auto" w:fill="auto"/>
            <w:noWrap/>
          </w:tcPr>
          <w:p w:rsidR="001B41B0" w:rsidRPr="004E6412" w:rsidRDefault="001B41B0" w:rsidP="001B41B0">
            <w:pPr>
              <w:jc w:val="right"/>
            </w:pPr>
            <w:r w:rsidRPr="004E6412">
              <w:rPr>
                <w:sz w:val="22"/>
              </w:rPr>
              <w:t>4,48</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0,780</w:t>
            </w:r>
          </w:p>
        </w:tc>
        <w:tc>
          <w:tcPr>
            <w:tcW w:w="1100" w:type="pct"/>
            <w:shd w:val="clear" w:color="auto" w:fill="auto"/>
            <w:noWrap/>
          </w:tcPr>
          <w:p w:rsidR="001B41B0" w:rsidRPr="004E6412" w:rsidRDefault="001B41B0" w:rsidP="001B41B0">
            <w:pPr>
              <w:jc w:val="right"/>
            </w:pPr>
            <w:r w:rsidRPr="004E6412">
              <w:rPr>
                <w:sz w:val="22"/>
              </w:rPr>
              <w:t>0,793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190.870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200.170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201.966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0,27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0,54</w:t>
            </w:r>
          </w:p>
        </w:tc>
        <w:tc>
          <w:tcPr>
            <w:tcW w:w="968" w:type="pct"/>
            <w:shd w:val="clear" w:color="auto" w:fill="auto"/>
            <w:noWrap/>
          </w:tcPr>
          <w:p w:rsidR="001B41B0" w:rsidRPr="004E6412" w:rsidRDefault="001B41B0" w:rsidP="001B41B0">
            <w:pPr>
              <w:jc w:val="right"/>
            </w:pPr>
            <w:r w:rsidRPr="004E6412">
              <w:rPr>
                <w:sz w:val="22"/>
              </w:rPr>
              <w:t>0,50</w:t>
            </w:r>
          </w:p>
        </w:tc>
        <w:tc>
          <w:tcPr>
            <w:tcW w:w="1100" w:type="pct"/>
            <w:shd w:val="clear" w:color="auto" w:fill="auto"/>
            <w:noWrap/>
          </w:tcPr>
          <w:p w:rsidR="001B41B0" w:rsidRPr="004E6412" w:rsidRDefault="001B41B0" w:rsidP="001B41B0">
            <w:pPr>
              <w:jc w:val="right"/>
            </w:pPr>
            <w:r w:rsidRPr="004E6412">
              <w:rPr>
                <w:sz w:val="22"/>
              </w:rPr>
              <w:t>0,50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0,50</w:t>
            </w:r>
          </w:p>
        </w:tc>
        <w:tc>
          <w:tcPr>
            <w:tcW w:w="968" w:type="pct"/>
            <w:shd w:val="clear" w:color="auto" w:fill="auto"/>
            <w:noWrap/>
          </w:tcPr>
          <w:p w:rsidR="001B41B0" w:rsidRPr="004E6412" w:rsidRDefault="001B41B0" w:rsidP="001B41B0">
            <w:pPr>
              <w:jc w:val="right"/>
            </w:pPr>
            <w:r w:rsidRPr="004E6412">
              <w:rPr>
                <w:sz w:val="22"/>
              </w:rPr>
              <w:t>0,54</w:t>
            </w:r>
          </w:p>
        </w:tc>
        <w:tc>
          <w:tcPr>
            <w:tcW w:w="1100" w:type="pct"/>
            <w:shd w:val="clear" w:color="auto" w:fill="auto"/>
            <w:noWrap/>
          </w:tcPr>
          <w:p w:rsidR="001B41B0" w:rsidRPr="004E6412" w:rsidRDefault="001B41B0" w:rsidP="001B41B0">
            <w:pPr>
              <w:jc w:val="right"/>
            </w:pPr>
            <w:r w:rsidRPr="004E6412">
              <w:rPr>
                <w:sz w:val="22"/>
              </w:rPr>
              <w:t>0,52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37" w:name="_Toc372088160"/>
      <w:bookmarkStart w:id="738" w:name="_Toc377551095"/>
      <w:bookmarkStart w:id="739" w:name="_Toc377635284"/>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83</w:t>
      </w:r>
      <w:r w:rsidRPr="007D0CFD">
        <w:rPr>
          <w:rStyle w:val="IntenseEmphasis"/>
          <w:b/>
          <w:bCs w:val="0"/>
          <w:iCs w:val="0"/>
          <w:color w:val="548DD4" w:themeColor="text2" w:themeTint="99"/>
          <w:sz w:val="20"/>
        </w:rPr>
        <w:t>. Kvalitativni pokazatelji (C23)</w:t>
      </w:r>
      <w:bookmarkEnd w:id="737"/>
      <w:bookmarkEnd w:id="738"/>
      <w:bookmarkEnd w:id="7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806E6B" w:rsidRPr="004E6412">
              <w:rPr>
                <w:b/>
                <w:sz w:val="22"/>
              </w:rPr>
              <w:t>i kvaliteta proizvodnih čimbenika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resursa i kapitala </w:t>
            </w:r>
            <w:r w:rsidR="00806E6B" w:rsidRPr="004E6412">
              <w:rPr>
                <w:sz w:val="22"/>
              </w:rPr>
              <w:t xml:space="preserve">je </w:t>
            </w:r>
            <w:r w:rsidRPr="004E6412">
              <w:rPr>
                <w:sz w:val="22"/>
              </w:rPr>
              <w:t xml:space="preserve">dobra. Hrvatska je bogata ležištima kvarcnog materijala (od kojih se mnoga još ne eksploatiraju) koji je neophodna sirovina za industriju proizvodnje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Uglavnom proizvodnja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806E6B" w:rsidP="0097195F">
            <w:pPr>
              <w:spacing w:line="240" w:lineRule="auto"/>
              <w:rPr>
                <w:sz w:val="22"/>
              </w:rPr>
            </w:pPr>
            <w:r w:rsidRPr="004E6412">
              <w:rPr>
                <w:sz w:val="22"/>
              </w:rPr>
              <w:t>53 poduzeća ostvaruju</w:t>
            </w:r>
            <w:r w:rsidR="001B41B0" w:rsidRPr="004E6412">
              <w:rPr>
                <w:sz w:val="22"/>
              </w:rPr>
              <w:t xml:space="preserv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Značajno se razlikuje u ovisnosti o poddjelatnosti. Po izvoznom potencijalu ističe se poddjelatnost C23.1 Proizvodnja stakla i proizvoda od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snažno vezan uz građevinsku industriju, infrastrukturne projekte i kretanja u općem gospodarstvu. Ne očekuju se značajnija zapošljavanja u kratkom roku. Poddjelatnost C23.1 Proizvodnja stakla i proizvoda od stakla ima najveći potencijal rasta i zapošljavanja. Velike gubitke ostvaruju poddjelatnosti C23.3 Proizvodnja proizvoda od gline za građevinarstvo, C23.9 Proizvodnja brusnih proizvoda i nemetalnih mineralnih proizvoda, d.n., C23.4 Proizvodnja ostalih proizvoda od porculana i keramike te C23.5 Proizvodnja cementa, vapna i gipsa.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Značajno se razlikuje u ovisnosti o poddjelatnosti. Na razini ukupne industrije značajna ovisnost o uvozu.</w:t>
            </w:r>
          </w:p>
        </w:tc>
      </w:tr>
    </w:tbl>
    <w:p w:rsidR="001B41B0" w:rsidRPr="004E6412" w:rsidRDefault="001B41B0" w:rsidP="001B41B0">
      <w:pPr>
        <w:pStyle w:val="Heading2"/>
        <w:rPr>
          <w:rFonts w:eastAsia="Calibri"/>
        </w:rPr>
        <w:sectPr w:rsidR="001B41B0" w:rsidRPr="004E6412" w:rsidSect="00A6767E">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rPr>
      </w:pPr>
      <w:bookmarkStart w:id="740" w:name="_Toc366409971"/>
      <w:bookmarkStart w:id="741" w:name="_Toc372088037"/>
      <w:bookmarkStart w:id="742" w:name="_Toc378069098"/>
      <w:bookmarkStart w:id="743" w:name="_Toc366152990"/>
      <w:bookmarkStart w:id="744" w:name="_Toc366154308"/>
      <w:bookmarkStart w:id="745" w:name="_Toc366154428"/>
      <w:r w:rsidRPr="004E6412">
        <w:rPr>
          <w:rFonts w:eastAsia="Calibri"/>
        </w:rPr>
        <w:lastRenderedPageBreak/>
        <w:t>C24 Proizvodnja metala</w:t>
      </w:r>
      <w:bookmarkEnd w:id="740"/>
      <w:bookmarkEnd w:id="741"/>
      <w:bookmarkEnd w:id="742"/>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metala (C24) uključuje proizvodnju sirovog željeza, čelika i ferolegura (C24.1), proizvodnju čeličnih cijevi i pribora (C24.2), proizvodnju ostalih proizvoda primarne prerade čelika (C24.3), proizvodnju plemenitih i ostalih obojenih metala (C24.4) i lijevanje metala (C24.5).</w:t>
      </w:r>
    </w:p>
    <w:p w:rsidR="001B41B0" w:rsidRPr="004E6412" w:rsidRDefault="001B41B0" w:rsidP="001B41B0">
      <w:pPr>
        <w:rPr>
          <w:szCs w:val="24"/>
        </w:rPr>
      </w:pPr>
    </w:p>
    <w:p w:rsidR="001B41B0" w:rsidRPr="004E6412" w:rsidRDefault="001B41B0" w:rsidP="00D001B9">
      <w:pPr>
        <w:pStyle w:val="Heading3"/>
      </w:pPr>
      <w:bookmarkStart w:id="746" w:name="_Toc366409972"/>
      <w:bookmarkStart w:id="747" w:name="_Toc372088038"/>
      <w:bookmarkStart w:id="748" w:name="_Toc378069099"/>
      <w:r w:rsidRPr="004E6412">
        <w:t>Globalni trendovi razvoja</w:t>
      </w:r>
      <w:bookmarkEnd w:id="746"/>
      <w:bookmarkEnd w:id="747"/>
      <w:bookmarkEnd w:id="748"/>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proi</w:t>
      </w:r>
      <w:r w:rsidR="005049CD" w:rsidRPr="004E6412">
        <w:rPr>
          <w:rFonts w:ascii="Times New Roman" w:hAnsi="Times New Roman"/>
        </w:rPr>
        <w:t>zvodnje metala izrazito je značajna</w:t>
      </w:r>
      <w:r w:rsidRPr="004E6412">
        <w:rPr>
          <w:rFonts w:ascii="Times New Roman" w:hAnsi="Times New Roman"/>
        </w:rPr>
        <w:t xml:space="preserve"> za svjetsko gospodarstvo, budući da se nje</w:t>
      </w:r>
      <w:r w:rsidR="005049CD" w:rsidRPr="004E6412">
        <w:rPr>
          <w:rFonts w:ascii="Times New Roman" w:hAnsi="Times New Roman"/>
        </w:rPr>
        <w:t>zi</w:t>
      </w:r>
      <w:r w:rsidRPr="004E6412">
        <w:rPr>
          <w:rFonts w:ascii="Times New Roman" w:hAnsi="Times New Roman"/>
        </w:rPr>
        <w:t xml:space="preserve">ni proizvodi izravno primjenjuju u brojnim djelatnostima, od kojih su najznačajnija metaloprerađivačka, građevinska, </w:t>
      </w:r>
      <w:r w:rsidR="005049CD" w:rsidRPr="004E6412">
        <w:rPr>
          <w:rFonts w:ascii="Times New Roman" w:hAnsi="Times New Roman"/>
        </w:rPr>
        <w:t xml:space="preserve">djelatnost </w:t>
      </w:r>
      <w:r w:rsidRPr="004E6412">
        <w:rPr>
          <w:rFonts w:ascii="Times New Roman" w:hAnsi="Times New Roman"/>
        </w:rPr>
        <w:t xml:space="preserve">prijevoznih sredstava, strojeva i opreme, energetika i druge. Stanja i kretanja u navedenim djelatnostima, državne politike, cikličke fluktuacije u cijeni metala i brojni drugi čimbenici značajno određuju dinamiku ove industrijske djelatnosti.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Svjetsko se tržište trenutno suočava s brojnim problemima, od ko</w:t>
      </w:r>
      <w:r w:rsidR="005049CD" w:rsidRPr="004E6412">
        <w:rPr>
          <w:rFonts w:ascii="Times New Roman" w:hAnsi="Times New Roman"/>
        </w:rPr>
        <w:t>jih je najznačajniji neprikladna</w:t>
      </w:r>
      <w:r w:rsidRPr="004E6412">
        <w:rPr>
          <w:rFonts w:ascii="Times New Roman" w:hAnsi="Times New Roman"/>
        </w:rPr>
        <w:t xml:space="preserve"> operativna učinkovitost</w:t>
      </w:r>
      <w:r w:rsidR="00265FC2" w:rsidRPr="004E6412">
        <w:rPr>
          <w:rFonts w:ascii="Times New Roman" w:hAnsi="Times New Roman"/>
        </w:rPr>
        <w:t>. Ona je usko povezana s nedavnim</w:t>
      </w:r>
      <w:r w:rsidRPr="004E6412">
        <w:rPr>
          <w:rFonts w:ascii="Times New Roman" w:hAnsi="Times New Roman"/>
        </w:rPr>
        <w:t xml:space="preserve"> pad</w:t>
      </w:r>
      <w:r w:rsidR="00265FC2" w:rsidRPr="004E6412">
        <w:rPr>
          <w:rFonts w:ascii="Times New Roman" w:hAnsi="Times New Roman"/>
        </w:rPr>
        <w:t>om</w:t>
      </w:r>
      <w:r w:rsidRPr="004E6412">
        <w:rPr>
          <w:rFonts w:ascii="Times New Roman" w:hAnsi="Times New Roman"/>
        </w:rPr>
        <w:t xml:space="preserve"> potražnje za proizvodima ove djelatnosti, ali i trenutnim viškovima kapaciteta, prvenstveno u azijskim zemljama. Viškovi proizvodnih kapaciteta za</w:t>
      </w:r>
      <w:r w:rsidR="00265FC2" w:rsidRPr="004E6412">
        <w:rPr>
          <w:rFonts w:ascii="Times New Roman" w:hAnsi="Times New Roman"/>
        </w:rPr>
        <w:t>služni su za pad cijena krajnjih</w:t>
      </w:r>
      <w:r w:rsidRPr="004E6412">
        <w:rPr>
          <w:rFonts w:ascii="Times New Roman" w:hAnsi="Times New Roman"/>
        </w:rPr>
        <w:t xml:space="preserve"> proizvoda, ali i zatvaranje manjih proizvođača koji nisu u stanju ostvariti troškovne prednosti u proizvodnji.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je kapitalno intenzivn</w:t>
      </w:r>
      <w:r w:rsidR="00265FC2" w:rsidRPr="004E6412">
        <w:rPr>
          <w:rFonts w:ascii="Times New Roman" w:hAnsi="Times New Roman"/>
        </w:rPr>
        <w:t>a te je obilježava visoka razina rascjepkanosti</w:t>
      </w:r>
      <w:r w:rsidRPr="004E6412">
        <w:rPr>
          <w:rFonts w:ascii="Times New Roman" w:hAnsi="Times New Roman"/>
        </w:rPr>
        <w:t xml:space="preserve"> odnosno velik broj poduzeća koja sudjeluju u proizvodnji. Zbog visoke kapitalne intenzivnosti upravljanje o</w:t>
      </w:r>
      <w:r w:rsidR="00265FC2" w:rsidRPr="004E6412">
        <w:rPr>
          <w:rFonts w:ascii="Times New Roman" w:hAnsi="Times New Roman"/>
        </w:rPr>
        <w:t>perativnim troškovima ključno</w:t>
      </w:r>
      <w:r w:rsidRPr="004E6412">
        <w:rPr>
          <w:rFonts w:ascii="Times New Roman" w:hAnsi="Times New Roman"/>
        </w:rPr>
        <w:t xml:space="preserve"> je za održavanje konkurentnos</w:t>
      </w:r>
      <w:r w:rsidR="00265FC2" w:rsidRPr="004E6412">
        <w:rPr>
          <w:rFonts w:ascii="Times New Roman" w:hAnsi="Times New Roman"/>
        </w:rPr>
        <w:t>ti. Zbog velike rascjepkanosti</w:t>
      </w:r>
      <w:r w:rsidRPr="004E6412">
        <w:rPr>
          <w:rFonts w:ascii="Times New Roman" w:hAnsi="Times New Roman"/>
        </w:rPr>
        <w:t xml:space="preserve"> d</w:t>
      </w:r>
      <w:r w:rsidR="00265FC2" w:rsidRPr="004E6412">
        <w:rPr>
          <w:rFonts w:ascii="Times New Roman" w:hAnsi="Times New Roman"/>
        </w:rPr>
        <w:t xml:space="preserve">jelatnost proizvodnje metala </w:t>
      </w:r>
      <w:r w:rsidRPr="004E6412">
        <w:rPr>
          <w:rFonts w:ascii="Times New Roman" w:hAnsi="Times New Roman"/>
        </w:rPr>
        <w:t xml:space="preserve">trenutno </w:t>
      </w:r>
      <w:r w:rsidR="00265FC2" w:rsidRPr="004E6412">
        <w:rPr>
          <w:rFonts w:ascii="Times New Roman" w:hAnsi="Times New Roman"/>
        </w:rPr>
        <w:t xml:space="preserve">je </w:t>
      </w:r>
      <w:r w:rsidRPr="004E6412">
        <w:rPr>
          <w:rFonts w:ascii="Times New Roman" w:hAnsi="Times New Roman"/>
        </w:rPr>
        <w:t>u procesu konsolidacije.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U posljednjih pet godina ova je industrijska djelatnost rasla po prosječnoj stopi od 13% godišnje, poticana urbanizacijom i gospodarskim rastom, kao i rastom stanovništva. Očekuje se usporavanje stope rasta. Azija je najznačajnija svjetska proizvodna regija te je zaslužna za najveći dio svjetske proizvodnje.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Najznačajniji svjetski proizvođači sirovog čelika su Kina i Japan, na koje otpada 43,1% odnosno 7% ukupne svjetske proizvodnje. Nakon</w:t>
      </w:r>
      <w:r w:rsidR="00265FC2" w:rsidRPr="004E6412">
        <w:rPr>
          <w:rFonts w:ascii="Times New Roman" w:hAnsi="Times New Roman"/>
        </w:rPr>
        <w:t xml:space="preserve"> tih</w:t>
      </w:r>
      <w:r w:rsidRPr="004E6412">
        <w:rPr>
          <w:rFonts w:ascii="Times New Roman" w:hAnsi="Times New Roman"/>
        </w:rPr>
        <w:t xml:space="preserve"> dviju zemalja slijedi SAD (5,7% svjetske proizvodnje) koji je tradicionalno imao snažno razvijenu in</w:t>
      </w:r>
      <w:r w:rsidR="00265FC2" w:rsidRPr="004E6412">
        <w:rPr>
          <w:rFonts w:ascii="Times New Roman" w:hAnsi="Times New Roman"/>
        </w:rPr>
        <w:t xml:space="preserve">dustriju proizvodnje metala </w:t>
      </w:r>
      <w:r w:rsidRPr="004E6412">
        <w:rPr>
          <w:rFonts w:ascii="Times New Roman" w:hAnsi="Times New Roman"/>
        </w:rPr>
        <w:t>koja stagnira po</w:t>
      </w:r>
      <w:r w:rsidR="00265FC2" w:rsidRPr="004E6412">
        <w:rPr>
          <w:rFonts w:ascii="Times New Roman" w:hAnsi="Times New Roman"/>
        </w:rPr>
        <w:t xml:space="preserve">sljednjih desetak godina. Uz SAD se nalazi </w:t>
      </w:r>
      <w:r w:rsidRPr="004E6412">
        <w:rPr>
          <w:rFonts w:ascii="Times New Roman" w:hAnsi="Times New Roman"/>
        </w:rPr>
        <w:t xml:space="preserve">Indija za koju mnogi </w:t>
      </w:r>
      <w:r w:rsidR="00265FC2" w:rsidRPr="004E6412">
        <w:rPr>
          <w:rFonts w:ascii="Times New Roman" w:hAnsi="Times New Roman"/>
        </w:rPr>
        <w:t>analitičari predviđaju da će preteći</w:t>
      </w:r>
      <w:r w:rsidRPr="004E6412">
        <w:rPr>
          <w:rFonts w:ascii="Times New Roman" w:hAnsi="Times New Roman"/>
        </w:rPr>
        <w:t xml:space="preserve"> SAD i Japan po vrijednosti proizvodnje. Ukupna proizvodnja sirovog čelika u svijetu iznosila je 1517,9 milijuna tona u 2011.</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Azija je</w:t>
      </w:r>
      <w:r w:rsidR="00265FC2" w:rsidRPr="004E6412">
        <w:rPr>
          <w:rFonts w:ascii="Times New Roman" w:hAnsi="Times New Roman"/>
        </w:rPr>
        <w:t xml:space="preserve"> ujedno i najveći proizvođač</w:t>
      </w:r>
      <w:r w:rsidRPr="004E6412">
        <w:rPr>
          <w:rFonts w:ascii="Times New Roman" w:hAnsi="Times New Roman"/>
        </w:rPr>
        <w:t xml:space="preserve"> i potrošač sirovog</w:t>
      </w:r>
      <w:r w:rsidR="00265FC2" w:rsidRPr="004E6412">
        <w:rPr>
          <w:rFonts w:ascii="Times New Roman" w:hAnsi="Times New Roman"/>
        </w:rPr>
        <w:t>a</w:t>
      </w:r>
      <w:r w:rsidRPr="004E6412">
        <w:rPr>
          <w:rFonts w:ascii="Times New Roman" w:hAnsi="Times New Roman"/>
        </w:rPr>
        <w:t xml:space="preserve"> željeza, a proizvodi gotovo 75% </w:t>
      </w:r>
      <w:r w:rsidR="00265FC2" w:rsidRPr="004E6412">
        <w:rPr>
          <w:rFonts w:ascii="Times New Roman" w:hAnsi="Times New Roman"/>
        </w:rPr>
        <w:t xml:space="preserve">od </w:t>
      </w:r>
      <w:r w:rsidRPr="004E6412">
        <w:rPr>
          <w:rFonts w:ascii="Times New Roman" w:hAnsi="Times New Roman"/>
        </w:rPr>
        <w:t>ukupne svjetske proizvod</w:t>
      </w:r>
      <w:r w:rsidR="00265FC2" w:rsidRPr="004E6412">
        <w:rPr>
          <w:rFonts w:ascii="Times New Roman" w:hAnsi="Times New Roman"/>
        </w:rPr>
        <w:t>nje. Kina je najveći proizvođač</w:t>
      </w:r>
      <w:r w:rsidRPr="004E6412">
        <w:rPr>
          <w:rFonts w:ascii="Times New Roman" w:hAnsi="Times New Roman"/>
        </w:rPr>
        <w:t xml:space="preserve"> te na nju otpada gotovo 80% a</w:t>
      </w:r>
      <w:r w:rsidR="00265FC2" w:rsidRPr="004E6412">
        <w:rPr>
          <w:rFonts w:ascii="Times New Roman" w:hAnsi="Times New Roman"/>
        </w:rPr>
        <w:t>zijske proizvodnje, a slijede je</w:t>
      </w:r>
      <w:r w:rsidRPr="004E6412">
        <w:rPr>
          <w:rFonts w:ascii="Times New Roman" w:hAnsi="Times New Roman"/>
        </w:rPr>
        <w:t xml:space="preserve"> Japan, Južna Koreja i Indija. Izrazito mali dio sirovog</w:t>
      </w:r>
      <w:r w:rsidR="00265FC2" w:rsidRPr="004E6412">
        <w:rPr>
          <w:rFonts w:ascii="Times New Roman" w:hAnsi="Times New Roman"/>
        </w:rPr>
        <w:t>a</w:t>
      </w:r>
      <w:r w:rsidRPr="004E6412">
        <w:rPr>
          <w:rFonts w:ascii="Times New Roman" w:hAnsi="Times New Roman"/>
        </w:rPr>
        <w:t xml:space="preserve"> željeza završi u međunarodnoj razmjeni, otprilike 2% ukupne proizvodnje. </w:t>
      </w:r>
    </w:p>
    <w:p w:rsidR="001B41B0" w:rsidRPr="004E6412" w:rsidRDefault="001B41B0" w:rsidP="001B41B0">
      <w:pPr>
        <w:rPr>
          <w:i/>
          <w:szCs w:val="24"/>
        </w:rPr>
      </w:pPr>
    </w:p>
    <w:p w:rsidR="001B41B0" w:rsidRPr="004E6412" w:rsidRDefault="001B41B0" w:rsidP="00D001B9">
      <w:pPr>
        <w:pStyle w:val="Heading3"/>
      </w:pPr>
      <w:bookmarkStart w:id="749" w:name="_Toc366409973"/>
      <w:bookmarkStart w:id="750" w:name="_Toc372088039"/>
      <w:bookmarkStart w:id="751" w:name="_Toc378069100"/>
      <w:r w:rsidRPr="004E6412">
        <w:t>Trendovi razvoja u Europskoj uniji</w:t>
      </w:r>
      <w:bookmarkEnd w:id="749"/>
      <w:bookmarkEnd w:id="750"/>
      <w:bookmarkEnd w:id="751"/>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 xml:space="preserve">Europska unija </w:t>
      </w:r>
      <w:r w:rsidR="001B41B0" w:rsidRPr="004E6412">
        <w:rPr>
          <w:rFonts w:ascii="Times New Roman" w:hAnsi="Times New Roman"/>
        </w:rPr>
        <w:t xml:space="preserve">najveći </w:t>
      </w:r>
      <w:r w:rsidRPr="004E6412">
        <w:rPr>
          <w:rFonts w:ascii="Times New Roman" w:hAnsi="Times New Roman"/>
        </w:rPr>
        <w:t>je potrošač i</w:t>
      </w:r>
      <w:r w:rsidR="001B41B0" w:rsidRPr="004E6412">
        <w:rPr>
          <w:rFonts w:ascii="Times New Roman" w:hAnsi="Times New Roman"/>
        </w:rPr>
        <w:t xml:space="preserve"> jedan od glavnih proizvođača metala u svijetu te je u velikoj mjeri ovisna o uvozu metalnih ruda i sirovina. Prema podacima za 2006., sektor </w:t>
      </w:r>
      <w:r w:rsidR="001B41B0" w:rsidRPr="004E6412">
        <w:rPr>
          <w:rFonts w:ascii="Times New Roman" w:hAnsi="Times New Roman"/>
        </w:rPr>
        <w:lastRenderedPageBreak/>
        <w:t>proizvodnje</w:t>
      </w:r>
      <w:r w:rsidRPr="004E6412">
        <w:rPr>
          <w:rFonts w:ascii="Times New Roman" w:hAnsi="Times New Roman"/>
        </w:rPr>
        <w:t xml:space="preserve"> metala i metalnih proizvoda zaslužan</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za zapošljavanje 5,1 milijuna ljudi unutar zemalja EU</w:t>
      </w:r>
      <w:r w:rsidRPr="004E6412">
        <w:rPr>
          <w:rFonts w:ascii="Times New Roman" w:hAnsi="Times New Roman"/>
        </w:rPr>
        <w:t>-a, među kojima je</w:t>
      </w:r>
      <w:r w:rsidR="001B41B0" w:rsidRPr="004E6412">
        <w:rPr>
          <w:rFonts w:ascii="Times New Roman" w:hAnsi="Times New Roman"/>
        </w:rPr>
        <w:t xml:space="preserve"> Njemačka </w:t>
      </w:r>
      <w:r w:rsidRPr="004E6412">
        <w:rPr>
          <w:rFonts w:ascii="Times New Roman" w:hAnsi="Times New Roman"/>
        </w:rPr>
        <w:t xml:space="preserve">na samom vrhu </w:t>
      </w:r>
      <w:r w:rsidR="001B41B0" w:rsidRPr="004E6412">
        <w:rPr>
          <w:rFonts w:ascii="Times New Roman" w:hAnsi="Times New Roman"/>
        </w:rPr>
        <w:t xml:space="preserve">s prihodom od 64,9 milijardi eura. </w:t>
      </w:r>
    </w:p>
    <w:p w:rsidR="001B41B0" w:rsidRPr="004E6412" w:rsidRDefault="001B41B0" w:rsidP="001B41B0">
      <w:pPr>
        <w:pStyle w:val="ListParagraph"/>
        <w:spacing w:after="0"/>
        <w:jc w:val="both"/>
        <w:rPr>
          <w:rFonts w:ascii="Times New Roman" w:hAnsi="Times New Roman"/>
        </w:rPr>
      </w:pPr>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sektor proizvodnje čelika zapošljava 410.000 ljudi, što čini 1,25% ukupnog zapošljavanja u proizvodnji EU</w:t>
      </w:r>
      <w:r w:rsidRPr="004E6412">
        <w:rPr>
          <w:rFonts w:ascii="Times New Roman" w:hAnsi="Times New Roman"/>
        </w:rPr>
        <w:t>-a</w:t>
      </w:r>
      <w:r w:rsidR="001B41B0" w:rsidRPr="004E6412">
        <w:rPr>
          <w:rFonts w:ascii="Times New Roman" w:hAnsi="Times New Roman"/>
        </w:rPr>
        <w:t>. S proizvodnjom od oko 200 milijuna tona sirovog</w:t>
      </w:r>
      <w:r w:rsidRPr="004E6412">
        <w:rPr>
          <w:rFonts w:ascii="Times New Roman" w:hAnsi="Times New Roman"/>
        </w:rPr>
        <w:t>a</w:t>
      </w:r>
      <w:r w:rsidR="001B41B0" w:rsidRPr="004E6412">
        <w:rPr>
          <w:rFonts w:ascii="Times New Roman" w:hAnsi="Times New Roman"/>
        </w:rPr>
        <w:t xml:space="preserve"> čelika u 2008., EU čini 16% svjetske proizvodnje te je </w:t>
      </w:r>
      <w:r w:rsidRPr="004E6412">
        <w:rPr>
          <w:rFonts w:ascii="Times New Roman" w:hAnsi="Times New Roman"/>
        </w:rPr>
        <w:t>drugi najveći proizvođač čelika</w:t>
      </w:r>
      <w:r w:rsidR="001B41B0" w:rsidRPr="004E6412">
        <w:rPr>
          <w:rFonts w:ascii="Times New Roman" w:hAnsi="Times New Roman"/>
        </w:rPr>
        <w:t xml:space="preserve"> nakon Kine. Što se tiče trgovine čelikom, izvoz čelika iz zemalja EU</w:t>
      </w:r>
      <w:r w:rsidRPr="004E6412">
        <w:rPr>
          <w:rFonts w:ascii="Times New Roman" w:hAnsi="Times New Roman"/>
        </w:rPr>
        <w:t xml:space="preserve">-a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za oko 50%</w:t>
      </w:r>
      <w:r w:rsidRPr="004E6412">
        <w:rPr>
          <w:rFonts w:ascii="Times New Roman" w:hAnsi="Times New Roman"/>
        </w:rPr>
        <w:t>, i to sa</w:t>
      </w:r>
      <w:r w:rsidR="001B41B0" w:rsidRPr="004E6412">
        <w:rPr>
          <w:rFonts w:ascii="Times New Roman" w:hAnsi="Times New Roman"/>
        </w:rPr>
        <w:t xml:space="preserve"> 40.2 milijuna tona u 2008. na 20.7 milijuna tona u 2009.</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Zemlje EU</w:t>
      </w:r>
      <w:r w:rsidR="00265FC2" w:rsidRPr="004E6412">
        <w:rPr>
          <w:rFonts w:ascii="Times New Roman" w:hAnsi="Times New Roman"/>
        </w:rPr>
        <w:t>-a zauzimale</w:t>
      </w:r>
      <w:r w:rsidRPr="004E6412">
        <w:rPr>
          <w:rFonts w:ascii="Times New Roman" w:hAnsi="Times New Roman"/>
        </w:rPr>
        <w:t xml:space="preserve"> su 11,7% ukupne svjetske proizvodnje sirovog</w:t>
      </w:r>
      <w:r w:rsidR="00265FC2" w:rsidRPr="004E6412">
        <w:rPr>
          <w:rFonts w:ascii="Times New Roman" w:hAnsi="Times New Roman"/>
        </w:rPr>
        <w:t>a</w:t>
      </w:r>
      <w:r w:rsidRPr="004E6412">
        <w:rPr>
          <w:rFonts w:ascii="Times New Roman" w:hAnsi="Times New Roman"/>
        </w:rPr>
        <w:t xml:space="preserve"> čelika u 2011. odnosno 177,6 milijuna tona, čime EU predstavlja drugu najznačajniju svjetsku proizvodnu </w:t>
      </w:r>
      <w:r w:rsidR="00265FC2" w:rsidRPr="004E6412">
        <w:rPr>
          <w:rFonts w:ascii="Times New Roman" w:hAnsi="Times New Roman"/>
        </w:rPr>
        <w:t>regiju, iza Azije koja je zauzimala</w:t>
      </w:r>
      <w:r w:rsidRPr="004E6412">
        <w:rPr>
          <w:rFonts w:ascii="Times New Roman" w:hAnsi="Times New Roman"/>
        </w:rPr>
        <w:t xml:space="preserve"> ukupno 64,3% tržišta. U 2001. odnos snaga in</w:t>
      </w:r>
      <w:r w:rsidR="00265FC2" w:rsidRPr="004E6412">
        <w:rPr>
          <w:rFonts w:ascii="Times New Roman" w:hAnsi="Times New Roman"/>
        </w:rPr>
        <w:t xml:space="preserve">dustrija ovih dviju regija </w:t>
      </w:r>
      <w:r w:rsidRPr="004E6412">
        <w:rPr>
          <w:rFonts w:ascii="Times New Roman" w:hAnsi="Times New Roman"/>
        </w:rPr>
        <w:t xml:space="preserve">izgledao </w:t>
      </w:r>
      <w:r w:rsidR="00265FC2" w:rsidRPr="004E6412">
        <w:rPr>
          <w:rFonts w:ascii="Times New Roman" w:hAnsi="Times New Roman"/>
        </w:rPr>
        <w:t xml:space="preserve">je </w:t>
      </w:r>
      <w:r w:rsidRPr="004E6412">
        <w:rPr>
          <w:rFonts w:ascii="Times New Roman" w:hAnsi="Times New Roman"/>
        </w:rPr>
        <w:t>znatno d</w:t>
      </w:r>
      <w:r w:rsidR="00265FC2" w:rsidRPr="004E6412">
        <w:rPr>
          <w:rFonts w:ascii="Times New Roman" w:hAnsi="Times New Roman"/>
        </w:rPr>
        <w:t>rugačije – Europska unija imala je udio od</w:t>
      </w:r>
      <w:r w:rsidRPr="004E6412">
        <w:rPr>
          <w:rFonts w:ascii="Times New Roman" w:hAnsi="Times New Roman"/>
        </w:rPr>
        <w:t xml:space="preserve"> 22% svjetske proizvodn</w:t>
      </w:r>
      <w:r w:rsidR="00265FC2" w:rsidRPr="004E6412">
        <w:rPr>
          <w:rFonts w:ascii="Times New Roman" w:hAnsi="Times New Roman"/>
        </w:rPr>
        <w:t>je, dok su azijske zemlje sudjelovale s</w:t>
      </w:r>
      <w:r w:rsidRPr="004E6412">
        <w:rPr>
          <w:rFonts w:ascii="Times New Roman" w:hAnsi="Times New Roman"/>
        </w:rPr>
        <w:t xml:space="preserve"> 41,7% tržišta.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U proizvodnji sirovog</w:t>
      </w:r>
      <w:r w:rsidR="00265FC2" w:rsidRPr="004E6412">
        <w:rPr>
          <w:rFonts w:ascii="Times New Roman" w:hAnsi="Times New Roman"/>
        </w:rPr>
        <w:t>a</w:t>
      </w:r>
      <w:r w:rsidRPr="004E6412">
        <w:rPr>
          <w:rFonts w:ascii="Times New Roman" w:hAnsi="Times New Roman"/>
        </w:rPr>
        <w:t xml:space="preserve"> željeza Europska unija sudjelovala je s 8,5% svjetske proizvodnje odnosno 94,3 milijuna tona u 2011. Od toga su zemlje unije izvezle ukupno 1 milijun tona, no uvezle dodatnih 3,6 milijuna tona čime je ova industrijska djelatnost neto uvoznica proizvoda. U usporedbi s vodećom Kinom, zemlje EU</w:t>
      </w:r>
      <w:r w:rsidR="00265FC2" w:rsidRPr="004E6412">
        <w:rPr>
          <w:rFonts w:ascii="Times New Roman" w:hAnsi="Times New Roman"/>
        </w:rPr>
        <w:t>-a</w:t>
      </w:r>
      <w:r w:rsidRPr="004E6412">
        <w:rPr>
          <w:rFonts w:ascii="Times New Roman" w:hAnsi="Times New Roman"/>
        </w:rPr>
        <w:t xml:space="preserve"> proizvele su gotovo 7 puta manje sirovog</w:t>
      </w:r>
      <w:r w:rsidR="00265FC2" w:rsidRPr="004E6412">
        <w:rPr>
          <w:rFonts w:ascii="Times New Roman" w:hAnsi="Times New Roman"/>
        </w:rPr>
        <w:t>a</w:t>
      </w:r>
      <w:r w:rsidRPr="004E6412">
        <w:rPr>
          <w:rFonts w:ascii="Times New Roman" w:hAnsi="Times New Roman"/>
        </w:rPr>
        <w:t xml:space="preserve"> željeza (kineska proizvodnja iznosila je 645,8 milijuna tona u 2011.).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Glavna snaga proizvodnje metala i metalnih proizvoda u zemljama EU</w:t>
      </w:r>
      <w:r w:rsidR="00265FC2" w:rsidRPr="004E6412">
        <w:rPr>
          <w:rFonts w:ascii="Times New Roman" w:hAnsi="Times New Roman"/>
        </w:rPr>
        <w:t>-a zasniva se</w:t>
      </w:r>
      <w:r w:rsidRPr="004E6412">
        <w:rPr>
          <w:rFonts w:ascii="Times New Roman" w:hAnsi="Times New Roman"/>
        </w:rPr>
        <w:t xml:space="preserve"> na proizvodima visoke kvalitete, inovativnim proizvodima i </w:t>
      </w:r>
      <w:r w:rsidR="00265FC2" w:rsidRPr="004E6412">
        <w:rPr>
          <w:rFonts w:ascii="Times New Roman" w:hAnsi="Times New Roman"/>
        </w:rPr>
        <w:t>tehnološkom razvoju te učinkovitosti</w:t>
      </w:r>
      <w:r w:rsidRPr="004E6412">
        <w:rPr>
          <w:rFonts w:ascii="Times New Roman" w:hAnsi="Times New Roman"/>
        </w:rPr>
        <w:t xml:space="preserve"> i iskustvu.</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Glavni izazov za zemlje EU</w:t>
      </w:r>
      <w:r w:rsidR="00265FC2" w:rsidRPr="004E6412">
        <w:rPr>
          <w:rFonts w:ascii="Times New Roman" w:hAnsi="Times New Roman"/>
        </w:rPr>
        <w:t>-a</w:t>
      </w:r>
      <w:r w:rsidRPr="004E6412">
        <w:rPr>
          <w:rFonts w:ascii="Times New Roman" w:hAnsi="Times New Roman"/>
        </w:rPr>
        <w:t xml:space="preserve"> predstavlja obveza </w:t>
      </w:r>
      <w:r w:rsidR="00265FC2" w:rsidRPr="004E6412">
        <w:rPr>
          <w:rFonts w:ascii="Times New Roman" w:hAnsi="Times New Roman"/>
        </w:rPr>
        <w:t>za smanjivanjem štetnih emisija,</w:t>
      </w:r>
      <w:r w:rsidRPr="004E6412">
        <w:rPr>
          <w:rFonts w:ascii="Times New Roman" w:hAnsi="Times New Roman"/>
        </w:rPr>
        <w:t xml:space="preserve"> cijena i ra</w:t>
      </w:r>
      <w:r w:rsidR="00265FC2" w:rsidRPr="004E6412">
        <w:rPr>
          <w:rFonts w:ascii="Times New Roman" w:hAnsi="Times New Roman"/>
        </w:rPr>
        <w:t>spoloživost sirovina i energije,</w:t>
      </w:r>
      <w:r w:rsidRPr="004E6412">
        <w:rPr>
          <w:rFonts w:ascii="Times New Roman" w:hAnsi="Times New Roman"/>
        </w:rPr>
        <w:t xml:space="preserve"> konkurencija iz drugih zemalja te uspješnost u privlačenju i očuvanju iskusne radne snage.</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Sektori usmjereni na mehaničko inženjerstvo, kućanske</w:t>
      </w:r>
      <w:r w:rsidR="00265FC2" w:rsidRPr="004E6412">
        <w:rPr>
          <w:rFonts w:ascii="Times New Roman" w:hAnsi="Times New Roman"/>
        </w:rPr>
        <w:t xml:space="preserve"> aparate i metalne proizvode </w:t>
      </w:r>
      <w:r w:rsidRPr="004E6412">
        <w:rPr>
          <w:rFonts w:ascii="Times New Roman" w:hAnsi="Times New Roman"/>
        </w:rPr>
        <w:t>trebali</w:t>
      </w:r>
      <w:r w:rsidR="00265FC2" w:rsidRPr="004E6412">
        <w:rPr>
          <w:rFonts w:ascii="Times New Roman" w:hAnsi="Times New Roman"/>
        </w:rPr>
        <w:t xml:space="preserve"> bi</w:t>
      </w:r>
      <w:r w:rsidRPr="004E6412">
        <w:rPr>
          <w:rFonts w:ascii="Times New Roman" w:hAnsi="Times New Roman"/>
        </w:rPr>
        <w:t xml:space="preserve"> pozitivno utjecati na potražnju za metalom u zemljama EU</w:t>
      </w:r>
      <w:r w:rsidR="00265FC2" w:rsidRPr="004E6412">
        <w:rPr>
          <w:rFonts w:ascii="Times New Roman" w:hAnsi="Times New Roman"/>
        </w:rPr>
        <w:t>-a</w:t>
      </w:r>
      <w:r w:rsidRPr="004E6412">
        <w:rPr>
          <w:rFonts w:ascii="Times New Roman" w:hAnsi="Times New Roman"/>
        </w:rPr>
        <w:t>, dok se pad potražnje očekuje u proizvodnji automobila i metalnih konstrukcija.</w:t>
      </w:r>
    </w:p>
    <w:p w:rsidR="001B41B0" w:rsidRPr="004E6412" w:rsidRDefault="001B41B0" w:rsidP="001B41B0">
      <w:pPr>
        <w:rPr>
          <w:szCs w:val="24"/>
        </w:rPr>
      </w:pPr>
    </w:p>
    <w:p w:rsidR="001B41B0" w:rsidRPr="004E6412" w:rsidRDefault="001B41B0" w:rsidP="00D001B9">
      <w:pPr>
        <w:pStyle w:val="Heading3"/>
      </w:pPr>
      <w:bookmarkStart w:id="752" w:name="_Toc366409974"/>
      <w:bookmarkStart w:id="753" w:name="_Toc372088040"/>
      <w:bookmarkStart w:id="754" w:name="_Toc378069101"/>
      <w:r w:rsidRPr="004E6412">
        <w:t>Stanje i perspektive razvoja u Republici Hrvatskoj</w:t>
      </w:r>
      <w:bookmarkEnd w:id="752"/>
      <w:bookmarkEnd w:id="753"/>
      <w:bookmarkEnd w:id="754"/>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dostupnim</w:t>
      </w:r>
      <w:r w:rsidR="00265FC2" w:rsidRPr="004E6412">
        <w:rPr>
          <w:rFonts w:ascii="Times New Roman" w:hAnsi="Times New Roman"/>
        </w:rPr>
        <w:t xml:space="preserve"> podacima</w:t>
      </w:r>
      <w:r w:rsidRPr="004E6412">
        <w:rPr>
          <w:rFonts w:ascii="Times New Roman" w:hAnsi="Times New Roman"/>
        </w:rPr>
        <w:t xml:space="preserve"> u razdoblju 2010.</w:t>
      </w:r>
      <w:r w:rsidR="00265FC2" w:rsidRPr="004E6412">
        <w:rPr>
          <w:rFonts w:ascii="Times New Roman" w:hAnsi="Times New Roman"/>
        </w:rPr>
        <w:t xml:space="preserve"> – </w:t>
      </w:r>
      <w:r w:rsidRPr="004E6412">
        <w:rPr>
          <w:rFonts w:ascii="Times New Roman" w:hAnsi="Times New Roman"/>
        </w:rPr>
        <w:t>2012</w:t>
      </w:r>
      <w:r w:rsidR="00265FC2" w:rsidRPr="004E6412">
        <w:rPr>
          <w:rFonts w:ascii="Times New Roman" w:hAnsi="Times New Roman"/>
        </w:rPr>
        <w:t>. broj zaposlenika je</w:t>
      </w:r>
      <w:r w:rsidRPr="004E6412">
        <w:rPr>
          <w:rFonts w:ascii="Times New Roman" w:hAnsi="Times New Roman"/>
        </w:rPr>
        <w:t xml:space="preserve"> u djelatnosti pr</w:t>
      </w:r>
      <w:r w:rsidR="00265FC2" w:rsidRPr="004E6412">
        <w:rPr>
          <w:rFonts w:ascii="Times New Roman" w:hAnsi="Times New Roman"/>
        </w:rPr>
        <w:t>oizvodnje metala pao za</w:t>
      </w:r>
      <w:r w:rsidRPr="004E6412">
        <w:rPr>
          <w:rFonts w:ascii="Times New Roman" w:hAnsi="Times New Roman"/>
        </w:rPr>
        <w:t xml:space="preserve"> 12,12%. Najveći udio za</w:t>
      </w:r>
      <w:r w:rsidR="00265FC2" w:rsidRPr="004E6412">
        <w:rPr>
          <w:rFonts w:ascii="Times New Roman" w:hAnsi="Times New Roman"/>
        </w:rPr>
        <w:t>poslenika radi u poddjelatnosti</w:t>
      </w:r>
      <w:r w:rsidRPr="004E6412">
        <w:rPr>
          <w:rFonts w:ascii="Times New Roman" w:hAnsi="Times New Roman"/>
        </w:rPr>
        <w:t xml:space="preserve"> C24.5. Lijevanje metala. Većina poduzeća je u 100%-tnom domaćem vlasništvu, no zbog veličine nj</w:t>
      </w:r>
      <w:r w:rsidR="00265FC2" w:rsidRPr="004E6412">
        <w:rPr>
          <w:rFonts w:ascii="Times New Roman" w:hAnsi="Times New Roman"/>
        </w:rPr>
        <w:t>ihovih prihoda</w:t>
      </w:r>
      <w:r w:rsidRPr="004E6412">
        <w:rPr>
          <w:rFonts w:ascii="Times New Roman" w:hAnsi="Times New Roman"/>
        </w:rPr>
        <w:t xml:space="preserve"> ponderirani udio domaćeg</w:t>
      </w:r>
      <w:r w:rsidR="00265FC2" w:rsidRPr="004E6412">
        <w:rPr>
          <w:rFonts w:ascii="Times New Roman" w:hAnsi="Times New Roman"/>
        </w:rPr>
        <w:t>a</w:t>
      </w:r>
      <w:r w:rsidRPr="004E6412">
        <w:rPr>
          <w:rFonts w:ascii="Times New Roman" w:hAnsi="Times New Roman"/>
        </w:rPr>
        <w:t xml:space="preserve"> kapitala u ukupnom</w:t>
      </w:r>
      <w:r w:rsidR="00265FC2" w:rsidRPr="004E6412">
        <w:rPr>
          <w:rFonts w:ascii="Times New Roman" w:hAnsi="Times New Roman"/>
        </w:rPr>
        <w:t>e</w:t>
      </w:r>
      <w:r w:rsidRPr="004E6412">
        <w:rPr>
          <w:rFonts w:ascii="Times New Roman" w:hAnsi="Times New Roman"/>
        </w:rPr>
        <w:t xml:space="preserve"> iznosi tek 50,53%.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U promatranom</w:t>
      </w:r>
      <w:r w:rsidR="00B86C50" w:rsidRPr="004E6412">
        <w:rPr>
          <w:rFonts w:ascii="Times New Roman" w:hAnsi="Times New Roman"/>
        </w:rPr>
        <w:t>e trogodišnjem razdoblju</w:t>
      </w:r>
      <w:r w:rsidRPr="004E6412">
        <w:rPr>
          <w:rFonts w:ascii="Times New Roman" w:hAnsi="Times New Roman"/>
        </w:rPr>
        <w:t xml:space="preserve"> 2010.</w:t>
      </w:r>
      <w:r w:rsidR="00B86C50" w:rsidRPr="004E6412">
        <w:rPr>
          <w:rFonts w:ascii="Times New Roman" w:hAnsi="Times New Roman"/>
        </w:rPr>
        <w:t xml:space="preserve"> – </w:t>
      </w:r>
      <w:r w:rsidRPr="004E6412">
        <w:rPr>
          <w:rFonts w:ascii="Times New Roman" w:hAnsi="Times New Roman"/>
        </w:rPr>
        <w:t>2012</w:t>
      </w:r>
      <w:r w:rsidR="00B86C50" w:rsidRPr="004E6412">
        <w:rPr>
          <w:rFonts w:ascii="Times New Roman" w:hAnsi="Times New Roman"/>
        </w:rPr>
        <w:t>.</w:t>
      </w:r>
      <w:r w:rsidRPr="004E6412">
        <w:rPr>
          <w:rFonts w:ascii="Times New Roman" w:hAnsi="Times New Roman"/>
        </w:rPr>
        <w:t xml:space="preserve"> zamjetan je pad ukupne aktive (pasive) za 10,43%. U ukupnoj aktivi vidljivo je da dugotrajna imovina cijelo vrijeme sudjeluje s većim udjelom od kratkotrajne imovine, gdje najveći dio dugotrajne imovine odlazi na materijalnu imovinu, odnosno na</w:t>
      </w:r>
      <w:r w:rsidR="00B86C50" w:rsidRPr="004E6412">
        <w:rPr>
          <w:rFonts w:ascii="Times New Roman" w:hAnsi="Times New Roman"/>
        </w:rPr>
        <w:t xml:space="preserve"> zemljišta, građevinske objekte</w:t>
      </w:r>
      <w:r w:rsidRPr="004E6412">
        <w:rPr>
          <w:rFonts w:ascii="Times New Roman" w:hAnsi="Times New Roman"/>
        </w:rPr>
        <w:t xml:space="preserve"> te postrojenja i opremu (82,24% u 2012.). U pasivi se značajno povećala stavka kapital i rezerve,</w:t>
      </w:r>
      <w:r w:rsidR="00B86C50" w:rsidRPr="004E6412">
        <w:rPr>
          <w:rFonts w:ascii="Times New Roman" w:hAnsi="Times New Roman"/>
        </w:rPr>
        <w:t xml:space="preserve"> i to više od tri puta. K</w:t>
      </w:r>
      <w:r w:rsidRPr="004E6412">
        <w:rPr>
          <w:rFonts w:ascii="Times New Roman" w:hAnsi="Times New Roman"/>
        </w:rPr>
        <w:t xml:space="preserve">roz cijelo promatrano razdoblje najveći udio u izvorima financiranja drže kratkoročne obveze, međutim njihov udio se kroz vrijeme smanjuje (sa 73% na 65%). Drugo mjesto drže dugoročne obveze, a tek na zadnjem mjestu financiranja su kapital i rezerve. U </w:t>
      </w:r>
      <w:r w:rsidRPr="004E6412">
        <w:rPr>
          <w:rFonts w:ascii="Times New Roman" w:hAnsi="Times New Roman"/>
        </w:rPr>
        <w:lastRenderedPageBreak/>
        <w:t xml:space="preserve">2012. </w:t>
      </w:r>
      <w:r w:rsidR="00B86C50" w:rsidRPr="004E6412">
        <w:rPr>
          <w:rFonts w:ascii="Times New Roman" w:hAnsi="Times New Roman"/>
        </w:rPr>
        <w:t>O</w:t>
      </w:r>
      <w:r w:rsidRPr="004E6412">
        <w:rPr>
          <w:rFonts w:ascii="Times New Roman" w:hAnsi="Times New Roman"/>
        </w:rPr>
        <w:t>va</w:t>
      </w:r>
      <w:r w:rsidR="00B86C50" w:rsidRPr="004E6412">
        <w:rPr>
          <w:rFonts w:ascii="Times New Roman" w:hAnsi="Times New Roman"/>
        </w:rPr>
        <w:t xml:space="preserve"> se</w:t>
      </w:r>
      <w:r w:rsidRPr="004E6412">
        <w:rPr>
          <w:rFonts w:ascii="Times New Roman" w:hAnsi="Times New Roman"/>
        </w:rPr>
        <w:t xml:space="preserve"> </w:t>
      </w:r>
      <w:r w:rsidR="00B86C50" w:rsidRPr="004E6412">
        <w:rPr>
          <w:rFonts w:ascii="Times New Roman" w:hAnsi="Times New Roman"/>
        </w:rPr>
        <w:t xml:space="preserve">djelatnost </w:t>
      </w:r>
      <w:r w:rsidRPr="004E6412">
        <w:rPr>
          <w:rFonts w:ascii="Times New Roman" w:hAnsi="Times New Roman"/>
        </w:rPr>
        <w:t>najvećim dijelom financirala iz tuđih sredstava (preko 80%)</w:t>
      </w:r>
      <w:r w:rsidR="00B86C50" w:rsidRPr="004E6412">
        <w:rPr>
          <w:rFonts w:ascii="Times New Roman" w:hAnsi="Times New Roman"/>
        </w:rPr>
        <w:t>,</w:t>
      </w:r>
      <w:r w:rsidRPr="004E6412">
        <w:rPr>
          <w:rFonts w:ascii="Times New Roman" w:hAnsi="Times New Roman"/>
        </w:rPr>
        <w:t xml:space="preserve"> što ukazuje na visoku zaduženost.</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je </w:t>
      </w:r>
      <w:r w:rsidR="00B86C50" w:rsidRPr="004E6412">
        <w:rPr>
          <w:rFonts w:ascii="Times New Roman" w:hAnsi="Times New Roman"/>
        </w:rPr>
        <w:t xml:space="preserve">u razdoblju </w:t>
      </w:r>
      <w:r w:rsidRPr="004E6412">
        <w:rPr>
          <w:rFonts w:ascii="Times New Roman" w:hAnsi="Times New Roman"/>
        </w:rPr>
        <w:t>2010.</w:t>
      </w:r>
      <w:r w:rsidR="00B86C50" w:rsidRPr="004E6412">
        <w:rPr>
          <w:rFonts w:ascii="Times New Roman" w:hAnsi="Times New Roman"/>
        </w:rPr>
        <w:t xml:space="preserve"> – </w:t>
      </w:r>
      <w:r w:rsidRPr="004E6412">
        <w:rPr>
          <w:rFonts w:ascii="Times New Roman" w:hAnsi="Times New Roman"/>
        </w:rPr>
        <w:t xml:space="preserve">2012. ostvarila pozitivan preokret što se tiče ostvarivanja dobiti razdoblja. Poslovni prihodi </w:t>
      </w:r>
      <w:r w:rsidR="00B86C50" w:rsidRPr="004E6412">
        <w:rPr>
          <w:rFonts w:ascii="Times New Roman" w:hAnsi="Times New Roman"/>
        </w:rPr>
        <w:t>neprestano</w:t>
      </w:r>
      <w:r w:rsidRPr="004E6412">
        <w:rPr>
          <w:rFonts w:ascii="Times New Roman" w:hAnsi="Times New Roman"/>
        </w:rPr>
        <w:t xml:space="preserve"> rastu, no vrijednosno su cijelo vrijeme značajno manji nego poslovni rashodi, osim u zadnjoj pr</w:t>
      </w:r>
      <w:r w:rsidR="00B86C50" w:rsidRPr="004E6412">
        <w:rPr>
          <w:rFonts w:ascii="Times New Roman" w:hAnsi="Times New Roman"/>
        </w:rPr>
        <w:t xml:space="preserve">omatranoj godini. U 2012. stoga </w:t>
      </w:r>
      <w:r w:rsidRPr="004E6412">
        <w:rPr>
          <w:rFonts w:ascii="Times New Roman" w:hAnsi="Times New Roman"/>
        </w:rPr>
        <w:t>dolazi da preokreta kada su poslovni prihodi po prvi put u promatranom</w:t>
      </w:r>
      <w:r w:rsidR="00B86C50" w:rsidRPr="004E6412">
        <w:rPr>
          <w:rFonts w:ascii="Times New Roman" w:hAnsi="Times New Roman"/>
        </w:rPr>
        <w:t>e</w:t>
      </w:r>
      <w:r w:rsidRPr="004E6412">
        <w:rPr>
          <w:rFonts w:ascii="Times New Roman" w:hAnsi="Times New Roman"/>
        </w:rPr>
        <w:t xml:space="preserve"> razdoblju premašili rashode</w:t>
      </w:r>
      <w:r w:rsidR="00B86C50" w:rsidRPr="004E6412">
        <w:rPr>
          <w:rFonts w:ascii="Times New Roman" w:hAnsi="Times New Roman"/>
        </w:rPr>
        <w:t>,</w:t>
      </w:r>
      <w:r w:rsidRPr="004E6412">
        <w:rPr>
          <w:rFonts w:ascii="Times New Roman" w:hAnsi="Times New Roman"/>
        </w:rPr>
        <w:t xml:space="preserve"> što je u konačnici rezultiralo pozitivnom ukupnom dobiti razdoblja. U stvaranju ukupnih prihoda i rashoda u 2012. najviš</w:t>
      </w:r>
      <w:r w:rsidR="00B86C50" w:rsidRPr="004E6412">
        <w:rPr>
          <w:rFonts w:ascii="Times New Roman" w:hAnsi="Times New Roman"/>
        </w:rPr>
        <w:t>e sudjeluje poddjelatnost C24.4</w:t>
      </w:r>
      <w:r w:rsidRPr="004E6412">
        <w:rPr>
          <w:rFonts w:ascii="Times New Roman" w:hAnsi="Times New Roman"/>
        </w:rPr>
        <w:t xml:space="preserve"> Proizvodnja plemenitih i ostalih obo</w:t>
      </w:r>
      <w:r w:rsidR="00B86C50" w:rsidRPr="004E6412">
        <w:rPr>
          <w:rFonts w:ascii="Times New Roman" w:hAnsi="Times New Roman"/>
        </w:rPr>
        <w:t>jenih metala, s udjelima od 43%</w:t>
      </w:r>
      <w:r w:rsidRPr="004E6412">
        <w:rPr>
          <w:rFonts w:ascii="Times New Roman" w:hAnsi="Times New Roman"/>
        </w:rPr>
        <w:t xml:space="preserve"> odnosno 50%.</w:t>
      </w:r>
    </w:p>
    <w:p w:rsidR="001B41B0" w:rsidRPr="004E6412" w:rsidRDefault="001B41B0" w:rsidP="001B41B0">
      <w:pPr>
        <w:rPr>
          <w:sz w:val="22"/>
        </w:rPr>
      </w:pPr>
    </w:p>
    <w:p w:rsidR="001B41B0" w:rsidRPr="004E6412" w:rsidRDefault="00B86C50" w:rsidP="00FA5F29">
      <w:pPr>
        <w:pStyle w:val="ListParagraph"/>
        <w:numPr>
          <w:ilvl w:val="0"/>
          <w:numId w:val="84"/>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poreza i amortiz</w:t>
      </w:r>
      <w:r w:rsidRPr="004E6412">
        <w:rPr>
          <w:rFonts w:ascii="Times New Roman" w:hAnsi="Times New Roman"/>
        </w:rPr>
        <w:t>acije (EBITDA) p</w:t>
      </w:r>
      <w:r w:rsidR="001B41B0" w:rsidRPr="004E6412">
        <w:rPr>
          <w:rFonts w:ascii="Times New Roman" w:hAnsi="Times New Roman"/>
        </w:rPr>
        <w:t>ovećale</w:t>
      </w:r>
      <w:r w:rsidRPr="004E6412">
        <w:rPr>
          <w:rFonts w:ascii="Times New Roman" w:hAnsi="Times New Roman"/>
        </w:rPr>
        <w:t xml:space="preserve"> su se u razdoblju 2010. – 2012</w:t>
      </w:r>
      <w:r w:rsidR="001B41B0" w:rsidRPr="004E6412">
        <w:rPr>
          <w:rFonts w:ascii="Times New Roman" w:hAnsi="Times New Roman"/>
        </w:rPr>
        <w:t>. Pokazatelj zaduženosti neto dug</w:t>
      </w:r>
      <w:r w:rsidRPr="004E6412">
        <w:rPr>
          <w:rFonts w:ascii="Times New Roman" w:hAnsi="Times New Roman"/>
        </w:rPr>
        <w:t>a/EBITDA se značajno smanjuje</w:t>
      </w:r>
      <w:r w:rsidR="001B41B0" w:rsidRPr="004E6412">
        <w:rPr>
          <w:rFonts w:ascii="Times New Roman" w:hAnsi="Times New Roman"/>
        </w:rPr>
        <w:t xml:space="preserve"> te je u posljednjoj godini analize negativan. To je posljedica povećanih financijskih obveza u odnosu na financijsku imovinu, što upućuje na loše upravljanje likvidnošću. Prinos na imovinu (ROA), prinos na kapital (ROE) i prinos na investicije (ROI) u promatranom</w:t>
      </w:r>
      <w:r w:rsidRPr="004E6412">
        <w:rPr>
          <w:rFonts w:ascii="Times New Roman" w:hAnsi="Times New Roman"/>
        </w:rPr>
        <w:t>e</w:t>
      </w:r>
      <w:r w:rsidR="001B41B0" w:rsidRPr="004E6412">
        <w:rPr>
          <w:rFonts w:ascii="Times New Roman" w:hAnsi="Times New Roman"/>
        </w:rPr>
        <w:t xml:space="preserve"> su razdoblju porasli i iskazuju pozitivne vrijednosti tek u 2012. Posebno se ističe vrlo visoka vrijednost prinosa na kapital od 69,52%.</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Doprinos trgovinskoj bilanci prerađivačke industrije u 2010. iznosi 1,47%, te se povećava u naredne dvije godine, da bi u 2012. bio na razini od 2,23%. Odnos uvoza i izvoza kreće se u korist izvoza, a usporedno se kreće i trgovinska bilanca djelatnosti. Udio izvoza dj</w:t>
      </w:r>
      <w:r w:rsidR="004A39BB" w:rsidRPr="004E6412">
        <w:rPr>
          <w:rFonts w:ascii="Times New Roman" w:hAnsi="Times New Roman"/>
        </w:rPr>
        <w:t xml:space="preserve">elatnosti proizvodnje metala </w:t>
      </w:r>
      <w:r w:rsidRPr="004E6412">
        <w:rPr>
          <w:rFonts w:ascii="Times New Roman" w:hAnsi="Times New Roman"/>
        </w:rPr>
        <w:t>u ukupnom</w:t>
      </w:r>
      <w:r w:rsidR="00B86C50" w:rsidRPr="004E6412">
        <w:rPr>
          <w:rFonts w:ascii="Times New Roman" w:hAnsi="Times New Roman"/>
        </w:rPr>
        <w:t>e</w:t>
      </w:r>
      <w:r w:rsidRPr="004E6412">
        <w:rPr>
          <w:rFonts w:ascii="Times New Roman" w:hAnsi="Times New Roman"/>
        </w:rPr>
        <w:t xml:space="preserve"> </w:t>
      </w:r>
      <w:r w:rsidR="004A39BB" w:rsidRPr="004E6412">
        <w:rPr>
          <w:rFonts w:ascii="Times New Roman" w:hAnsi="Times New Roman"/>
        </w:rPr>
        <w:t xml:space="preserve">se </w:t>
      </w:r>
      <w:r w:rsidRPr="004E6412">
        <w:rPr>
          <w:rFonts w:ascii="Times New Roman" w:hAnsi="Times New Roman"/>
        </w:rPr>
        <w:t>iznosu prerađivačke industrije povećava, a istovremeno raste i vrijednost izvoza po zaposlenom</w:t>
      </w:r>
      <w:r w:rsidR="00B86C50" w:rsidRPr="004E6412">
        <w:rPr>
          <w:rFonts w:ascii="Times New Roman" w:hAnsi="Times New Roman"/>
        </w:rPr>
        <w:t>e</w:t>
      </w:r>
      <w:r w:rsidRPr="004E6412">
        <w:rPr>
          <w:rFonts w:ascii="Times New Roman" w:hAnsi="Times New Roman"/>
        </w:rPr>
        <w:t>. Uvozn</w:t>
      </w:r>
      <w:r w:rsidR="00B86C50" w:rsidRPr="004E6412">
        <w:rPr>
          <w:rFonts w:ascii="Times New Roman" w:hAnsi="Times New Roman"/>
        </w:rPr>
        <w:t>a zavisnost djelatnosti opada s</w:t>
      </w:r>
      <w:r w:rsidRPr="004E6412">
        <w:rPr>
          <w:rFonts w:ascii="Times New Roman" w:hAnsi="Times New Roman"/>
        </w:rPr>
        <w:t xml:space="preserve"> 59,34 u 2010., preko 56,78 u 2011., da bi u 2012. dosegla razinu od 44,18. Na razini djelatnosti u promatranom</w:t>
      </w:r>
      <w:r w:rsidR="00B86C50" w:rsidRPr="004E6412">
        <w:rPr>
          <w:rFonts w:ascii="Times New Roman" w:hAnsi="Times New Roman"/>
        </w:rPr>
        <w:t>e</w:t>
      </w:r>
      <w:r w:rsidRPr="004E6412">
        <w:rPr>
          <w:rFonts w:ascii="Times New Roman" w:hAnsi="Times New Roman"/>
        </w:rPr>
        <w:t xml:space="preserve"> je razdoblju došlo do</w:t>
      </w:r>
      <w:r w:rsidR="004A39BB" w:rsidRPr="004E6412">
        <w:rPr>
          <w:rFonts w:ascii="Times New Roman" w:hAnsi="Times New Roman"/>
        </w:rPr>
        <w:t xml:space="preserve"> povećanja ukupnih usporednih</w:t>
      </w:r>
      <w:r w:rsidRPr="004E6412">
        <w:rPr>
          <w:rFonts w:ascii="Times New Roman" w:hAnsi="Times New Roman"/>
        </w:rPr>
        <w:t xml:space="preserve"> </w:t>
      </w:r>
      <w:r w:rsidR="004A39BB" w:rsidRPr="004E6412">
        <w:rPr>
          <w:rFonts w:ascii="Times New Roman" w:hAnsi="Times New Roman"/>
        </w:rPr>
        <w:t xml:space="preserve">prednosti. Izvoz djelatnosti </w:t>
      </w:r>
      <w:r w:rsidRPr="004E6412">
        <w:rPr>
          <w:rFonts w:ascii="Times New Roman" w:hAnsi="Times New Roman"/>
        </w:rPr>
        <w:t>u promatranom</w:t>
      </w:r>
      <w:r w:rsidR="004A39BB" w:rsidRPr="004E6412">
        <w:rPr>
          <w:rFonts w:ascii="Times New Roman" w:hAnsi="Times New Roman"/>
        </w:rPr>
        <w:t>e se</w:t>
      </w:r>
      <w:r w:rsidRPr="004E6412">
        <w:rPr>
          <w:rFonts w:ascii="Times New Roman" w:hAnsi="Times New Roman"/>
        </w:rPr>
        <w:t xml:space="preserve"> razdoblju povećao za 28,86%, dok se uvoz povećao za 17,56%. Neto izvoz djelatnosti pozitivan je u svim godinama, a iskazuje povećanje od 83,72% u odnosu na 2010.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Bruto dodana vrijednost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porasla je za zavidnih 212% (doduše, iskazuje pad u 2011. i rast u 2012.) i na razin</w:t>
      </w:r>
      <w:r w:rsidR="004A39BB" w:rsidRPr="004E6412">
        <w:rPr>
          <w:rFonts w:ascii="Times New Roman" w:hAnsi="Times New Roman"/>
        </w:rPr>
        <w:t>i je od gotovo 1,2 milijarde kuna</w:t>
      </w:r>
      <w:r w:rsidRPr="004E6412">
        <w:rPr>
          <w:rFonts w:ascii="Times New Roman" w:hAnsi="Times New Roman"/>
        </w:rPr>
        <w:t xml:space="preserve"> u 2012. Udio bruto dodane vrijednosti djelatnosti u ukupnoj bruto dodanoj vrijednosti prerađivačke industrije u 2012. iznosi 2,61%. Godišnji rast djelatnosti mjeren ukupnim prihod</w:t>
      </w:r>
      <w:r w:rsidR="004A39BB" w:rsidRPr="004E6412">
        <w:rPr>
          <w:rFonts w:ascii="Times New Roman" w:hAnsi="Times New Roman"/>
        </w:rPr>
        <w:t xml:space="preserve">om u 2011. u odnosu na 2010. </w:t>
      </w:r>
      <w:r w:rsidRPr="004E6412">
        <w:rPr>
          <w:rFonts w:ascii="Times New Roman" w:hAnsi="Times New Roman"/>
        </w:rPr>
        <w:t xml:space="preserve">iznosio </w:t>
      </w:r>
      <w:r w:rsidR="004A39BB" w:rsidRPr="004E6412">
        <w:rPr>
          <w:rFonts w:ascii="Times New Roman" w:hAnsi="Times New Roman"/>
        </w:rPr>
        <w:t xml:space="preserve">je </w:t>
      </w:r>
      <w:r w:rsidRPr="004E6412">
        <w:rPr>
          <w:rFonts w:ascii="Times New Roman" w:hAnsi="Times New Roman"/>
        </w:rPr>
        <w:t>visokih 46,39%, dok je u 2012. bio manji i iznosio je 8,93%. Proizvodnost rada u promatranom</w:t>
      </w:r>
      <w:r w:rsidR="004A39BB" w:rsidRPr="004E6412">
        <w:rPr>
          <w:rFonts w:ascii="Times New Roman" w:hAnsi="Times New Roman"/>
        </w:rPr>
        <w:t>e razdoblju raste ukupno</w:t>
      </w:r>
      <w:r w:rsidRPr="004E6412">
        <w:rPr>
          <w:rFonts w:ascii="Times New Roman" w:hAnsi="Times New Roman"/>
        </w:rPr>
        <w:t xml:space="preserve"> </w:t>
      </w:r>
      <w:r w:rsidR="00887C92" w:rsidRPr="004E6412">
        <w:rPr>
          <w:rFonts w:ascii="Times New Roman" w:hAnsi="Times New Roman"/>
        </w:rPr>
        <w:t>25,16</w:t>
      </w:r>
      <w:r w:rsidRPr="004E6412">
        <w:rPr>
          <w:rFonts w:ascii="Times New Roman" w:hAnsi="Times New Roman"/>
        </w:rPr>
        <w:t>%</w:t>
      </w:r>
      <w:r w:rsidR="00887C92" w:rsidRPr="004E6412">
        <w:rPr>
          <w:rFonts w:ascii="Times New Roman" w:hAnsi="Times New Roman"/>
        </w:rPr>
        <w:t xml:space="preserve"> što je drugo najveće povećanje među djelatnostima unutar prerađivačke industrije</w:t>
      </w:r>
      <w:r w:rsidRPr="004E6412">
        <w:rPr>
          <w:rFonts w:ascii="Times New Roman" w:hAnsi="Times New Roman"/>
        </w:rPr>
        <w:t>, a uzrok se nalazi u velikom</w:t>
      </w:r>
      <w:r w:rsidR="004A39BB" w:rsidRPr="004E6412">
        <w:rPr>
          <w:rFonts w:ascii="Times New Roman" w:hAnsi="Times New Roman"/>
        </w:rPr>
        <w:t>e</w:t>
      </w:r>
      <w:r w:rsidRPr="004E6412">
        <w:rPr>
          <w:rFonts w:ascii="Times New Roman" w:hAnsi="Times New Roman"/>
        </w:rPr>
        <w:t xml:space="preserve"> rastu </w:t>
      </w:r>
      <w:r w:rsidR="00887C92" w:rsidRPr="004E6412">
        <w:rPr>
          <w:rFonts w:ascii="Times New Roman" w:hAnsi="Times New Roman"/>
        </w:rPr>
        <w:t xml:space="preserve">ostvarene bruto dodane vrijednosti i </w:t>
      </w:r>
      <w:r w:rsidR="004823E2" w:rsidRPr="004E6412">
        <w:rPr>
          <w:rFonts w:ascii="Times New Roman" w:hAnsi="Times New Roman"/>
        </w:rPr>
        <w:t>istovremenim</w:t>
      </w:r>
      <w:r w:rsidR="00887C92" w:rsidRPr="004E6412">
        <w:rPr>
          <w:rFonts w:ascii="Times New Roman" w:hAnsi="Times New Roman"/>
        </w:rPr>
        <w:t xml:space="preserve"> smanjivanjem radne snage</w:t>
      </w:r>
      <w:r w:rsidRPr="004E6412">
        <w:rPr>
          <w:rFonts w:ascii="Times New Roman" w:hAnsi="Times New Roman"/>
        </w:rPr>
        <w:t>. Proizvodnost kapitala se u promatranom</w:t>
      </w:r>
      <w:r w:rsidR="004A39BB" w:rsidRPr="004E6412">
        <w:rPr>
          <w:rFonts w:ascii="Times New Roman" w:hAnsi="Times New Roman"/>
        </w:rPr>
        <w:t>e</w:t>
      </w:r>
      <w:r w:rsidRPr="004E6412">
        <w:rPr>
          <w:rFonts w:ascii="Times New Roman" w:hAnsi="Times New Roman"/>
        </w:rPr>
        <w:t xml:space="preserve"> razdoblju udvostru</w:t>
      </w:r>
      <w:r w:rsidR="004A39BB" w:rsidRPr="004E6412">
        <w:rPr>
          <w:rFonts w:ascii="Times New Roman" w:hAnsi="Times New Roman"/>
        </w:rPr>
        <w:t>čila, što je izazvano istovremenim</w:t>
      </w:r>
      <w:r w:rsidRPr="004E6412">
        <w:rPr>
          <w:rFonts w:ascii="Times New Roman" w:hAnsi="Times New Roman"/>
        </w:rPr>
        <w:t xml:space="preserve"> smanjenjem dugotrajne materijalne imovine i povećanjem poslovnih prihoda djelatnosti. Jedinični trošak </w:t>
      </w:r>
      <w:r w:rsidR="004A39BB" w:rsidRPr="004E6412">
        <w:rPr>
          <w:rFonts w:ascii="Times New Roman" w:hAnsi="Times New Roman"/>
        </w:rPr>
        <w:t xml:space="preserve">rada </w:t>
      </w:r>
      <w:r w:rsidR="00AD4AB0" w:rsidRPr="004E6412">
        <w:rPr>
          <w:rFonts w:ascii="Times New Roman" w:hAnsi="Times New Roman"/>
        </w:rPr>
        <w:t xml:space="preserve">znatno </w:t>
      </w:r>
      <w:r w:rsidR="004A39BB" w:rsidRPr="004E6412">
        <w:rPr>
          <w:rFonts w:ascii="Times New Roman" w:hAnsi="Times New Roman"/>
        </w:rPr>
        <w:t>je smanjen u 2012. godini</w:t>
      </w:r>
      <w:r w:rsidR="00AD4AB0" w:rsidRPr="004E6412">
        <w:rPr>
          <w:rFonts w:ascii="Times New Roman" w:hAnsi="Times New Roman"/>
        </w:rPr>
        <w:t>, u</w:t>
      </w:r>
      <w:r w:rsidRPr="004E6412">
        <w:rPr>
          <w:rFonts w:ascii="Times New Roman" w:hAnsi="Times New Roman"/>
        </w:rPr>
        <w:t>slijed povećanja ostvarene bruto dodane vrijednosti i istovremenog nastavka smanjenja troška rada. U 2</w:t>
      </w:r>
      <w:r w:rsidR="004A39BB" w:rsidRPr="004E6412">
        <w:rPr>
          <w:rFonts w:ascii="Times New Roman" w:hAnsi="Times New Roman"/>
        </w:rPr>
        <w:t>010. je iznosio visokih 1,25 kuna</w:t>
      </w:r>
      <w:r w:rsidRPr="004E6412">
        <w:rPr>
          <w:rFonts w:ascii="Times New Roman" w:hAnsi="Times New Roman"/>
        </w:rPr>
        <w:t xml:space="preserve"> zbog izuzetno male ostvarene bruto dodane vrijednosti (uslijed gubitaka prije poreza koji su umanjili BDV), da bi godinu kasnije (2011.) gubici prije poreza nadmašili </w:t>
      </w:r>
      <w:r w:rsidR="004A39BB" w:rsidRPr="004E6412">
        <w:rPr>
          <w:rFonts w:ascii="Times New Roman" w:hAnsi="Times New Roman"/>
        </w:rPr>
        <w:t>ostale sastavnice</w:t>
      </w:r>
      <w:r w:rsidRPr="004E6412">
        <w:rPr>
          <w:rFonts w:ascii="Times New Roman" w:hAnsi="Times New Roman"/>
        </w:rPr>
        <w:t xml:space="preserve"> bruto do</w:t>
      </w:r>
      <w:r w:rsidR="00AD4AB0" w:rsidRPr="004E6412">
        <w:rPr>
          <w:rFonts w:ascii="Times New Roman" w:hAnsi="Times New Roman"/>
        </w:rPr>
        <w:t xml:space="preserve">dane vrijednosti. </w:t>
      </w:r>
      <w:r w:rsidR="004A39BB" w:rsidRPr="004E6412">
        <w:rPr>
          <w:rFonts w:ascii="Times New Roman" w:hAnsi="Times New Roman"/>
        </w:rPr>
        <w:t>Godina 2012.</w:t>
      </w:r>
      <w:r w:rsidR="00794F8E" w:rsidRPr="004E6412">
        <w:rPr>
          <w:rFonts w:ascii="Times New Roman" w:hAnsi="Times New Roman"/>
        </w:rPr>
        <w:t xml:space="preserve"> obilježena </w:t>
      </w:r>
      <w:r w:rsidR="004A39BB" w:rsidRPr="004E6412">
        <w:rPr>
          <w:rFonts w:ascii="Times New Roman" w:hAnsi="Times New Roman"/>
        </w:rPr>
        <w:t xml:space="preserve">je </w:t>
      </w:r>
      <w:r w:rsidR="00794F8E" w:rsidRPr="004E6412">
        <w:rPr>
          <w:rFonts w:ascii="Times New Roman" w:hAnsi="Times New Roman"/>
        </w:rPr>
        <w:t>kao godina oporavka po kriterijima profitabilnosti i bruto dodane vrijednosti.</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Podaci o ulaganjima u istraživanje i razvoj nisu bili dostupni u trenutku izrade analize.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Primjetan je blagi rast vrijednost</w:t>
      </w:r>
      <w:r w:rsidR="004A39BB" w:rsidRPr="004E6412">
        <w:rPr>
          <w:rFonts w:ascii="Times New Roman" w:hAnsi="Times New Roman"/>
        </w:rPr>
        <w:t>i</w:t>
      </w:r>
      <w:r w:rsidRPr="004E6412">
        <w:rPr>
          <w:rFonts w:ascii="Times New Roman" w:hAnsi="Times New Roman"/>
        </w:rPr>
        <w:t xml:space="preserve"> koeficijenata tekuće, ubrzane i trenutne likvidnosti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Za ovu se djelatnost bez pogovora može reći kako ima ozbiljnijih problema s likvidnošću.</w:t>
      </w:r>
      <w:r w:rsidR="004823E2" w:rsidRPr="004E6412">
        <w:rPr>
          <w:rFonts w:ascii="Times New Roman" w:hAnsi="Times New Roman"/>
        </w:rPr>
        <w:t xml:space="preserve"> </w:t>
      </w:r>
      <w:r w:rsidRPr="004E6412">
        <w:rPr>
          <w:rFonts w:ascii="Times New Roman" w:hAnsi="Times New Roman"/>
        </w:rPr>
        <w:t>Koeficijent zaduženosti ukazuje na visoku zaduženost djelatnosti, a isto se može p</w:t>
      </w:r>
      <w:r w:rsidR="004A39BB" w:rsidRPr="004E6412">
        <w:rPr>
          <w:rFonts w:ascii="Times New Roman" w:hAnsi="Times New Roman"/>
        </w:rPr>
        <w:t>otvrditi i vrijednostima čimbenika</w:t>
      </w:r>
      <w:r w:rsidRPr="004E6412">
        <w:rPr>
          <w:rFonts w:ascii="Times New Roman" w:hAnsi="Times New Roman"/>
        </w:rPr>
        <w:t xml:space="preserve"> zaduženosti i koeficijenta </w:t>
      </w:r>
      <w:r w:rsidR="004A39BB" w:rsidRPr="004E6412">
        <w:rPr>
          <w:rFonts w:ascii="Times New Roman" w:hAnsi="Times New Roman"/>
        </w:rPr>
        <w:t xml:space="preserve">financiranja djelatnosti. Iako se može </w:t>
      </w:r>
      <w:r w:rsidRPr="004E6412">
        <w:rPr>
          <w:rFonts w:ascii="Times New Roman" w:hAnsi="Times New Roman"/>
        </w:rPr>
        <w:t>primijetiti pad zaduženost</w:t>
      </w:r>
      <w:r w:rsidR="004A39BB" w:rsidRPr="004E6412">
        <w:rPr>
          <w:rFonts w:ascii="Times New Roman" w:hAnsi="Times New Roman"/>
        </w:rPr>
        <w:t>i</w:t>
      </w:r>
      <w:r w:rsidRPr="004E6412">
        <w:rPr>
          <w:rFonts w:ascii="Times New Roman" w:hAnsi="Times New Roman"/>
        </w:rPr>
        <w:t xml:space="preserve"> u promatranom</w:t>
      </w:r>
      <w:r w:rsidR="004A39BB"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Broj zaposlenih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 godinama se kretao redom 5.447, 5.514 i 4.787, što je ukupan pad od 12,12% (660 osoba) u promatranom</w:t>
      </w:r>
      <w:r w:rsidR="004A39BB" w:rsidRPr="004E6412">
        <w:rPr>
          <w:rFonts w:ascii="Times New Roman" w:hAnsi="Times New Roman"/>
        </w:rPr>
        <w:t>e</w:t>
      </w:r>
      <w:r w:rsidRPr="004E6412">
        <w:rPr>
          <w:rFonts w:ascii="Times New Roman" w:hAnsi="Times New Roman"/>
        </w:rPr>
        <w:t xml:space="preserve"> razdoblju. U prerađivačkoj industriji udio zaposlenih je stoga u blagom</w:t>
      </w:r>
      <w:r w:rsidR="004A39BB" w:rsidRPr="004E6412">
        <w:rPr>
          <w:rFonts w:ascii="Times New Roman" w:hAnsi="Times New Roman"/>
        </w:rPr>
        <w:t>e</w:t>
      </w:r>
      <w:r w:rsidRPr="004E6412">
        <w:rPr>
          <w:rFonts w:ascii="Times New Roman" w:hAnsi="Times New Roman"/>
        </w:rPr>
        <w:t xml:space="preserve"> padu i na razini je od 2,13% u 2012. U ukupnom gospodarstvu udio zaposlenih je 0,33%. Na razini djelatnosti 87,72% svih zaposlenih ima srednju stručnu spremu ili niže obrazovanje.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vrijednosti aktive i udjelu aktive u ukupnoj djelatnosti C24 dominiraju poddjelatnosti C24.4 Proizvodnja plemenitih i ostalih obojenih metala s udjelom u ukupnoj aktivi djelatnosti od 43,20% (2012.), te poddjel</w:t>
      </w:r>
      <w:r w:rsidR="00A356AE" w:rsidRPr="004E6412">
        <w:rPr>
          <w:rFonts w:ascii="Times New Roman" w:hAnsi="Times New Roman"/>
        </w:rPr>
        <w:t>atnost C24.5 Lijevanje metala s</w:t>
      </w:r>
      <w:r w:rsidRPr="004E6412">
        <w:rPr>
          <w:rFonts w:ascii="Times New Roman" w:hAnsi="Times New Roman"/>
        </w:rPr>
        <w:t xml:space="preserve"> udjelom u ukupnoj aktivi djelatnosti od 28,76% (2012.). U svim poddjelatnostima ističe se veća vrijednost dugotrajne od kratkotrajne imovine što je očekivano s obzirom na potrebu za proizvodnom opremom i postrojenjima. U strukturi pasive ističe se višestruko veća vrijednost kratkoročnih od dugoročnih obv</w:t>
      </w:r>
      <w:r w:rsidR="00A356AE" w:rsidRPr="004E6412">
        <w:rPr>
          <w:rFonts w:ascii="Times New Roman" w:hAnsi="Times New Roman"/>
        </w:rPr>
        <w:t xml:space="preserve">eza. Upravljanje likvidnošću </w:t>
      </w:r>
      <w:r w:rsidRPr="004E6412">
        <w:rPr>
          <w:rFonts w:ascii="Times New Roman" w:hAnsi="Times New Roman"/>
        </w:rPr>
        <w:t xml:space="preserve">stoga </w:t>
      </w:r>
      <w:r w:rsidR="00A356AE" w:rsidRPr="004E6412">
        <w:rPr>
          <w:rFonts w:ascii="Times New Roman" w:hAnsi="Times New Roman"/>
        </w:rPr>
        <w:t xml:space="preserve">se </w:t>
      </w:r>
      <w:r w:rsidRPr="004E6412">
        <w:rPr>
          <w:rFonts w:ascii="Times New Roman" w:hAnsi="Times New Roman"/>
        </w:rPr>
        <w:t xml:space="preserve">stavlja u prvi plan kod ovih poddjelatnosti.  </w:t>
      </w:r>
    </w:p>
    <w:p w:rsidR="001B41B0" w:rsidRPr="004E6412" w:rsidRDefault="001B41B0" w:rsidP="001B41B0">
      <w:pPr>
        <w:rPr>
          <w:sz w:val="22"/>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Prema strukturi ostvarene dobiti i gubit</w:t>
      </w:r>
      <w:r w:rsidR="001B41B0" w:rsidRPr="004E6412">
        <w:rPr>
          <w:rFonts w:ascii="Times New Roman" w:hAnsi="Times New Roman"/>
        </w:rPr>
        <w:t>ka, najveći udio u gubicima u 2012. ostvarila je poddjelatnost C24.4 Proizvodnja plemenitih i ostalih obojenih metala, a najveći udio u dobiti ostvarila je poddjelatnost C24.2 Proizvodnja čeli</w:t>
      </w:r>
      <w:r w:rsidRPr="004E6412">
        <w:rPr>
          <w:rFonts w:ascii="Times New Roman" w:hAnsi="Times New Roman"/>
        </w:rPr>
        <w:t>čnih cijevi i pribora. Ostvarena zarada</w:t>
      </w:r>
      <w:r w:rsidR="001B41B0" w:rsidRPr="004E6412">
        <w:rPr>
          <w:rFonts w:ascii="Times New Roman" w:hAnsi="Times New Roman"/>
        </w:rPr>
        <w:t xml:space="preserve"> prije kamata</w:t>
      </w:r>
      <w:r w:rsidRPr="004E6412">
        <w:rPr>
          <w:rFonts w:ascii="Times New Roman" w:hAnsi="Times New Roman"/>
        </w:rPr>
        <w:t>, amortizacije i poreza varira</w:t>
      </w:r>
      <w:r w:rsidR="001B41B0" w:rsidRPr="004E6412">
        <w:rPr>
          <w:rFonts w:ascii="Times New Roman" w:hAnsi="Times New Roman"/>
        </w:rPr>
        <w:t xml:space="preserve"> od poddjelatnosti do poddje</w:t>
      </w:r>
      <w:r w:rsidRPr="004E6412">
        <w:rPr>
          <w:rFonts w:ascii="Times New Roman" w:hAnsi="Times New Roman"/>
        </w:rPr>
        <w:t>latnosti te se znatno mijenjaja</w:t>
      </w:r>
      <w:r w:rsidR="001B41B0" w:rsidRPr="004E6412">
        <w:rPr>
          <w:rFonts w:ascii="Times New Roman" w:hAnsi="Times New Roman"/>
        </w:rPr>
        <w:t xml:space="preserve"> iz godine u godinu. Prema kriteriju vanjskotrgovinske razmjene apsolutno dominira poddjelatnost C24.4 koja je u 2012. činila 58,10% izvoza i 69,14% uvoza cjelokupne </w:t>
      </w:r>
      <w:r w:rsidRPr="004E6412">
        <w:rPr>
          <w:rFonts w:ascii="Times New Roman" w:hAnsi="Times New Roman"/>
        </w:rPr>
        <w:t xml:space="preserve">djelatnosti, a visoke udjele </w:t>
      </w:r>
      <w:r w:rsidR="001B41B0" w:rsidRPr="004E6412">
        <w:rPr>
          <w:rFonts w:ascii="Times New Roman" w:hAnsi="Times New Roman"/>
        </w:rPr>
        <w:t>ostvarila</w:t>
      </w:r>
      <w:r w:rsidRPr="004E6412">
        <w:rPr>
          <w:rFonts w:ascii="Times New Roman" w:hAnsi="Times New Roman"/>
        </w:rPr>
        <w:t xml:space="preserve"> je</w:t>
      </w:r>
      <w:r w:rsidR="001B41B0" w:rsidRPr="004E6412">
        <w:rPr>
          <w:rFonts w:ascii="Times New Roman" w:hAnsi="Times New Roman"/>
        </w:rPr>
        <w:t xml:space="preserve"> i u protekle dvije godine. Analizom zaposlenih vidljivo je da poddjelatnost C24.5 Lijevanje metala zapošljava više od 50% radne snage cjelokupne djelatnosti u sve tri promatrane godine.</w:t>
      </w:r>
    </w:p>
    <w:p w:rsidR="001B41B0" w:rsidRPr="004E6412" w:rsidRDefault="001B41B0" w:rsidP="001B41B0">
      <w:pPr>
        <w:rPr>
          <w:sz w:val="22"/>
        </w:rPr>
      </w:pPr>
    </w:p>
    <w:p w:rsidR="001B41B0" w:rsidRPr="004E6412" w:rsidRDefault="001B41B0" w:rsidP="001B41B0">
      <w:pPr>
        <w:pStyle w:val="ListParagraph"/>
        <w:numPr>
          <w:ilvl w:val="0"/>
          <w:numId w:val="84"/>
        </w:numPr>
        <w:spacing w:after="0"/>
        <w:jc w:val="both"/>
        <w:rPr>
          <w:rFonts w:ascii="Times New Roman" w:hAnsi="Times New Roman"/>
        </w:rPr>
      </w:pPr>
      <w:r w:rsidRPr="004E6412">
        <w:rPr>
          <w:rFonts w:ascii="Times New Roman" w:hAnsi="Times New Roman"/>
          <w:bCs/>
        </w:rPr>
        <w:t>Najznačajniji proizvodi metaloprerađivačke industrije su</w:t>
      </w:r>
      <w:r w:rsidR="004823E2" w:rsidRPr="004E6412">
        <w:rPr>
          <w:rFonts w:ascii="Times New Roman" w:hAnsi="Times New Roman"/>
          <w:bCs/>
        </w:rPr>
        <w:t xml:space="preserve"> </w:t>
      </w:r>
      <w:r w:rsidRPr="004E6412">
        <w:rPr>
          <w:rFonts w:ascii="Times New Roman" w:hAnsi="Times New Roman"/>
        </w:rPr>
        <w:t>čelične cijevi, valjana i vučena žica, aluminijski proizvodi, odljevci od sivog</w:t>
      </w:r>
      <w:r w:rsidR="004F216F" w:rsidRPr="004E6412">
        <w:rPr>
          <w:rFonts w:ascii="Times New Roman" w:hAnsi="Times New Roman"/>
        </w:rPr>
        <w:t>a</w:t>
      </w:r>
      <w:r w:rsidRPr="004E6412">
        <w:rPr>
          <w:rFonts w:ascii="Times New Roman" w:hAnsi="Times New Roman"/>
        </w:rPr>
        <w:t>, nodularnog</w:t>
      </w:r>
      <w:r w:rsidR="004F216F" w:rsidRPr="004E6412">
        <w:rPr>
          <w:rFonts w:ascii="Times New Roman" w:hAnsi="Times New Roman"/>
        </w:rPr>
        <w:t>a</w:t>
      </w:r>
      <w:r w:rsidRPr="004E6412">
        <w:rPr>
          <w:rFonts w:ascii="Times New Roman" w:hAnsi="Times New Roman"/>
        </w:rPr>
        <w:t>, čeličnog</w:t>
      </w:r>
      <w:r w:rsidR="004F216F" w:rsidRPr="004E6412">
        <w:rPr>
          <w:rFonts w:ascii="Times New Roman" w:hAnsi="Times New Roman"/>
        </w:rPr>
        <w:t>a</w:t>
      </w:r>
      <w:r w:rsidRPr="004E6412">
        <w:rPr>
          <w:rFonts w:ascii="Times New Roman" w:hAnsi="Times New Roman"/>
        </w:rPr>
        <w:t>, bakrenog</w:t>
      </w:r>
      <w:r w:rsidR="004F216F" w:rsidRPr="004E6412">
        <w:rPr>
          <w:rFonts w:ascii="Times New Roman" w:hAnsi="Times New Roman"/>
        </w:rPr>
        <w:t>a</w:t>
      </w:r>
      <w:r w:rsidRPr="004E6412">
        <w:rPr>
          <w:rFonts w:ascii="Times New Roman" w:hAnsi="Times New Roman"/>
        </w:rPr>
        <w:t>, aluminijskog</w:t>
      </w:r>
      <w:r w:rsidR="004F216F" w:rsidRPr="004E6412">
        <w:rPr>
          <w:rFonts w:ascii="Times New Roman" w:hAnsi="Times New Roman"/>
        </w:rPr>
        <w:t>a</w:t>
      </w:r>
      <w:r w:rsidRPr="004E6412">
        <w:rPr>
          <w:rFonts w:ascii="Times New Roman" w:hAnsi="Times New Roman"/>
        </w:rPr>
        <w:t xml:space="preserve"> i ostalih vrsta lijevova, metalne konstrukcije, radijatori, parni kotlovi</w:t>
      </w:r>
      <w:r w:rsidR="0036608E" w:rsidRPr="004E6412">
        <w:rPr>
          <w:rFonts w:ascii="Times New Roman" w:hAnsi="Times New Roman"/>
        </w:rPr>
        <w:t xml:space="preserve"> i</w:t>
      </w:r>
      <w:r w:rsidRPr="004E6412">
        <w:rPr>
          <w:rFonts w:ascii="Times New Roman" w:hAnsi="Times New Roman"/>
        </w:rPr>
        <w:t xml:space="preserve"> alati</w:t>
      </w:r>
      <w:r w:rsidR="0036608E" w:rsidRPr="004E6412">
        <w:rPr>
          <w:rFonts w:ascii="Times New Roman" w:hAnsi="Times New Roman"/>
        </w:rPr>
        <w:t>.</w:t>
      </w:r>
    </w:p>
    <w:p w:rsidR="0036608E" w:rsidRPr="004E6412" w:rsidRDefault="0036608E" w:rsidP="0036608E">
      <w:pPr>
        <w:pStyle w:val="ListParagraph"/>
        <w:spacing w:after="0"/>
        <w:ind w:left="0"/>
        <w:jc w:val="both"/>
        <w:rPr>
          <w:rFonts w:ascii="Times New Roman" w:hAnsi="Times New Roman"/>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proizvodnje metala u Hrvatskoj prolazi kroz vrlo turbulentno razdoblje posljednjih dvadeset godina. Prvi val krize zbio se 90-ih godina dvadesetog stoljeća, dok je drugi val krize započeo krajem 2007. </w:t>
      </w:r>
      <w:r w:rsidR="004F216F" w:rsidRPr="004E6412">
        <w:rPr>
          <w:rFonts w:ascii="Times New Roman" w:hAnsi="Times New Roman"/>
        </w:rPr>
        <w:t xml:space="preserve">pod </w:t>
      </w:r>
      <w:r w:rsidRPr="004E6412">
        <w:rPr>
          <w:rFonts w:ascii="Times New Roman" w:hAnsi="Times New Roman"/>
        </w:rPr>
        <w:t>utjecajem svjetske gospodarske</w:t>
      </w:r>
      <w:r w:rsidR="004F216F" w:rsidRPr="004E6412">
        <w:rPr>
          <w:rFonts w:ascii="Times New Roman" w:hAnsi="Times New Roman"/>
        </w:rPr>
        <w:t xml:space="preserve"> krize. Djelovanjem krize velik se broj poduzeća zatvorio, a </w:t>
      </w:r>
      <w:r w:rsidRPr="004E6412">
        <w:rPr>
          <w:rFonts w:ascii="Times New Roman" w:hAnsi="Times New Roman"/>
        </w:rPr>
        <w:t xml:space="preserve">značajno </w:t>
      </w:r>
      <w:r w:rsidR="004F216F" w:rsidRPr="004E6412">
        <w:rPr>
          <w:rFonts w:ascii="Times New Roman" w:hAnsi="Times New Roman"/>
        </w:rPr>
        <w:t xml:space="preserve">je </w:t>
      </w:r>
      <w:r w:rsidRPr="004E6412">
        <w:rPr>
          <w:rFonts w:ascii="Times New Roman" w:hAnsi="Times New Roman"/>
        </w:rPr>
        <w:t xml:space="preserve">smanjen </w:t>
      </w:r>
      <w:r w:rsidR="004F216F" w:rsidRPr="004E6412">
        <w:rPr>
          <w:rFonts w:ascii="Times New Roman" w:hAnsi="Times New Roman"/>
        </w:rPr>
        <w:t xml:space="preserve">i </w:t>
      </w:r>
      <w:r w:rsidRPr="004E6412">
        <w:rPr>
          <w:rFonts w:ascii="Times New Roman" w:hAnsi="Times New Roman"/>
        </w:rPr>
        <w:t>broj radnika. Problemi splitske i sisačke žel</w:t>
      </w:r>
      <w:r w:rsidR="004F216F" w:rsidRPr="004E6412">
        <w:rPr>
          <w:rFonts w:ascii="Times New Roman" w:hAnsi="Times New Roman"/>
        </w:rPr>
        <w:t>jezare imali su negativne učinke</w:t>
      </w:r>
      <w:r w:rsidRPr="004E6412">
        <w:rPr>
          <w:rFonts w:ascii="Times New Roman" w:hAnsi="Times New Roman"/>
        </w:rPr>
        <w:t xml:space="preserve"> prelijevanja zbog kojih se velik dio njihovih partnerskih poduzeća i kooperanata zatvorio.</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Pala je i ukupna proizvodnja</w:t>
      </w:r>
      <w:r w:rsidR="004F216F" w:rsidRPr="004E6412">
        <w:rPr>
          <w:rFonts w:ascii="Times New Roman" w:hAnsi="Times New Roman"/>
        </w:rPr>
        <w:t xml:space="preserve"> pri čemu glavni uzroci</w:t>
      </w:r>
      <w:r w:rsidRPr="004E6412">
        <w:rPr>
          <w:rFonts w:ascii="Times New Roman" w:hAnsi="Times New Roman"/>
        </w:rPr>
        <w:t xml:space="preserve"> </w:t>
      </w:r>
      <w:r w:rsidR="004F216F" w:rsidRPr="004E6412">
        <w:rPr>
          <w:rFonts w:ascii="Times New Roman" w:hAnsi="Times New Roman"/>
        </w:rPr>
        <w:t xml:space="preserve">pada </w:t>
      </w:r>
      <w:r w:rsidRPr="004E6412">
        <w:rPr>
          <w:rFonts w:ascii="Times New Roman" w:hAnsi="Times New Roman"/>
        </w:rPr>
        <w:t>le</w:t>
      </w:r>
      <w:r w:rsidR="004F216F" w:rsidRPr="004E6412">
        <w:rPr>
          <w:rFonts w:ascii="Times New Roman" w:hAnsi="Times New Roman"/>
        </w:rPr>
        <w:t>že u slaboj domaćoj potražnji, i to</w:t>
      </w:r>
      <w:r w:rsidRPr="004E6412">
        <w:rPr>
          <w:rFonts w:ascii="Times New Roman" w:hAnsi="Times New Roman"/>
        </w:rPr>
        <w:t xml:space="preserve"> uslijed problema u EU i u slabijoj inozemnoj potražnji. Podaci iz 2012. ukazuju na prekid negativnog</w:t>
      </w:r>
      <w:r w:rsidR="004F216F" w:rsidRPr="004E6412">
        <w:rPr>
          <w:rFonts w:ascii="Times New Roman" w:hAnsi="Times New Roman"/>
        </w:rPr>
        <w:t>a</w:t>
      </w:r>
      <w:r w:rsidRPr="004E6412">
        <w:rPr>
          <w:rFonts w:ascii="Times New Roman" w:hAnsi="Times New Roman"/>
        </w:rPr>
        <w:t xml:space="preserve"> trenda i jačanje potražnje s tržišta EU</w:t>
      </w:r>
      <w:r w:rsidR="004F216F" w:rsidRPr="004E6412">
        <w:rPr>
          <w:rFonts w:ascii="Times New Roman" w:hAnsi="Times New Roman"/>
        </w:rPr>
        <w:t>-a</w:t>
      </w:r>
      <w:r w:rsidRPr="004E6412">
        <w:rPr>
          <w:rFonts w:ascii="Times New Roman" w:hAnsi="Times New Roman"/>
        </w:rPr>
        <w:t xml:space="preserve">. Hrvatsko pristupanje EU približilo je europska tržišta hrvatskim proizvođačima, ali i učinilo im pristupačnijom radnu snagu i potrebne sirovine.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Djelatnost je kapitalno intenzivna</w:t>
      </w:r>
      <w:r w:rsidR="004F216F" w:rsidRPr="004E6412">
        <w:rPr>
          <w:rFonts w:ascii="Times New Roman" w:hAnsi="Times New Roman"/>
        </w:rPr>
        <w:t xml:space="preserve"> te zahtijeva skupa i složena</w:t>
      </w:r>
      <w:r w:rsidRPr="004E6412">
        <w:rPr>
          <w:rFonts w:ascii="Times New Roman" w:hAnsi="Times New Roman"/>
        </w:rPr>
        <w:t xml:space="preserve"> ulaganja, kvalitetnu radnu snagu, pristup jeftinoj energiji, te blizinu izvora sirovina i krajnjih kupaca. Kretanja u djelatnosti proizvodnje metala ovise o stanju i kretanjima svjetskog gospodarstva i potražnji koju generiraju ključne partnerske industrije - strojogradnja, brodogradnja, automobilska industrija, energetika, </w:t>
      </w:r>
      <w:r w:rsidR="004F216F" w:rsidRPr="004E6412">
        <w:rPr>
          <w:rFonts w:ascii="Times New Roman" w:hAnsi="Times New Roman"/>
        </w:rPr>
        <w:t>građevinarska industrija i druge</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Budući da je hrvatsko</w:t>
      </w:r>
      <w:r w:rsidR="001B41B0" w:rsidRPr="004E6412">
        <w:rPr>
          <w:rFonts w:ascii="Times New Roman" w:hAnsi="Times New Roman"/>
        </w:rPr>
        <w:t xml:space="preserve"> tržište premalo za značajniji rast proizvodnje, poduzeća iz promatrane djelatnosti prvenstveno moraju usmjeriti svoje proizvodne kapacitete na zemlje EU</w:t>
      </w:r>
      <w:r w:rsidRPr="004E6412">
        <w:rPr>
          <w:rFonts w:ascii="Times New Roman" w:hAnsi="Times New Roman"/>
        </w:rPr>
        <w:t>-a</w:t>
      </w:r>
      <w:r w:rsidR="001B41B0" w:rsidRPr="004E6412">
        <w:rPr>
          <w:rFonts w:ascii="Times New Roman" w:hAnsi="Times New Roman"/>
        </w:rPr>
        <w:t>, što</w:t>
      </w:r>
      <w:r w:rsidRPr="004E6412">
        <w:rPr>
          <w:rFonts w:ascii="Times New Roman" w:hAnsi="Times New Roman"/>
        </w:rPr>
        <w:t xml:space="preserve"> ujedno znači i povećanje razine</w:t>
      </w:r>
      <w:r w:rsidR="001B41B0" w:rsidRPr="004E6412">
        <w:rPr>
          <w:rFonts w:ascii="Times New Roman" w:hAnsi="Times New Roman"/>
        </w:rPr>
        <w:t xml:space="preserve"> produktivnosti imovine i radne snage, kako bi se moglo parirati stranoj konkurenciji.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Tehnološka opremljen</w:t>
      </w:r>
      <w:r w:rsidR="004F216F" w:rsidRPr="004E6412">
        <w:rPr>
          <w:rFonts w:ascii="Times New Roman" w:hAnsi="Times New Roman"/>
        </w:rPr>
        <w:t>ost u djelatnosti varira. Velik</w:t>
      </w:r>
      <w:r w:rsidRPr="004E6412">
        <w:rPr>
          <w:rFonts w:ascii="Times New Roman" w:hAnsi="Times New Roman"/>
        </w:rPr>
        <w:t xml:space="preserve"> broj poduzeća primjenjuje modernu tehnologiju u proizvodnji, koja je na slič</w:t>
      </w:r>
      <w:r w:rsidR="004F216F" w:rsidRPr="004E6412">
        <w:rPr>
          <w:rFonts w:ascii="Times New Roman" w:hAnsi="Times New Roman"/>
        </w:rPr>
        <w:t>nim razinama kakve</w:t>
      </w:r>
      <w:r w:rsidRPr="004E6412">
        <w:rPr>
          <w:rFonts w:ascii="Times New Roman" w:hAnsi="Times New Roman"/>
        </w:rPr>
        <w:t xml:space="preserve"> primjenjuju i međunarodni konkurenti. Poduzeća koja zaostaju u tehnološkoj opremljenosti imaju poteškoća s pribavljanjem financijskih sredstava iz vanjskih izvora što im onemogućava podizanje razina produktivnosti.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Ključni proizvodni resursi prvenstveno se odnose na metalne rude, a otežan pristup resursima svakako je jedan od problema s kojima se suočava ova djelatnost, kao i volatilnost cijena energije što se odražava i na ostvarene poslovne rezultate poduzeća iz ove djelatnosti.</w:t>
      </w:r>
    </w:p>
    <w:p w:rsidR="001B41B0" w:rsidRPr="004E6412" w:rsidRDefault="001B41B0" w:rsidP="001B41B0">
      <w:pPr>
        <w:rPr>
          <w:sz w:val="22"/>
        </w:rPr>
      </w:pPr>
    </w:p>
    <w:p w:rsidR="001B41B0" w:rsidRPr="004E6412" w:rsidRDefault="001B41B0" w:rsidP="00FA5F29">
      <w:pPr>
        <w:pStyle w:val="ListParagraph"/>
        <w:numPr>
          <w:ilvl w:val="0"/>
          <w:numId w:val="84"/>
        </w:numPr>
        <w:rPr>
          <w:rFonts w:ascii="Times New Roman" w:hAnsi="Times New Roman"/>
          <w:sz w:val="20"/>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rPr>
        <w:t xml:space="preserve">Promatrana industrijska djelatnost, premda </w:t>
      </w:r>
      <w:r w:rsidR="004F216F" w:rsidRPr="004E6412">
        <w:rPr>
          <w:rFonts w:ascii="Times New Roman" w:hAnsi="Times New Roman"/>
        </w:rPr>
        <w:t>ovisi o uvoznim sirovinama</w:t>
      </w:r>
      <w:r w:rsidRPr="004E6412">
        <w:rPr>
          <w:rFonts w:ascii="Times New Roman" w:hAnsi="Times New Roman"/>
        </w:rPr>
        <w:t>, tradicionalno je neto izvoznica.</w:t>
      </w:r>
    </w:p>
    <w:p w:rsidR="001B41B0" w:rsidRPr="004E6412" w:rsidRDefault="001B41B0" w:rsidP="00D001B9">
      <w:pPr>
        <w:pStyle w:val="Heading3"/>
        <w:rPr>
          <w:color w:val="4F81BD"/>
          <w:sz w:val="18"/>
          <w:szCs w:val="18"/>
          <w:lang w:eastAsia="hr-HR"/>
        </w:rPr>
      </w:pPr>
      <w:bookmarkStart w:id="755" w:name="_Toc372088041"/>
      <w:bookmarkStart w:id="756" w:name="_Toc378069102"/>
      <w:r w:rsidRPr="004E6412">
        <w:rPr>
          <w:rFonts w:eastAsia="Calibri"/>
        </w:rPr>
        <w:lastRenderedPageBreak/>
        <w:t>Zaključni prikaz pokazatelja</w:t>
      </w:r>
      <w:bookmarkEnd w:id="755"/>
      <w:bookmarkEnd w:id="756"/>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57" w:name="_Toc372088161"/>
      <w:bookmarkStart w:id="758" w:name="_Toc377551096"/>
      <w:bookmarkStart w:id="759" w:name="_Toc37763528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84</w:t>
      </w:r>
      <w:r w:rsidRPr="007D0CFD">
        <w:rPr>
          <w:rStyle w:val="IntenseEmphasis"/>
          <w:b/>
          <w:bCs w:val="0"/>
          <w:iCs w:val="0"/>
          <w:color w:val="548DD4" w:themeColor="text2" w:themeTint="99"/>
          <w:sz w:val="20"/>
        </w:rPr>
        <w:t>. Kvantitativni pokazatelji (C24)</w:t>
      </w:r>
      <w:bookmarkEnd w:id="757"/>
      <w:bookmarkEnd w:id="758"/>
      <w:bookmarkEnd w:id="759"/>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103,30</w:t>
            </w:r>
          </w:p>
        </w:tc>
        <w:tc>
          <w:tcPr>
            <w:tcW w:w="968" w:type="pct"/>
            <w:shd w:val="clear" w:color="auto" w:fill="auto"/>
            <w:noWrap/>
          </w:tcPr>
          <w:p w:rsidR="001B41B0" w:rsidRPr="004E6412" w:rsidRDefault="001B41B0" w:rsidP="001B41B0">
            <w:pPr>
              <w:jc w:val="right"/>
            </w:pPr>
            <w:r w:rsidRPr="004E6412">
              <w:rPr>
                <w:sz w:val="22"/>
              </w:rPr>
              <w:t>109,70</w:t>
            </w:r>
          </w:p>
        </w:tc>
        <w:tc>
          <w:tcPr>
            <w:tcW w:w="1100" w:type="pct"/>
            <w:shd w:val="clear" w:color="auto" w:fill="auto"/>
            <w:noWrap/>
          </w:tcPr>
          <w:p w:rsidR="001B41B0" w:rsidRPr="004E6412" w:rsidRDefault="001B41B0" w:rsidP="001B41B0">
            <w:pPr>
              <w:jc w:val="right"/>
            </w:pPr>
            <w:r w:rsidRPr="004E6412">
              <w:rPr>
                <w:sz w:val="22"/>
              </w:rPr>
              <w:t>102,46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105,7</w:t>
            </w:r>
          </w:p>
        </w:tc>
        <w:tc>
          <w:tcPr>
            <w:tcW w:w="968" w:type="pct"/>
            <w:shd w:val="clear" w:color="auto" w:fill="auto"/>
            <w:noWrap/>
          </w:tcPr>
          <w:p w:rsidR="001B41B0" w:rsidRPr="004E6412" w:rsidRDefault="001B41B0" w:rsidP="001B41B0">
            <w:pPr>
              <w:jc w:val="right"/>
            </w:pPr>
            <w:r w:rsidRPr="004E6412">
              <w:rPr>
                <w:sz w:val="22"/>
              </w:rPr>
              <w:t>98,2</w:t>
            </w:r>
          </w:p>
        </w:tc>
        <w:tc>
          <w:tcPr>
            <w:tcW w:w="1100" w:type="pct"/>
            <w:shd w:val="clear" w:color="auto" w:fill="auto"/>
            <w:noWrap/>
          </w:tcPr>
          <w:p w:rsidR="001B41B0" w:rsidRPr="004E6412" w:rsidRDefault="005A57E5" w:rsidP="001B41B0">
            <w:pPr>
              <w:jc w:val="right"/>
            </w:pPr>
            <w:r w:rsidRPr="004E6412">
              <w:rPr>
                <w:sz w:val="22"/>
              </w:rPr>
              <w:t>78,1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5.447</w:t>
            </w:r>
          </w:p>
        </w:tc>
        <w:tc>
          <w:tcPr>
            <w:tcW w:w="968" w:type="pct"/>
            <w:shd w:val="clear" w:color="auto" w:fill="auto"/>
            <w:noWrap/>
          </w:tcPr>
          <w:p w:rsidR="001B41B0" w:rsidRPr="004E6412" w:rsidRDefault="001B41B0" w:rsidP="001B41B0">
            <w:pPr>
              <w:jc w:val="right"/>
            </w:pPr>
            <w:r w:rsidRPr="004E6412">
              <w:rPr>
                <w:sz w:val="22"/>
              </w:rPr>
              <w:t>5.514</w:t>
            </w:r>
          </w:p>
        </w:tc>
        <w:tc>
          <w:tcPr>
            <w:tcW w:w="1100" w:type="pct"/>
            <w:shd w:val="clear" w:color="auto" w:fill="auto"/>
            <w:noWrap/>
          </w:tcPr>
          <w:p w:rsidR="001B41B0" w:rsidRPr="004E6412" w:rsidRDefault="001B41B0" w:rsidP="001B41B0">
            <w:pPr>
              <w:jc w:val="right"/>
            </w:pPr>
            <w:r w:rsidRPr="004E6412">
              <w:rPr>
                <w:sz w:val="22"/>
              </w:rPr>
              <w:t>4.787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2.948.419.432</w:t>
            </w:r>
          </w:p>
        </w:tc>
        <w:tc>
          <w:tcPr>
            <w:tcW w:w="968" w:type="pct"/>
            <w:shd w:val="clear" w:color="auto" w:fill="auto"/>
            <w:noWrap/>
          </w:tcPr>
          <w:p w:rsidR="001B41B0" w:rsidRPr="004E6412" w:rsidRDefault="001B41B0" w:rsidP="001B41B0">
            <w:pPr>
              <w:jc w:val="right"/>
            </w:pPr>
            <w:r w:rsidRPr="004E6412">
              <w:rPr>
                <w:sz w:val="22"/>
              </w:rPr>
              <w:t>4.316.144.472</w:t>
            </w:r>
          </w:p>
        </w:tc>
        <w:tc>
          <w:tcPr>
            <w:tcW w:w="1100" w:type="pct"/>
            <w:shd w:val="clear" w:color="auto" w:fill="auto"/>
            <w:noWrap/>
          </w:tcPr>
          <w:p w:rsidR="001B41B0" w:rsidRPr="004E6412" w:rsidRDefault="001B41B0" w:rsidP="001B41B0">
            <w:pPr>
              <w:jc w:val="right"/>
            </w:pPr>
            <w:r w:rsidRPr="004E6412">
              <w:rPr>
                <w:sz w:val="22"/>
              </w:rPr>
              <w:t>4.701.749.768</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-252.042.719</w:t>
            </w:r>
          </w:p>
        </w:tc>
        <w:tc>
          <w:tcPr>
            <w:tcW w:w="968" w:type="pct"/>
            <w:shd w:val="clear" w:color="auto" w:fill="auto"/>
            <w:noWrap/>
          </w:tcPr>
          <w:p w:rsidR="001B41B0" w:rsidRPr="004E6412" w:rsidRDefault="001B41B0" w:rsidP="001B41B0">
            <w:pPr>
              <w:jc w:val="right"/>
            </w:pPr>
            <w:r w:rsidRPr="004E6412">
              <w:rPr>
                <w:sz w:val="22"/>
              </w:rPr>
              <w:t>-936.955.416</w:t>
            </w:r>
          </w:p>
        </w:tc>
        <w:tc>
          <w:tcPr>
            <w:tcW w:w="1100" w:type="pct"/>
            <w:shd w:val="clear" w:color="auto" w:fill="auto"/>
            <w:noWrap/>
          </w:tcPr>
          <w:p w:rsidR="001B41B0" w:rsidRPr="004E6412" w:rsidRDefault="001B41B0" w:rsidP="001B41B0">
            <w:pPr>
              <w:jc w:val="right"/>
            </w:pPr>
            <w:r w:rsidRPr="004E6412">
              <w:rPr>
                <w:sz w:val="22"/>
              </w:rPr>
              <w:t>684.509.493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-15,25</w:t>
            </w:r>
          </w:p>
        </w:tc>
        <w:tc>
          <w:tcPr>
            <w:tcW w:w="968" w:type="pct"/>
            <w:shd w:val="clear" w:color="auto" w:fill="auto"/>
            <w:noWrap/>
          </w:tcPr>
          <w:p w:rsidR="001B41B0" w:rsidRPr="004E6412" w:rsidRDefault="001B41B0" w:rsidP="001B41B0">
            <w:pPr>
              <w:jc w:val="right"/>
            </w:pPr>
            <w:r w:rsidRPr="004E6412">
              <w:rPr>
                <w:sz w:val="22"/>
              </w:rPr>
              <w:t>-29,16</w:t>
            </w:r>
          </w:p>
        </w:tc>
        <w:tc>
          <w:tcPr>
            <w:tcW w:w="1100" w:type="pct"/>
            <w:shd w:val="clear" w:color="auto" w:fill="auto"/>
            <w:noWrap/>
          </w:tcPr>
          <w:p w:rsidR="001B41B0" w:rsidRPr="004E6412" w:rsidRDefault="001B41B0" w:rsidP="001B41B0">
            <w:pPr>
              <w:jc w:val="right"/>
            </w:pPr>
            <w:r w:rsidRPr="004E6412">
              <w:rPr>
                <w:sz w:val="22"/>
              </w:rPr>
              <w:t>15,44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541.292</w:t>
            </w:r>
          </w:p>
        </w:tc>
        <w:tc>
          <w:tcPr>
            <w:tcW w:w="968" w:type="pct"/>
            <w:shd w:val="clear" w:color="auto" w:fill="auto"/>
            <w:noWrap/>
          </w:tcPr>
          <w:p w:rsidR="001B41B0" w:rsidRPr="004E6412" w:rsidRDefault="001B41B0" w:rsidP="001B41B0">
            <w:pPr>
              <w:jc w:val="right"/>
            </w:pPr>
            <w:r w:rsidRPr="004E6412">
              <w:rPr>
                <w:sz w:val="22"/>
              </w:rPr>
              <w:t>782.761</w:t>
            </w:r>
          </w:p>
        </w:tc>
        <w:tc>
          <w:tcPr>
            <w:tcW w:w="1100" w:type="pct"/>
            <w:shd w:val="clear" w:color="auto" w:fill="auto"/>
            <w:noWrap/>
          </w:tcPr>
          <w:p w:rsidR="001B41B0" w:rsidRPr="004E6412" w:rsidRDefault="001B41B0" w:rsidP="001B41B0">
            <w:pPr>
              <w:jc w:val="right"/>
            </w:pPr>
            <w:r w:rsidRPr="004E6412">
              <w:rPr>
                <w:sz w:val="22"/>
              </w:rPr>
              <w:t>982.191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382.328.294</w:t>
            </w:r>
          </w:p>
        </w:tc>
        <w:tc>
          <w:tcPr>
            <w:tcW w:w="968" w:type="pct"/>
            <w:shd w:val="clear" w:color="auto" w:fill="auto"/>
            <w:noWrap/>
          </w:tcPr>
          <w:p w:rsidR="001B41B0" w:rsidRPr="004E6412" w:rsidRDefault="001B41B0" w:rsidP="001B41B0">
            <w:pPr>
              <w:jc w:val="right"/>
            </w:pPr>
            <w:r w:rsidRPr="004E6412">
              <w:rPr>
                <w:sz w:val="22"/>
              </w:rPr>
              <w:t>-473.299.539</w:t>
            </w:r>
            <w:r w:rsidRPr="004E6412">
              <w:rPr>
                <w:rStyle w:val="FootnoteReference"/>
                <w:sz w:val="22"/>
              </w:rPr>
              <w:footnoteReference w:id="7"/>
            </w:r>
          </w:p>
        </w:tc>
        <w:tc>
          <w:tcPr>
            <w:tcW w:w="1100" w:type="pct"/>
            <w:shd w:val="clear" w:color="auto" w:fill="auto"/>
            <w:noWrap/>
          </w:tcPr>
          <w:p w:rsidR="001B41B0" w:rsidRPr="004E6412" w:rsidRDefault="001B41B0" w:rsidP="001B41B0">
            <w:pPr>
              <w:jc w:val="right"/>
            </w:pPr>
            <w:r w:rsidRPr="004E6412">
              <w:rPr>
                <w:sz w:val="22"/>
              </w:rPr>
              <w:t>1.193.334.794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7.224</w:t>
            </w:r>
          </w:p>
        </w:tc>
        <w:tc>
          <w:tcPr>
            <w:tcW w:w="1100" w:type="pct"/>
            <w:shd w:val="clear" w:color="auto" w:fill="auto"/>
            <w:noWrap/>
          </w:tcPr>
          <w:p w:rsidR="001B41B0" w:rsidRPr="004E6412" w:rsidRDefault="001B41B0" w:rsidP="001B41B0">
            <w:pPr>
              <w:jc w:val="right"/>
            </w:pPr>
            <w:r w:rsidRPr="004E6412">
              <w:rPr>
                <w:sz w:val="22"/>
              </w:rPr>
              <w:t>130.282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137.495</w:t>
            </w:r>
          </w:p>
        </w:tc>
        <w:tc>
          <w:tcPr>
            <w:tcW w:w="968" w:type="pct"/>
            <w:shd w:val="clear" w:color="auto" w:fill="auto"/>
            <w:noWrap/>
          </w:tcPr>
          <w:p w:rsidR="001B41B0" w:rsidRPr="004E6412" w:rsidRDefault="001B41B0" w:rsidP="001B41B0">
            <w:pPr>
              <w:jc w:val="right"/>
            </w:pPr>
            <w:r w:rsidRPr="004E6412">
              <w:rPr>
                <w:sz w:val="22"/>
              </w:rPr>
              <w:t>301.445</w:t>
            </w:r>
          </w:p>
        </w:tc>
        <w:tc>
          <w:tcPr>
            <w:tcW w:w="1100" w:type="pct"/>
            <w:shd w:val="clear" w:color="auto" w:fill="auto"/>
            <w:noWrap/>
          </w:tcPr>
          <w:p w:rsidR="001B41B0" w:rsidRPr="004E6412" w:rsidRDefault="001B41B0" w:rsidP="001B41B0">
            <w:pPr>
              <w:jc w:val="right"/>
            </w:pPr>
            <w:r w:rsidRPr="004E6412">
              <w:rPr>
                <w:sz w:val="22"/>
              </w:rPr>
              <w:t>54.263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1,206</w:t>
            </w:r>
          </w:p>
        </w:tc>
        <w:tc>
          <w:tcPr>
            <w:tcW w:w="968" w:type="pct"/>
            <w:shd w:val="clear" w:color="auto" w:fill="auto"/>
            <w:noWrap/>
          </w:tcPr>
          <w:p w:rsidR="001B41B0" w:rsidRPr="004E6412" w:rsidRDefault="001B41B0" w:rsidP="001B41B0">
            <w:pPr>
              <w:jc w:val="right"/>
            </w:pPr>
            <w:r w:rsidRPr="004E6412">
              <w:rPr>
                <w:sz w:val="22"/>
              </w:rPr>
              <w:t>1,427</w:t>
            </w:r>
          </w:p>
        </w:tc>
        <w:tc>
          <w:tcPr>
            <w:tcW w:w="1100" w:type="pct"/>
            <w:shd w:val="clear" w:color="auto" w:fill="auto"/>
            <w:noWrap/>
          </w:tcPr>
          <w:p w:rsidR="001B41B0" w:rsidRPr="004E6412" w:rsidRDefault="001B41B0" w:rsidP="001B41B0">
            <w:pPr>
              <w:jc w:val="right"/>
            </w:pPr>
            <w:r w:rsidRPr="004E6412">
              <w:rPr>
                <w:sz w:val="22"/>
              </w:rPr>
              <w:t>1,322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310.589.993</w:t>
            </w:r>
          </w:p>
        </w:tc>
        <w:tc>
          <w:tcPr>
            <w:tcW w:w="968" w:type="pct"/>
            <w:shd w:val="clear" w:color="auto" w:fill="auto"/>
            <w:noWrap/>
          </w:tcPr>
          <w:p w:rsidR="001B41B0" w:rsidRPr="004E6412" w:rsidRDefault="001B41B0" w:rsidP="001B41B0">
            <w:pPr>
              <w:jc w:val="right"/>
            </w:pPr>
            <w:r w:rsidRPr="004E6412">
              <w:rPr>
                <w:sz w:val="22"/>
              </w:rPr>
              <w:t>810.723.801</w:t>
            </w:r>
          </w:p>
        </w:tc>
        <w:tc>
          <w:tcPr>
            <w:tcW w:w="1100" w:type="pct"/>
            <w:shd w:val="clear" w:color="auto" w:fill="auto"/>
            <w:noWrap/>
          </w:tcPr>
          <w:p w:rsidR="001B41B0" w:rsidRPr="004E6412" w:rsidRDefault="001B41B0" w:rsidP="001B41B0">
            <w:pPr>
              <w:jc w:val="right"/>
            </w:pPr>
            <w:r w:rsidRPr="004E6412">
              <w:rPr>
                <w:sz w:val="22"/>
              </w:rPr>
              <w:t>570.620.322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61,67</w:t>
            </w:r>
          </w:p>
        </w:tc>
        <w:tc>
          <w:tcPr>
            <w:tcW w:w="968" w:type="pct"/>
            <w:shd w:val="clear" w:color="auto" w:fill="auto"/>
            <w:noWrap/>
          </w:tcPr>
          <w:p w:rsidR="001B41B0" w:rsidRPr="004E6412" w:rsidRDefault="001B41B0" w:rsidP="001B41B0">
            <w:pPr>
              <w:jc w:val="right"/>
            </w:pPr>
            <w:r w:rsidRPr="004E6412">
              <w:rPr>
                <w:sz w:val="22"/>
              </w:rPr>
              <w:t>62,82</w:t>
            </w:r>
          </w:p>
        </w:tc>
        <w:tc>
          <w:tcPr>
            <w:tcW w:w="1100" w:type="pct"/>
            <w:shd w:val="clear" w:color="auto" w:fill="auto"/>
            <w:noWrap/>
          </w:tcPr>
          <w:p w:rsidR="001B41B0" w:rsidRPr="004E6412" w:rsidRDefault="001B41B0" w:rsidP="001B41B0">
            <w:pPr>
              <w:jc w:val="right"/>
            </w:pPr>
            <w:r w:rsidRPr="004E6412">
              <w:rPr>
                <w:sz w:val="22"/>
              </w:rPr>
              <w:t>49,84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0,314</w:t>
            </w:r>
          </w:p>
        </w:tc>
        <w:tc>
          <w:tcPr>
            <w:tcW w:w="968" w:type="pct"/>
            <w:shd w:val="clear" w:color="auto" w:fill="auto"/>
            <w:noWrap/>
          </w:tcPr>
          <w:p w:rsidR="001B41B0" w:rsidRPr="004E6412" w:rsidRDefault="001B41B0" w:rsidP="001B41B0">
            <w:pPr>
              <w:jc w:val="right"/>
            </w:pPr>
            <w:r w:rsidRPr="004E6412">
              <w:rPr>
                <w:sz w:val="22"/>
              </w:rPr>
              <w:t>0,624</w:t>
            </w:r>
          </w:p>
        </w:tc>
        <w:tc>
          <w:tcPr>
            <w:tcW w:w="1100" w:type="pct"/>
            <w:shd w:val="clear" w:color="auto" w:fill="auto"/>
            <w:noWrap/>
          </w:tcPr>
          <w:p w:rsidR="001B41B0" w:rsidRPr="004E6412" w:rsidRDefault="001B41B0" w:rsidP="001B41B0">
            <w:pPr>
              <w:jc w:val="right"/>
            </w:pPr>
            <w:r w:rsidRPr="004E6412">
              <w:rPr>
                <w:sz w:val="22"/>
              </w:rPr>
              <w:t>0,506</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4F216F"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0,96</w:t>
            </w:r>
          </w:p>
        </w:tc>
        <w:tc>
          <w:tcPr>
            <w:tcW w:w="968" w:type="pct"/>
            <w:shd w:val="clear" w:color="auto" w:fill="auto"/>
            <w:noWrap/>
          </w:tcPr>
          <w:p w:rsidR="001B41B0" w:rsidRPr="004E6412" w:rsidRDefault="001B41B0" w:rsidP="001B41B0">
            <w:pPr>
              <w:jc w:val="right"/>
            </w:pPr>
            <w:r w:rsidRPr="004E6412">
              <w:rPr>
                <w:sz w:val="22"/>
              </w:rPr>
              <w:t>-1,02</w:t>
            </w:r>
          </w:p>
        </w:tc>
        <w:tc>
          <w:tcPr>
            <w:tcW w:w="1100" w:type="pct"/>
            <w:shd w:val="clear" w:color="auto" w:fill="auto"/>
            <w:noWrap/>
          </w:tcPr>
          <w:p w:rsidR="001B41B0" w:rsidRPr="004E6412" w:rsidRDefault="001B41B0" w:rsidP="001B41B0">
            <w:pPr>
              <w:jc w:val="right"/>
            </w:pPr>
            <w:r w:rsidRPr="004E6412">
              <w:rPr>
                <w:sz w:val="22"/>
              </w:rPr>
              <w:t>2,61</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0,907</w:t>
            </w:r>
          </w:p>
        </w:tc>
        <w:tc>
          <w:tcPr>
            <w:tcW w:w="968" w:type="pct"/>
            <w:shd w:val="clear" w:color="auto" w:fill="auto"/>
            <w:noWrap/>
          </w:tcPr>
          <w:p w:rsidR="001B41B0" w:rsidRPr="004E6412" w:rsidRDefault="001B41B0" w:rsidP="001B41B0">
            <w:pPr>
              <w:jc w:val="right"/>
            </w:pPr>
            <w:r w:rsidRPr="004E6412">
              <w:rPr>
                <w:sz w:val="22"/>
              </w:rPr>
              <w:t>0,824</w:t>
            </w:r>
          </w:p>
        </w:tc>
        <w:tc>
          <w:tcPr>
            <w:tcW w:w="1100" w:type="pct"/>
            <w:shd w:val="clear" w:color="auto" w:fill="auto"/>
            <w:noWrap/>
          </w:tcPr>
          <w:p w:rsidR="001B41B0" w:rsidRPr="004E6412" w:rsidRDefault="001B41B0" w:rsidP="001B41B0">
            <w:pPr>
              <w:jc w:val="right"/>
            </w:pPr>
            <w:r w:rsidRPr="004E6412">
              <w:rPr>
                <w:sz w:val="22"/>
              </w:rPr>
              <w:t>0,861</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70.191</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-85.836</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249.287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0,13</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-0,21</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0,47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1,25</w:t>
            </w:r>
          </w:p>
        </w:tc>
        <w:tc>
          <w:tcPr>
            <w:tcW w:w="968" w:type="pct"/>
            <w:shd w:val="clear" w:color="auto" w:fill="auto"/>
            <w:noWrap/>
          </w:tcPr>
          <w:p w:rsidR="001B41B0" w:rsidRPr="004E6412" w:rsidRDefault="001B41B0" w:rsidP="001B41B0">
            <w:pPr>
              <w:jc w:val="right"/>
            </w:pPr>
            <w:r w:rsidRPr="004E6412">
              <w:rPr>
                <w:sz w:val="22"/>
              </w:rPr>
              <w:t>-1,05</w:t>
            </w:r>
            <w:r w:rsidRPr="004E6412">
              <w:rPr>
                <w:rStyle w:val="FootnoteReference"/>
                <w:sz w:val="22"/>
              </w:rPr>
              <w:footnoteReference w:id="8"/>
            </w:r>
          </w:p>
        </w:tc>
        <w:tc>
          <w:tcPr>
            <w:tcW w:w="1100" w:type="pct"/>
            <w:shd w:val="clear" w:color="auto" w:fill="auto"/>
            <w:noWrap/>
          </w:tcPr>
          <w:p w:rsidR="001B41B0" w:rsidRPr="004E6412" w:rsidRDefault="001B41B0" w:rsidP="001B41B0">
            <w:pPr>
              <w:jc w:val="right"/>
            </w:pPr>
            <w:r w:rsidRPr="004E6412">
              <w:rPr>
                <w:sz w:val="22"/>
              </w:rPr>
              <w:t>0,36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1,00</w:t>
            </w:r>
          </w:p>
        </w:tc>
        <w:tc>
          <w:tcPr>
            <w:tcW w:w="1100" w:type="pct"/>
            <w:shd w:val="clear" w:color="auto" w:fill="auto"/>
            <w:noWrap/>
          </w:tcPr>
          <w:p w:rsidR="001B41B0" w:rsidRPr="004E6412" w:rsidRDefault="001B41B0" w:rsidP="001B41B0">
            <w:pPr>
              <w:jc w:val="right"/>
            </w:pPr>
            <w:r w:rsidRPr="004E6412">
              <w:rPr>
                <w:sz w:val="22"/>
              </w:rPr>
              <w:t>0,83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60" w:name="_Toc372088162"/>
      <w:bookmarkStart w:id="761" w:name="_Toc377551097"/>
      <w:bookmarkStart w:id="762" w:name="_Toc377635286"/>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85</w:t>
      </w:r>
      <w:r w:rsidRPr="007D0CFD">
        <w:rPr>
          <w:rStyle w:val="IntenseEmphasis"/>
          <w:b/>
          <w:bCs w:val="0"/>
          <w:iCs w:val="0"/>
          <w:color w:val="548DD4" w:themeColor="text2" w:themeTint="99"/>
          <w:sz w:val="20"/>
        </w:rPr>
        <w:t>. Kvalitativni pokazatelji (C24)</w:t>
      </w:r>
      <w:bookmarkEnd w:id="760"/>
      <w:bookmarkEnd w:id="761"/>
      <w:bookmarkEnd w:id="7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4F216F"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4F216F" w:rsidRPr="004E6412">
              <w:rPr>
                <w:sz w:val="22"/>
              </w:rPr>
              <w:t>na snaga dostupna ali neprikladna s obzirom na potrebna znanja i vještine</w:t>
            </w:r>
            <w:r w:rsidRPr="004E6412">
              <w:rPr>
                <w:sz w:val="22"/>
              </w:rPr>
              <w:t xml:space="preserve">. Očekuju se poboljšanja pristupanjem </w:t>
            </w:r>
            <w:r w:rsidR="004F216F" w:rsidRPr="004E6412">
              <w:rPr>
                <w:sz w:val="22"/>
              </w:rPr>
              <w:t xml:space="preserve">u </w:t>
            </w:r>
            <w:r w:rsidRPr="004E6412">
              <w:rPr>
                <w:sz w:val="22"/>
              </w:rPr>
              <w:t>EU.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koji se koriste u drugim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Tehnološka opremljenost u industriji varira od slabe do vrlo dobre u ovisnosti o poddjelatnosti i poduzeću.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36608E">
            <w:pPr>
              <w:spacing w:line="240" w:lineRule="auto"/>
              <w:rPr>
                <w:sz w:val="22"/>
              </w:rPr>
            </w:pPr>
            <w:r w:rsidRPr="004E6412">
              <w:rPr>
                <w:sz w:val="22"/>
              </w:rPr>
              <w:t>Na poslovne rezultate u industriji, a posebice poddjelatnosti C24.2 Proizvodnja čeličnih cijevi i pribora</w:t>
            </w:r>
            <w:r w:rsidR="004F216F" w:rsidRPr="004E6412">
              <w:rPr>
                <w:sz w:val="22"/>
              </w:rPr>
              <w:t>,</w:t>
            </w:r>
            <w:r w:rsidRPr="004E6412">
              <w:rPr>
                <w:sz w:val="22"/>
              </w:rPr>
              <w:t xml:space="preserve"> značajan utjecaj imalo je preuzimanje sisačke ž</w:t>
            </w:r>
            <w:r w:rsidR="0036608E" w:rsidRPr="004E6412">
              <w:rPr>
                <w:sz w:val="22"/>
              </w:rPr>
              <w:t>eljezare od strane poduzeća ABS</w:t>
            </w:r>
            <w:r w:rsidR="004F216F" w:rsidRPr="004E6412">
              <w:rPr>
                <w:sz w:val="22"/>
              </w:rPr>
              <w:t xml:space="preserve">. </w:t>
            </w:r>
            <w:r w:rsidRPr="004E6412">
              <w:rPr>
                <w:sz w:val="22"/>
              </w:rPr>
              <w:t>Isključivanjem rezultata poduze</w:t>
            </w:r>
            <w:r w:rsidR="004F216F" w:rsidRPr="004E6412">
              <w:rPr>
                <w:sz w:val="22"/>
              </w:rPr>
              <w:t xml:space="preserve">ća ABS Sisak d.o.o. iz analize, </w:t>
            </w:r>
            <w:r w:rsidRPr="004E6412">
              <w:rPr>
                <w:sz w:val="22"/>
              </w:rPr>
              <w:t xml:space="preserve">promatrana poddjelatnost poslovala bi s neto gubitkom.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8 poduzeća ostvaruje 80% prihoda djelatnosti. 15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Dobar potencijal</w:t>
            </w:r>
            <w:r w:rsidR="004B22E2" w:rsidRPr="004E6412">
              <w:rPr>
                <w:sz w:val="22"/>
              </w:rPr>
              <w:t xml:space="preserve"> rasta potaknut je otvaranjem europskog</w:t>
            </w:r>
            <w:r w:rsidRPr="004E6412">
              <w:rPr>
                <w:sz w:val="22"/>
              </w:rPr>
              <w:t xml:space="preserve"> tržišta. Potencijal zapošljavanja varira u ovisnosti o poddjelatnosti, no na razini ukupne industrije relativno </w:t>
            </w:r>
            <w:r w:rsidR="004B22E2" w:rsidRPr="004E6412">
              <w:rPr>
                <w:sz w:val="22"/>
              </w:rPr>
              <w:t xml:space="preserve">je </w:t>
            </w:r>
            <w:r w:rsidRPr="004E6412">
              <w:rPr>
                <w:sz w:val="22"/>
              </w:rPr>
              <w:t>slab. Dobrim poslovnim rezultatima u ovoj industriji najviše doprinosi poddjelatnost C24.5 Lijevanje metala, u kojoj je ujedno potenc</w:t>
            </w:r>
            <w:r w:rsidR="004B22E2" w:rsidRPr="004E6412">
              <w:rPr>
                <w:sz w:val="22"/>
              </w:rPr>
              <w:t>ijal rasta najizraženiji. Velik</w:t>
            </w:r>
            <w:r w:rsidRPr="004E6412">
              <w:rPr>
                <w:sz w:val="22"/>
              </w:rPr>
              <w:t xml:space="preserve"> gubitak ostvaruje se u poddjelatnosti C24.4 Proizvodnja plemenitih i ostalih obojenih metala.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szCs w:val="24"/>
        </w:rPr>
      </w:pPr>
      <w:bookmarkStart w:id="763" w:name="_Toc366409975"/>
      <w:bookmarkStart w:id="764" w:name="_Toc372088042"/>
      <w:bookmarkStart w:id="765" w:name="_Toc378069103"/>
      <w:r w:rsidRPr="004E6412">
        <w:rPr>
          <w:rFonts w:eastAsia="Calibri"/>
          <w:szCs w:val="24"/>
        </w:rPr>
        <w:lastRenderedPageBreak/>
        <w:t xml:space="preserve">C25 </w:t>
      </w:r>
      <w:r w:rsidRPr="004E6412">
        <w:rPr>
          <w:szCs w:val="24"/>
        </w:rPr>
        <w:t xml:space="preserve">Proizvodnja </w:t>
      </w:r>
      <w:r w:rsidRPr="004E6412">
        <w:rPr>
          <w:rFonts w:eastAsia="Calibri"/>
        </w:rPr>
        <w:t>gotovih metalnih proizvoda osim strojeva i opreme</w:t>
      </w:r>
      <w:bookmarkEnd w:id="743"/>
      <w:bookmarkEnd w:id="744"/>
      <w:bookmarkEnd w:id="745"/>
      <w:bookmarkEnd w:id="763"/>
      <w:bookmarkEnd w:id="764"/>
      <w:bookmarkEnd w:id="765"/>
    </w:p>
    <w:p w:rsidR="001B41B0" w:rsidRPr="004E6412" w:rsidRDefault="001B41B0" w:rsidP="001B41B0">
      <w:pPr>
        <w:rPr>
          <w:szCs w:val="24"/>
        </w:rPr>
      </w:pPr>
    </w:p>
    <w:p w:rsidR="001B41B0" w:rsidRPr="004E6412" w:rsidRDefault="001B41B0" w:rsidP="001B41B0">
      <w:pPr>
        <w:rPr>
          <w:sz w:val="22"/>
        </w:rPr>
      </w:pPr>
      <w:r w:rsidRPr="004E6412">
        <w:rPr>
          <w:sz w:val="22"/>
        </w:rPr>
        <w:t>Proizvodnja gotovih metalnih proizvoda osim strojeva i opreme (C25) uključuje proizvodnju metalnih konstrukcija (C25.1), proizvodnju metalnih cisterni, rezervoara i sličnih posuda (C25.2), proizvodnju parnih kotlova, osim kotlova za centralno grijanje toplom vodom (C25.3), proizvodnju oružja i streljiva (C25.4), kovanje, prešanje, štancanj</w:t>
      </w:r>
      <w:r w:rsidR="00CF592D" w:rsidRPr="004E6412">
        <w:rPr>
          <w:sz w:val="22"/>
        </w:rPr>
        <w:t>e i valjanje metala, metalurgiju</w:t>
      </w:r>
      <w:r w:rsidRPr="004E6412">
        <w:rPr>
          <w:sz w:val="22"/>
        </w:rPr>
        <w:t xml:space="preserve"> praha (C25.</w:t>
      </w:r>
      <w:r w:rsidR="00CF592D" w:rsidRPr="004E6412">
        <w:rPr>
          <w:sz w:val="22"/>
        </w:rPr>
        <w:t>5), obradu i prevlačenje metala, strojnu obradu</w:t>
      </w:r>
      <w:r w:rsidRPr="004E6412">
        <w:rPr>
          <w:sz w:val="22"/>
        </w:rPr>
        <w:t xml:space="preserve"> metala (C25.6), p</w:t>
      </w:r>
      <w:r w:rsidR="00CF592D" w:rsidRPr="004E6412">
        <w:rPr>
          <w:sz w:val="22"/>
        </w:rPr>
        <w:t>roizvodnju</w:t>
      </w:r>
      <w:r w:rsidRPr="004E6412">
        <w:rPr>
          <w:sz w:val="22"/>
        </w:rPr>
        <w:t xml:space="preserve"> sječiva, alata i opće željezne robe (C25.7) i proizvodnju ostalih gotovih proizvoda od metala (C25.9). </w:t>
      </w:r>
    </w:p>
    <w:p w:rsidR="001B41B0" w:rsidRPr="004E6412" w:rsidRDefault="001B41B0" w:rsidP="001B41B0">
      <w:pPr>
        <w:rPr>
          <w:sz w:val="22"/>
        </w:rPr>
      </w:pPr>
    </w:p>
    <w:p w:rsidR="001B41B0" w:rsidRPr="004E6412" w:rsidRDefault="001B41B0" w:rsidP="00D001B9">
      <w:pPr>
        <w:pStyle w:val="Heading3"/>
      </w:pPr>
      <w:bookmarkStart w:id="766" w:name="_Toc366154309"/>
      <w:bookmarkStart w:id="767" w:name="_Toc366154429"/>
      <w:bookmarkStart w:id="768" w:name="_Toc366409976"/>
      <w:bookmarkStart w:id="769" w:name="_Toc372088043"/>
      <w:bookmarkStart w:id="770" w:name="_Toc378069104"/>
      <w:r w:rsidRPr="004E6412">
        <w:t>Globalni trendovi razvoja</w:t>
      </w:r>
      <w:bookmarkEnd w:id="766"/>
      <w:bookmarkEnd w:id="767"/>
      <w:bookmarkEnd w:id="768"/>
      <w:bookmarkEnd w:id="769"/>
      <w:bookmarkEnd w:id="770"/>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Djelatnost proizvodnje gotovih metalnih p</w:t>
      </w:r>
      <w:r w:rsidR="00CF592D" w:rsidRPr="004E6412">
        <w:rPr>
          <w:rFonts w:ascii="Times New Roman" w:hAnsi="Times New Roman"/>
        </w:rPr>
        <w:t>roizvoda različitim proizvodnim procesima pretvara</w:t>
      </w:r>
      <w:r w:rsidRPr="004E6412">
        <w:rPr>
          <w:rFonts w:ascii="Times New Roman" w:hAnsi="Times New Roman"/>
        </w:rPr>
        <w:t xml:space="preserve"> metale u intermed</w:t>
      </w:r>
      <w:r w:rsidR="00CF592D" w:rsidRPr="004E6412">
        <w:rPr>
          <w:rFonts w:ascii="Times New Roman" w:hAnsi="Times New Roman"/>
        </w:rPr>
        <w:t>ijarne ili krajnje</w:t>
      </w:r>
      <w:r w:rsidRPr="004E6412">
        <w:rPr>
          <w:rFonts w:ascii="Times New Roman" w:hAnsi="Times New Roman"/>
        </w:rPr>
        <w:t xml:space="preserve"> proizvode. Takvi proizvodi najčešće se plasiraju na industrijska tržišta, od kojih su od posebne važnosti automobilska i građevinska industrija, dok se u manjem obujmu plasiraju izravno krajnjim potrošačima.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Proizvodnja gotovih metalni</w:t>
      </w:r>
      <w:r w:rsidR="00CF592D" w:rsidRPr="004E6412">
        <w:rPr>
          <w:rFonts w:ascii="Times New Roman" w:hAnsi="Times New Roman"/>
        </w:rPr>
        <w:t>h proizvoda nalazi se</w:t>
      </w:r>
      <w:r w:rsidRPr="004E6412">
        <w:rPr>
          <w:rFonts w:ascii="Times New Roman" w:hAnsi="Times New Roman"/>
        </w:rPr>
        <w:t xml:space="preserve"> između proizvođača metala i industr</w:t>
      </w:r>
      <w:r w:rsidR="00D75048" w:rsidRPr="004E6412">
        <w:rPr>
          <w:rFonts w:ascii="Times New Roman" w:hAnsi="Times New Roman"/>
        </w:rPr>
        <w:t>ijskih potrošača. Takvo mjesto</w:t>
      </w:r>
      <w:r w:rsidR="003F696B" w:rsidRPr="004E6412">
        <w:rPr>
          <w:rFonts w:ascii="Times New Roman" w:hAnsi="Times New Roman"/>
        </w:rPr>
        <w:t xml:space="preserve"> općenito</w:t>
      </w:r>
      <w:r w:rsidRPr="004E6412">
        <w:rPr>
          <w:rFonts w:ascii="Times New Roman" w:hAnsi="Times New Roman"/>
        </w:rPr>
        <w:t xml:space="preserve"> smanjuje konkurentnost p</w:t>
      </w:r>
      <w:r w:rsidR="003F696B" w:rsidRPr="004E6412">
        <w:rPr>
          <w:rFonts w:ascii="Times New Roman" w:hAnsi="Times New Roman"/>
        </w:rPr>
        <w:t>romatrane djelatnosti jer stanje i kretanje</w:t>
      </w:r>
      <w:r w:rsidRPr="004E6412">
        <w:rPr>
          <w:rFonts w:ascii="Times New Roman" w:hAnsi="Times New Roman"/>
        </w:rPr>
        <w:t xml:space="preserve"> u tim industrijs</w:t>
      </w:r>
      <w:r w:rsidR="003F696B" w:rsidRPr="004E6412">
        <w:rPr>
          <w:rFonts w:ascii="Times New Roman" w:hAnsi="Times New Roman"/>
        </w:rPr>
        <w:t>kim djelatnostima izravno utječu</w:t>
      </w:r>
      <w:r w:rsidRPr="004E6412">
        <w:rPr>
          <w:rFonts w:ascii="Times New Roman" w:hAnsi="Times New Roman"/>
        </w:rPr>
        <w:t xml:space="preserve"> kako na strukturu ponude i cijene ključnih sirovina tako i </w:t>
      </w:r>
      <w:r w:rsidR="003F696B" w:rsidRPr="004E6412">
        <w:rPr>
          <w:rFonts w:ascii="Times New Roman" w:hAnsi="Times New Roman"/>
        </w:rPr>
        <w:t>na obujam i obilježja</w:t>
      </w:r>
      <w:r w:rsidRPr="004E6412">
        <w:rPr>
          <w:rFonts w:ascii="Times New Roman" w:hAnsi="Times New Roman"/>
        </w:rPr>
        <w:t xml:space="preserve"> potražnje.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Globalna gospodarska kriza višestruko je pogodila ovu djelatnost, uzrokovavši smanjenje broja zaposlenih, pad narudžbi i smanjenje proizvodnje, povećanje cije</w:t>
      </w:r>
      <w:r w:rsidR="003F696B" w:rsidRPr="004E6412">
        <w:rPr>
          <w:rFonts w:ascii="Times New Roman" w:hAnsi="Times New Roman"/>
        </w:rPr>
        <w:t>na energije i ključnih sirovina</w:t>
      </w:r>
      <w:r w:rsidRPr="004E6412">
        <w:rPr>
          <w:rFonts w:ascii="Times New Roman" w:hAnsi="Times New Roman"/>
        </w:rPr>
        <w:t xml:space="preserve"> te probleme s likvidnošću i financiranjem iz vanjskih izvora. Budući da je predmetna djelatnost izrazito energetski intenzivna, energetska p</w:t>
      </w:r>
      <w:r w:rsidR="003F696B" w:rsidRPr="004E6412">
        <w:rPr>
          <w:rFonts w:ascii="Times New Roman" w:hAnsi="Times New Roman"/>
        </w:rPr>
        <w:t>olitika i politika cijena izravno utječu</w:t>
      </w:r>
      <w:r w:rsidRPr="004E6412">
        <w:rPr>
          <w:rFonts w:ascii="Times New Roman" w:hAnsi="Times New Roman"/>
        </w:rPr>
        <w:t xml:space="preserve"> na konkurentnost djelatnosti proizvodnje proizvoda od metala.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Zbog radne intenzivnosti industrije, upravljanje troškovima rada predstavlja značajan čimbenik konkurentske prednosti, čime su razvijene zemlje u nepovoljnijem položaju od konkurenata iz azijskih zemalja, prvenstveno Kine i Indij</w:t>
      </w:r>
      <w:r w:rsidR="003F696B" w:rsidRPr="004E6412">
        <w:rPr>
          <w:rFonts w:ascii="Times New Roman" w:hAnsi="Times New Roman"/>
        </w:rPr>
        <w:t>e, čija se proizvodnja neprestan</w:t>
      </w:r>
      <w:r w:rsidRPr="004E6412">
        <w:rPr>
          <w:rFonts w:ascii="Times New Roman" w:hAnsi="Times New Roman"/>
        </w:rPr>
        <w:t>o povećava</w:t>
      </w:r>
      <w:r w:rsidR="003F696B" w:rsidRPr="004E6412">
        <w:rPr>
          <w:rFonts w:ascii="Times New Roman" w:hAnsi="Times New Roman"/>
        </w:rPr>
        <w:t xml:space="preserve"> tijekom posljednjih godina. D</w:t>
      </w:r>
      <w:r w:rsidRPr="004E6412">
        <w:rPr>
          <w:rFonts w:ascii="Times New Roman" w:hAnsi="Times New Roman"/>
        </w:rPr>
        <w:t xml:space="preserve">jelatnost proizvodnje gotovih metalnih proizvoda </w:t>
      </w:r>
      <w:r w:rsidR="003F696B" w:rsidRPr="004E6412">
        <w:rPr>
          <w:rFonts w:ascii="Times New Roman" w:hAnsi="Times New Roman"/>
        </w:rPr>
        <w:t>ujedno se (neutemeljeno) percipira</w:t>
      </w:r>
      <w:r w:rsidRPr="004E6412">
        <w:rPr>
          <w:rFonts w:ascii="Times New Roman" w:hAnsi="Times New Roman"/>
        </w:rPr>
        <w:t xml:space="preserve"> kao djelatnost koja uključuje te</w:t>
      </w:r>
      <w:r w:rsidR="003F696B" w:rsidRPr="004E6412">
        <w:rPr>
          <w:rFonts w:ascii="Times New Roman" w:hAnsi="Times New Roman"/>
        </w:rPr>
        <w:t>žak fizički rad na neprivlačnim</w:t>
      </w:r>
      <w:r w:rsidRPr="004E6412">
        <w:rPr>
          <w:rFonts w:ascii="Times New Roman" w:hAnsi="Times New Roman"/>
        </w:rPr>
        <w:t xml:space="preserve"> lokacijama</w:t>
      </w:r>
      <w:r w:rsidR="003F696B" w:rsidRPr="004E6412">
        <w:rPr>
          <w:rFonts w:ascii="Times New Roman" w:hAnsi="Times New Roman"/>
        </w:rPr>
        <w:t>,</w:t>
      </w:r>
      <w:r w:rsidRPr="004E6412">
        <w:rPr>
          <w:rFonts w:ascii="Times New Roman" w:hAnsi="Times New Roman"/>
        </w:rPr>
        <w:t xml:space="preserve"> što otežava proces privlačenja kvalitetne radne snage.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Kako bi uspješno poslovali, proizvođači </w:t>
      </w:r>
      <w:r w:rsidR="003F696B" w:rsidRPr="004E6412">
        <w:rPr>
          <w:rFonts w:ascii="Times New Roman" w:hAnsi="Times New Roman"/>
        </w:rPr>
        <w:t xml:space="preserve">se </w:t>
      </w:r>
      <w:r w:rsidRPr="004E6412">
        <w:rPr>
          <w:rFonts w:ascii="Times New Roman" w:hAnsi="Times New Roman"/>
        </w:rPr>
        <w:t>metalnih proizvoda, s obzirom na lana</w:t>
      </w:r>
      <w:r w:rsidR="003F696B" w:rsidRPr="004E6412">
        <w:rPr>
          <w:rFonts w:ascii="Times New Roman" w:hAnsi="Times New Roman"/>
        </w:rPr>
        <w:t xml:space="preserve">c stvaranja vrijednosti sve </w:t>
      </w:r>
      <w:r w:rsidRPr="004E6412">
        <w:rPr>
          <w:rFonts w:ascii="Times New Roman" w:hAnsi="Times New Roman"/>
        </w:rPr>
        <w:t xml:space="preserve">više vertikalno povezuju. To čine ne samo kako bi kontrolirali troškove </w:t>
      </w:r>
      <w:r w:rsidRPr="004E6412">
        <w:rPr>
          <w:rFonts w:ascii="Times New Roman" w:hAnsi="Times New Roman"/>
          <w:i/>
        </w:rPr>
        <w:t>inputa</w:t>
      </w:r>
      <w:r w:rsidRPr="004E6412">
        <w:rPr>
          <w:rFonts w:ascii="Times New Roman" w:hAnsi="Times New Roman"/>
        </w:rPr>
        <w:t>, nego kako bi osigurali pristup strateškim sirovinama. Također, sa srednjoročnim očekivanjima porasta potražnje u zemljama u razvoju</w:t>
      </w:r>
      <w:r w:rsidR="003F696B" w:rsidRPr="004E6412">
        <w:rPr>
          <w:rFonts w:ascii="Times New Roman" w:hAnsi="Times New Roman"/>
        </w:rPr>
        <w:t xml:space="preserve">, primjetan je i trend premještanja proizvodnje bliže </w:t>
      </w:r>
      <w:r w:rsidRPr="004E6412">
        <w:rPr>
          <w:rFonts w:ascii="Times New Roman" w:hAnsi="Times New Roman"/>
        </w:rPr>
        <w:t xml:space="preserve">ciljanim tržištima.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Zemljopisna blizina opskrbnog lanca i </w:t>
      </w:r>
      <w:r w:rsidR="003F696B" w:rsidRPr="004E6412">
        <w:rPr>
          <w:rFonts w:ascii="Times New Roman" w:hAnsi="Times New Roman"/>
        </w:rPr>
        <w:t>povezanih industrija omogućava</w:t>
      </w:r>
      <w:r w:rsidRPr="004E6412">
        <w:rPr>
          <w:rFonts w:ascii="Times New Roman" w:hAnsi="Times New Roman"/>
        </w:rPr>
        <w:t xml:space="preserve"> metaloprerađivačkoj djelatnosti i proizvodnji metalnih proizvoda točnost, pouzdanost i fleks</w:t>
      </w:r>
      <w:r w:rsidR="003F696B" w:rsidRPr="004E6412">
        <w:rPr>
          <w:rFonts w:ascii="Times New Roman" w:hAnsi="Times New Roman"/>
        </w:rPr>
        <w:t>ibilnost. Neka od obilježja</w:t>
      </w:r>
      <w:r w:rsidRPr="004E6412">
        <w:rPr>
          <w:rFonts w:ascii="Times New Roman" w:hAnsi="Times New Roman"/>
        </w:rPr>
        <w:t xml:space="preserve"> djelatnosti proizvodnje metalnih proizvoda su</w:t>
      </w:r>
      <w:r w:rsidR="003F696B" w:rsidRPr="004E6412">
        <w:rPr>
          <w:rFonts w:ascii="Times New Roman" w:hAnsi="Times New Roman"/>
        </w:rPr>
        <w:t xml:space="preserve"> sljedeća</w:t>
      </w:r>
      <w:r w:rsidRPr="004E6412">
        <w:rPr>
          <w:rFonts w:ascii="Times New Roman" w:hAnsi="Times New Roman"/>
        </w:rPr>
        <w:t>:</w:t>
      </w:r>
      <w:r w:rsidR="003F696B" w:rsidRPr="004E6412">
        <w:rPr>
          <w:rFonts w:ascii="Times New Roman" w:hAnsi="Times New Roman"/>
        </w:rPr>
        <w:t xml:space="preserve"> visoka specijalizacija a time i</w:t>
      </w:r>
      <w:r w:rsidRPr="004E6412">
        <w:rPr>
          <w:rFonts w:ascii="Times New Roman" w:hAnsi="Times New Roman"/>
        </w:rPr>
        <w:t xml:space="preserve"> mogućnost prilagodbe promjenama, proizvodnja visok</w:t>
      </w:r>
      <w:r w:rsidR="003F696B" w:rsidRPr="004E6412">
        <w:rPr>
          <w:rFonts w:ascii="Times New Roman" w:hAnsi="Times New Roman"/>
        </w:rPr>
        <w:t>okvalitetnog proizvoda, učinkovito</w:t>
      </w:r>
      <w:r w:rsidRPr="004E6412">
        <w:rPr>
          <w:rFonts w:ascii="Times New Roman" w:hAnsi="Times New Roman"/>
        </w:rPr>
        <w:t xml:space="preserve"> korištenje </w:t>
      </w:r>
      <w:r w:rsidRPr="004E6412">
        <w:rPr>
          <w:rFonts w:ascii="Times New Roman" w:hAnsi="Times New Roman"/>
          <w:i/>
        </w:rPr>
        <w:t>inputa</w:t>
      </w:r>
      <w:r w:rsidRPr="004E6412">
        <w:rPr>
          <w:rFonts w:ascii="Times New Roman" w:hAnsi="Times New Roman"/>
        </w:rPr>
        <w:t xml:space="preserve"> i praksa visokog stupnja recikliranja, tehnološki inte</w:t>
      </w:r>
      <w:r w:rsidR="003F696B" w:rsidRPr="004E6412">
        <w:rPr>
          <w:rFonts w:ascii="Times New Roman" w:hAnsi="Times New Roman"/>
        </w:rPr>
        <w:t>nzivan pristup i strateška usmjerenost</w:t>
      </w:r>
      <w:r w:rsidRPr="004E6412">
        <w:rPr>
          <w:rFonts w:ascii="Times New Roman" w:hAnsi="Times New Roman"/>
        </w:rPr>
        <w:t xml:space="preserve"> na inovacije.</w:t>
      </w:r>
    </w:p>
    <w:p w:rsidR="001B41B0" w:rsidRPr="004E6412" w:rsidRDefault="001B41B0" w:rsidP="00D001B9">
      <w:pPr>
        <w:pStyle w:val="Heading3"/>
      </w:pPr>
      <w:bookmarkStart w:id="771" w:name="_Toc366154310"/>
      <w:bookmarkStart w:id="772" w:name="_Toc366154430"/>
      <w:bookmarkStart w:id="773" w:name="_Toc366409977"/>
      <w:bookmarkStart w:id="774" w:name="_Toc372088044"/>
      <w:bookmarkStart w:id="775" w:name="_Toc378069105"/>
      <w:r w:rsidRPr="004E6412">
        <w:lastRenderedPageBreak/>
        <w:t>Trendovi razvoja u Europskoj uniji</w:t>
      </w:r>
      <w:bookmarkEnd w:id="771"/>
      <w:bookmarkEnd w:id="772"/>
      <w:bookmarkEnd w:id="773"/>
      <w:bookmarkEnd w:id="774"/>
      <w:bookmarkEnd w:id="775"/>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Djelatnost C25 Proizvodnja gotovih metalnih proizvoda, osim str</w:t>
      </w:r>
      <w:r w:rsidR="003F696B" w:rsidRPr="004E6412">
        <w:rPr>
          <w:rFonts w:ascii="Times New Roman" w:hAnsi="Times New Roman"/>
        </w:rPr>
        <w:t>ojeva i opreme, u zemljama EU27 u 2010. je godini obuhvaćala</w:t>
      </w:r>
      <w:r w:rsidRPr="004E6412">
        <w:rPr>
          <w:rFonts w:ascii="Times New Roman" w:hAnsi="Times New Roman"/>
        </w:rPr>
        <w:t xml:space="preserve"> 388.000 poduzeća s oko 3.600.000 zaposlenika. </w:t>
      </w:r>
      <w:r w:rsidR="003F696B" w:rsidRPr="004E6412">
        <w:rPr>
          <w:rFonts w:ascii="Times New Roman" w:hAnsi="Times New Roman"/>
        </w:rPr>
        <w:t xml:space="preserve">U razdoblju </w:t>
      </w:r>
      <w:r w:rsidRPr="004E6412">
        <w:rPr>
          <w:rFonts w:ascii="Times New Roman" w:hAnsi="Times New Roman"/>
        </w:rPr>
        <w:t>2000.</w:t>
      </w:r>
      <w:r w:rsidR="003F696B" w:rsidRPr="004E6412">
        <w:rPr>
          <w:rFonts w:ascii="Times New Roman" w:hAnsi="Times New Roman"/>
        </w:rPr>
        <w:t xml:space="preserve"> – </w:t>
      </w:r>
      <w:r w:rsidRPr="004E6412">
        <w:rPr>
          <w:rFonts w:ascii="Times New Roman" w:hAnsi="Times New Roman"/>
        </w:rPr>
        <w:t>2006. broj z</w:t>
      </w:r>
      <w:r w:rsidR="003F696B" w:rsidRPr="004E6412">
        <w:rPr>
          <w:rFonts w:ascii="Times New Roman" w:hAnsi="Times New Roman"/>
        </w:rPr>
        <w:t xml:space="preserve">aposlenih u ovoj djelatnosti </w:t>
      </w:r>
      <w:r w:rsidRPr="004E6412">
        <w:rPr>
          <w:rFonts w:ascii="Times New Roman" w:hAnsi="Times New Roman"/>
        </w:rPr>
        <w:t xml:space="preserve">bio </w:t>
      </w:r>
      <w:r w:rsidR="003F696B" w:rsidRPr="004E6412">
        <w:rPr>
          <w:rFonts w:ascii="Times New Roman" w:hAnsi="Times New Roman"/>
        </w:rPr>
        <w:t>je u stalnom porastu (u iznosu od 8%, odnosno</w:t>
      </w:r>
      <w:r w:rsidRPr="004E6412">
        <w:rPr>
          <w:rFonts w:ascii="Times New Roman" w:hAnsi="Times New Roman"/>
        </w:rPr>
        <w:t xml:space="preserve"> 300.000 radnih mjesta), dok je u iduće četiri godine broj zaposlenika smanjen za 600.000</w:t>
      </w:r>
      <w:r w:rsidR="003F696B" w:rsidRPr="004E6412">
        <w:rPr>
          <w:rFonts w:ascii="Times New Roman" w:hAnsi="Times New Roman"/>
        </w:rPr>
        <w:t>,</w:t>
      </w:r>
      <w:r w:rsidRPr="004E6412">
        <w:rPr>
          <w:rFonts w:ascii="Times New Roman" w:hAnsi="Times New Roman"/>
        </w:rPr>
        <w:t xml:space="preserve"> čime je djelatnost dos</w:t>
      </w:r>
      <w:r w:rsidR="003F696B" w:rsidRPr="004E6412">
        <w:rPr>
          <w:rFonts w:ascii="Times New Roman" w:hAnsi="Times New Roman"/>
        </w:rPr>
        <w:t>egla današnju razinu</w:t>
      </w:r>
      <w:r w:rsidRPr="004E6412">
        <w:rPr>
          <w:rFonts w:ascii="Times New Roman" w:hAnsi="Times New Roman"/>
        </w:rPr>
        <w:t xml:space="preserve"> zaposlenosti. Djelatnost je generirala 149 milijardi eura dodane vrijednosti u 2010.</w:t>
      </w:r>
      <w:r w:rsidR="003F696B" w:rsidRPr="004E6412">
        <w:rPr>
          <w:rFonts w:ascii="Times New Roman" w:hAnsi="Times New Roman"/>
        </w:rPr>
        <w:t xml:space="preserve"> godini.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Unutar EU</w:t>
      </w:r>
      <w:r w:rsidR="003F696B" w:rsidRPr="004E6412">
        <w:rPr>
          <w:rFonts w:ascii="Times New Roman" w:hAnsi="Times New Roman"/>
          <w:bCs/>
        </w:rPr>
        <w:t>-a, plaćama prilagođen</w:t>
      </w:r>
      <w:r w:rsidRPr="004E6412">
        <w:rPr>
          <w:rFonts w:ascii="Times New Roman" w:hAnsi="Times New Roman"/>
          <w:bCs/>
        </w:rPr>
        <w:t xml:space="preserve"> pokazatelj produktivnosti rada </w:t>
      </w:r>
      <w:r w:rsidR="003F696B" w:rsidRPr="004E6412">
        <w:rPr>
          <w:rFonts w:ascii="Times New Roman" w:hAnsi="Times New Roman"/>
          <w:bCs/>
        </w:rPr>
        <w:t xml:space="preserve">u </w:t>
      </w:r>
      <w:r w:rsidRPr="004E6412">
        <w:rPr>
          <w:rFonts w:ascii="Times New Roman" w:hAnsi="Times New Roman"/>
          <w:bCs/>
        </w:rPr>
        <w:t>djelatnosti proizvodnje gotovih metalnih proizvoda bio je relativno nizak.</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Operativna profitabilnost mjerena bruto operativnim viškom bila je iznad prosjeka cijelog</w:t>
      </w:r>
      <w:r w:rsidR="003F696B" w:rsidRPr="004E6412">
        <w:rPr>
          <w:rFonts w:ascii="Times New Roman" w:hAnsi="Times New Roman"/>
        </w:rPr>
        <w:t xml:space="preserve">a nefinancijskoga </w:t>
      </w:r>
      <w:r w:rsidRPr="004E6412">
        <w:rPr>
          <w:rFonts w:ascii="Times New Roman" w:hAnsi="Times New Roman"/>
        </w:rPr>
        <w:t>sektora (10,1%), ali i iznad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 xml:space="preserve">Najveći udio u prihodima djelatnosti C25 imaju </w:t>
      </w:r>
      <w:r w:rsidRPr="004E6412">
        <w:rPr>
          <w:rFonts w:ascii="Times New Roman" w:hAnsi="Times New Roman"/>
          <w:bCs/>
        </w:rPr>
        <w:t>poddjelatnost Proizvodnje metalnih konstrukc</w:t>
      </w:r>
      <w:r w:rsidR="003F696B" w:rsidRPr="004E6412">
        <w:rPr>
          <w:rFonts w:ascii="Times New Roman" w:hAnsi="Times New Roman"/>
          <w:bCs/>
        </w:rPr>
        <w:t>ija i poddjelatnost Obrade i presvlačenja metala, strojne obrade</w:t>
      </w:r>
      <w:r w:rsidRPr="004E6412">
        <w:rPr>
          <w:rFonts w:ascii="Times New Roman" w:hAnsi="Times New Roman"/>
          <w:bCs/>
        </w:rPr>
        <w:t xml:space="preserve"> metala, k</w:t>
      </w:r>
      <w:r w:rsidR="003F696B" w:rsidRPr="004E6412">
        <w:rPr>
          <w:rFonts w:ascii="Times New Roman" w:hAnsi="Times New Roman"/>
          <w:bCs/>
        </w:rPr>
        <w:t>oje su zajedno pridonijele više od polovice</w:t>
      </w:r>
      <w:r w:rsidRPr="004E6412">
        <w:rPr>
          <w:rFonts w:ascii="Times New Roman" w:hAnsi="Times New Roman"/>
          <w:bCs/>
        </w:rPr>
        <w:t xml:space="preserve"> bruto dodane vrijednosti promatrane djelatnosti i zapošljavale preko polovice ukupno zaposlenih</w:t>
      </w:r>
      <w:r w:rsidRPr="004E6412">
        <w:rPr>
          <w:rFonts w:ascii="Times New Roman" w:hAnsi="Times New Roman"/>
        </w:rPr>
        <w:t xml:space="preserve">. </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Daleko najveću razinu dodane vrijednosti u djelatnosti proizvodnje go</w:t>
      </w:r>
      <w:r w:rsidR="003F696B" w:rsidRPr="004E6412">
        <w:rPr>
          <w:rFonts w:ascii="Times New Roman" w:hAnsi="Times New Roman"/>
          <w:bCs/>
        </w:rPr>
        <w:t>tovih metalnih proizvoda, 2010. godine</w:t>
      </w:r>
      <w:r w:rsidRPr="004E6412">
        <w:rPr>
          <w:rFonts w:ascii="Times New Roman" w:hAnsi="Times New Roman"/>
          <w:bCs/>
        </w:rPr>
        <w:t xml:space="preserve"> imala je Njemačka, dok je u Sloveniji navedeni sektor imao relativno na</w:t>
      </w:r>
      <w:r w:rsidR="003F696B" w:rsidRPr="004E6412">
        <w:rPr>
          <w:rFonts w:ascii="Times New Roman" w:hAnsi="Times New Roman"/>
          <w:bCs/>
        </w:rPr>
        <w:t>jveću važnost. Osim u Njemačkoj</w:t>
      </w:r>
      <w:r w:rsidRPr="004E6412">
        <w:rPr>
          <w:rFonts w:ascii="Times New Roman" w:hAnsi="Times New Roman"/>
          <w:bCs/>
        </w:rPr>
        <w:t xml:space="preserve"> visoka dodana vrijednost registrirana je i u Italiji, Francuskoj i UK. Također, Njemačka je 2010. u 7 od 8 poddjelatnosti odjeljka C25 ostvarila najveću dodanu vrijednost među članicama EU27. </w:t>
      </w:r>
    </w:p>
    <w:p w:rsidR="001B41B0" w:rsidRPr="004E6412" w:rsidRDefault="001B41B0" w:rsidP="001B41B0">
      <w:pPr>
        <w:rPr>
          <w:bCs/>
          <w:sz w:val="22"/>
        </w:rPr>
      </w:pPr>
    </w:p>
    <w:p w:rsidR="001B41B0" w:rsidRPr="004E6412" w:rsidRDefault="003F696B" w:rsidP="001B41B0">
      <w:pPr>
        <w:pStyle w:val="ListParagraph"/>
        <w:numPr>
          <w:ilvl w:val="0"/>
          <w:numId w:val="71"/>
        </w:numPr>
        <w:spacing w:after="0"/>
        <w:jc w:val="both"/>
        <w:rPr>
          <w:rFonts w:ascii="Times New Roman" w:hAnsi="Times New Roman"/>
          <w:bCs/>
        </w:rPr>
      </w:pPr>
      <w:r w:rsidRPr="004E6412">
        <w:rPr>
          <w:rFonts w:ascii="Times New Roman" w:hAnsi="Times New Roman"/>
          <w:bCs/>
        </w:rPr>
        <w:t>Za promatranu djelatnost također je značajno da je prilično rascjepkana</w:t>
      </w:r>
      <w:r w:rsidR="001B41B0" w:rsidRPr="004E6412">
        <w:rPr>
          <w:rFonts w:ascii="Times New Roman" w:hAnsi="Times New Roman"/>
          <w:bCs/>
        </w:rPr>
        <w:t xml:space="preserve"> po broju poduzeća u okviru industrije. Od 388.000 poduzeća, preko 90% čine mala poduzeća s manje o</w:t>
      </w:r>
      <w:r w:rsidR="00740C7B" w:rsidRPr="004E6412">
        <w:rPr>
          <w:rFonts w:ascii="Times New Roman" w:hAnsi="Times New Roman"/>
          <w:bCs/>
        </w:rPr>
        <w:t>d</w:t>
      </w:r>
      <w:r w:rsidR="001B41B0" w:rsidRPr="004E6412">
        <w:rPr>
          <w:rFonts w:ascii="Times New Roman" w:hAnsi="Times New Roman"/>
          <w:bCs/>
        </w:rPr>
        <w:t xml:space="preserve"> 50 zaposlenika što istovremeno predstavlja prednost i nedostatak na razini djelatnosti. Takva struktura omogućuje brze prilagodbe proizvodnog asortimana i inovacije, dok s druge strane znatno otežava pristup povoljnim vanjskim izvorima financiranja te onemogućuje postizanje znatnih troškovnih ušteda kroz volumen proizvodnje.</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bCs/>
        </w:rPr>
        <w:t>Tržište metalnih proi</w:t>
      </w:r>
      <w:r w:rsidR="00740C7B" w:rsidRPr="004E6412">
        <w:rPr>
          <w:rFonts w:ascii="Times New Roman" w:hAnsi="Times New Roman"/>
          <w:bCs/>
        </w:rPr>
        <w:t>zvoda i dalje će biti obilježeno promjenjivošću</w:t>
      </w:r>
      <w:r w:rsidRPr="004E6412">
        <w:rPr>
          <w:rFonts w:ascii="Times New Roman" w:hAnsi="Times New Roman"/>
          <w:bCs/>
        </w:rPr>
        <w:t xml:space="preserve">. Globalna </w:t>
      </w:r>
      <w:r w:rsidR="00740C7B" w:rsidRPr="004E6412">
        <w:rPr>
          <w:rFonts w:ascii="Times New Roman" w:hAnsi="Times New Roman"/>
          <w:bCs/>
        </w:rPr>
        <w:t xml:space="preserve">se potražnja mijenja, troškovi energije </w:t>
      </w:r>
      <w:r w:rsidRPr="004E6412">
        <w:rPr>
          <w:rFonts w:ascii="Times New Roman" w:hAnsi="Times New Roman"/>
          <w:bCs/>
        </w:rPr>
        <w:t xml:space="preserve">najvjerojatnije </w:t>
      </w:r>
      <w:r w:rsidR="00740C7B" w:rsidRPr="004E6412">
        <w:rPr>
          <w:rFonts w:ascii="Times New Roman" w:hAnsi="Times New Roman"/>
          <w:bCs/>
        </w:rPr>
        <w:t xml:space="preserve">će </w:t>
      </w:r>
      <w:r w:rsidRPr="004E6412">
        <w:rPr>
          <w:rFonts w:ascii="Times New Roman" w:hAnsi="Times New Roman"/>
          <w:bCs/>
        </w:rPr>
        <w:t>i dalje rast</w:t>
      </w:r>
      <w:r w:rsidR="00740C7B" w:rsidRPr="004E6412">
        <w:rPr>
          <w:rFonts w:ascii="Times New Roman" w:hAnsi="Times New Roman"/>
          <w:bCs/>
        </w:rPr>
        <w:t xml:space="preserve">i, a financijske institucije </w:t>
      </w:r>
      <w:r w:rsidRPr="004E6412">
        <w:rPr>
          <w:rFonts w:ascii="Times New Roman" w:hAnsi="Times New Roman"/>
          <w:bCs/>
        </w:rPr>
        <w:t xml:space="preserve">sve </w:t>
      </w:r>
      <w:r w:rsidR="00740C7B" w:rsidRPr="004E6412">
        <w:rPr>
          <w:rFonts w:ascii="Times New Roman" w:hAnsi="Times New Roman"/>
          <w:bCs/>
        </w:rPr>
        <w:t xml:space="preserve">su </w:t>
      </w:r>
      <w:r w:rsidRPr="004E6412">
        <w:rPr>
          <w:rFonts w:ascii="Times New Roman" w:hAnsi="Times New Roman"/>
          <w:bCs/>
        </w:rPr>
        <w:t>više povezane s tržištem robe. Stoga tvrtkama više nije dovoljno povezati se za skupu metalnu sirovinu. One se također moraju osigurati od drugih rizika i silaznih trendova. Iako je trend u metalopre</w:t>
      </w:r>
      <w:r w:rsidR="00740C7B" w:rsidRPr="004E6412">
        <w:rPr>
          <w:rFonts w:ascii="Times New Roman" w:hAnsi="Times New Roman"/>
          <w:bCs/>
        </w:rPr>
        <w:t>rađivačkoj djelatnosti približavanje krajnjim</w:t>
      </w:r>
      <w:r w:rsidRPr="004E6412">
        <w:rPr>
          <w:rFonts w:ascii="Times New Roman" w:hAnsi="Times New Roman"/>
          <w:bCs/>
        </w:rPr>
        <w:t xml:space="preserve"> kupcima, proizvodna diversifikacija i diversifikacija u nove tržišne se</w:t>
      </w:r>
      <w:r w:rsidR="00740C7B" w:rsidRPr="004E6412">
        <w:rPr>
          <w:rFonts w:ascii="Times New Roman" w:hAnsi="Times New Roman"/>
          <w:bCs/>
        </w:rPr>
        <w:t>gmente, tvrtke ostaju usmjerene</w:t>
      </w:r>
      <w:r w:rsidRPr="004E6412">
        <w:rPr>
          <w:rFonts w:ascii="Times New Roman" w:hAnsi="Times New Roman"/>
          <w:bCs/>
        </w:rPr>
        <w:t xml:space="preserve"> n</w:t>
      </w:r>
      <w:r w:rsidR="00740C7B" w:rsidRPr="004E6412">
        <w:rPr>
          <w:rFonts w:ascii="Times New Roman" w:hAnsi="Times New Roman"/>
          <w:bCs/>
        </w:rPr>
        <w:t>a kontrolu troškova i učinkovitost</w:t>
      </w:r>
      <w:r w:rsidRPr="004E6412">
        <w:rPr>
          <w:rFonts w:ascii="Times New Roman" w:hAnsi="Times New Roman"/>
          <w:bCs/>
        </w:rPr>
        <w:t xml:space="preserve"> u proizvodnji.</w:t>
      </w:r>
    </w:p>
    <w:p w:rsidR="001B41B0" w:rsidRPr="004E6412" w:rsidRDefault="001B41B0" w:rsidP="001B41B0"/>
    <w:p w:rsidR="001B41B0" w:rsidRPr="004E6412" w:rsidRDefault="001B41B0" w:rsidP="00D001B9">
      <w:pPr>
        <w:pStyle w:val="Heading3"/>
      </w:pPr>
      <w:bookmarkStart w:id="776" w:name="_Toc366154311"/>
      <w:bookmarkStart w:id="777" w:name="_Toc366154431"/>
      <w:bookmarkStart w:id="778" w:name="_Toc366409978"/>
      <w:bookmarkStart w:id="779" w:name="_Toc372088045"/>
      <w:bookmarkStart w:id="780" w:name="_Toc378069106"/>
      <w:r w:rsidRPr="004E6412">
        <w:t>Stanje i perspektive razvoja u Republici Hrvatskoj</w:t>
      </w:r>
      <w:bookmarkEnd w:id="776"/>
      <w:bookmarkEnd w:id="777"/>
      <w:bookmarkEnd w:id="778"/>
      <w:bookmarkEnd w:id="779"/>
      <w:bookmarkEnd w:id="780"/>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Prema dostupnim podacima, u razdoblju 2010.</w:t>
      </w:r>
      <w:r w:rsidR="00740C7B" w:rsidRPr="004E6412">
        <w:rPr>
          <w:rFonts w:ascii="Times New Roman" w:hAnsi="Times New Roman"/>
        </w:rPr>
        <w:t xml:space="preserve"> – </w:t>
      </w:r>
      <w:r w:rsidRPr="004E6412">
        <w:rPr>
          <w:rFonts w:ascii="Times New Roman" w:hAnsi="Times New Roman"/>
        </w:rPr>
        <w:t>2012</w:t>
      </w:r>
      <w:r w:rsidR="00740C7B" w:rsidRPr="004E6412">
        <w:rPr>
          <w:rFonts w:ascii="Times New Roman" w:hAnsi="Times New Roman"/>
        </w:rPr>
        <w:t>. broj zaposlenika se</w:t>
      </w:r>
      <w:r w:rsidRPr="004E6412">
        <w:rPr>
          <w:rFonts w:ascii="Times New Roman" w:hAnsi="Times New Roman"/>
        </w:rPr>
        <w:t xml:space="preserve"> u djelatnosti proizvo</w:t>
      </w:r>
      <w:r w:rsidR="00740C7B" w:rsidRPr="004E6412">
        <w:rPr>
          <w:rFonts w:ascii="Times New Roman" w:hAnsi="Times New Roman"/>
        </w:rPr>
        <w:t>dnje gotovih metalnih proizvoda stalno</w:t>
      </w:r>
      <w:r w:rsidRPr="004E6412">
        <w:rPr>
          <w:rFonts w:ascii="Times New Roman" w:hAnsi="Times New Roman"/>
        </w:rPr>
        <w:t xml:space="preserve"> povećavao te je iznosio 5,94%. Istovremeno, broj poduzeća u toj </w:t>
      </w:r>
      <w:r w:rsidR="00740C7B" w:rsidRPr="004E6412">
        <w:rPr>
          <w:rFonts w:ascii="Times New Roman" w:hAnsi="Times New Roman"/>
        </w:rPr>
        <w:t>se djelatnosti smanjio za 2,31%. S obzirom na</w:t>
      </w:r>
      <w:r w:rsidRPr="004E6412">
        <w:rPr>
          <w:rFonts w:ascii="Times New Roman" w:hAnsi="Times New Roman"/>
        </w:rPr>
        <w:t xml:space="preserve"> prosječan broj radnika po poduzeću, može se zaključiti da je u navedenim godinama došlo do dodatnog zapošljavanja radne snage u ovoj djelatnosti. Najveći udio zaposlenih u 2012. radi u poddjelatnosti C25.1. Proizvodnja metalnih konstrukcija, oko 49%. Prema kriteriju vlasništva kapitala, većinom se </w:t>
      </w:r>
      <w:r w:rsidRPr="004E6412">
        <w:rPr>
          <w:rFonts w:ascii="Times New Roman" w:hAnsi="Times New Roman"/>
        </w:rPr>
        <w:lastRenderedPageBreak/>
        <w:t>radi o kapitalu domaćeg</w:t>
      </w:r>
      <w:r w:rsidR="00740C7B" w:rsidRPr="004E6412">
        <w:rPr>
          <w:rFonts w:ascii="Times New Roman" w:hAnsi="Times New Roman"/>
        </w:rPr>
        <w:t>a porijekla</w:t>
      </w:r>
      <w:r w:rsidRPr="004E6412">
        <w:rPr>
          <w:rFonts w:ascii="Times New Roman" w:hAnsi="Times New Roman"/>
        </w:rPr>
        <w:t xml:space="preserve">, </w:t>
      </w:r>
      <w:r w:rsidR="00740C7B" w:rsidRPr="004E6412">
        <w:rPr>
          <w:rFonts w:ascii="Times New Roman" w:hAnsi="Times New Roman"/>
        </w:rPr>
        <w:t xml:space="preserve">pri čemu se </w:t>
      </w:r>
      <w:r w:rsidRPr="004E6412">
        <w:rPr>
          <w:rFonts w:ascii="Times New Roman" w:hAnsi="Times New Roman"/>
        </w:rPr>
        <w:t>čak 50</w:t>
      </w:r>
      <w:r w:rsidR="00740C7B" w:rsidRPr="004E6412">
        <w:rPr>
          <w:rFonts w:ascii="Times New Roman" w:hAnsi="Times New Roman"/>
        </w:rPr>
        <w:t>,72% promatranih 100 poduzeća</w:t>
      </w:r>
      <w:r w:rsidRPr="004E6412">
        <w:rPr>
          <w:rFonts w:ascii="Times New Roman" w:hAnsi="Times New Roman"/>
        </w:rPr>
        <w:t xml:space="preserve"> nalazi u domaćem vlasništvu.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 razdoblju 2010.</w:t>
      </w:r>
      <w:r w:rsidR="00740C7B" w:rsidRPr="004E6412">
        <w:rPr>
          <w:rFonts w:ascii="Times New Roman" w:hAnsi="Times New Roman"/>
        </w:rPr>
        <w:t xml:space="preserve"> – </w:t>
      </w:r>
      <w:r w:rsidRPr="004E6412">
        <w:rPr>
          <w:rFonts w:ascii="Times New Roman" w:hAnsi="Times New Roman"/>
        </w:rPr>
        <w:t xml:space="preserve">2012. vrijednost ukupne aktive (pasive) je rasla, što je posljedica rasta svih glavnih kategorija bilance. Omjer kratkotrajne imovine i kratkoročnih obveza iznosio je približno 52:48 u sve tri promatrane godine. Uzrok tome je visoka vrijednost potraživanja koja su u 2012. činila 49,68% ukupne kratkotrajne imovine. Također, tome pomaže i visoka vrijednost zaliha (32% u ukupnoj kratkotrajnoj imovini), koje u promatranom razdoblju pokazuju trend rasta (16% </w:t>
      </w:r>
      <w:r w:rsidR="00740C7B" w:rsidRPr="004E6412">
        <w:rPr>
          <w:rFonts w:ascii="Times New Roman" w:hAnsi="Times New Roman"/>
        </w:rPr>
        <w:t xml:space="preserve">u razdoblju </w:t>
      </w:r>
      <w:r w:rsidRPr="004E6412">
        <w:rPr>
          <w:rFonts w:ascii="Times New Roman" w:hAnsi="Times New Roman"/>
        </w:rPr>
        <w:t>2010.</w:t>
      </w:r>
      <w:r w:rsidR="00740C7B" w:rsidRPr="004E6412">
        <w:rPr>
          <w:rFonts w:ascii="Times New Roman" w:hAnsi="Times New Roman"/>
        </w:rPr>
        <w:t xml:space="preserve"> – </w:t>
      </w:r>
      <w:r w:rsidRPr="004E6412">
        <w:rPr>
          <w:rFonts w:ascii="Times New Roman" w:hAnsi="Times New Roman"/>
        </w:rPr>
        <w:t>2012.). U pasivi, kapital i rezerve u promatranom</w:t>
      </w:r>
      <w:r w:rsidR="00740C7B" w:rsidRPr="004E6412">
        <w:rPr>
          <w:rFonts w:ascii="Times New Roman" w:hAnsi="Times New Roman"/>
        </w:rPr>
        <w:t>e</w:t>
      </w:r>
      <w:r w:rsidRPr="004E6412">
        <w:rPr>
          <w:rFonts w:ascii="Times New Roman" w:hAnsi="Times New Roman"/>
        </w:rPr>
        <w:t xml:space="preserve"> razdoblju imaju rast od 12,62%. Tome je najvećim dijelom pridonio porast dobiti razdoblja, koji u pr</w:t>
      </w:r>
      <w:r w:rsidR="00740C7B" w:rsidRPr="004E6412">
        <w:rPr>
          <w:rFonts w:ascii="Times New Roman" w:hAnsi="Times New Roman"/>
        </w:rPr>
        <w:t>omatrane tri godine neprestan</w:t>
      </w:r>
      <w:r w:rsidRPr="004E6412">
        <w:rPr>
          <w:rFonts w:ascii="Times New Roman" w:hAnsi="Times New Roman"/>
        </w:rPr>
        <w:t xml:space="preserve">o raste. Kratkoročne obveze kroz sve tri godine sudjeluju u ukupnoj pasivi s većim udjelom od dugoročnih, no njihov </w:t>
      </w:r>
      <w:r w:rsidR="00740C7B" w:rsidRPr="004E6412">
        <w:rPr>
          <w:rFonts w:ascii="Times New Roman" w:hAnsi="Times New Roman"/>
        </w:rPr>
        <w:t xml:space="preserve">se udio smanjuje </w:t>
      </w:r>
      <w:r w:rsidRPr="004E6412">
        <w:rPr>
          <w:rFonts w:ascii="Times New Roman" w:hAnsi="Times New Roman"/>
        </w:rPr>
        <w:t xml:space="preserve">dok udio dugoročnih blago raste. U financiranju aktivnosti, poduzeća ove djelatnosti u 2012. </w:t>
      </w:r>
      <w:r w:rsidR="00740C7B" w:rsidRPr="004E6412">
        <w:rPr>
          <w:rFonts w:ascii="Times New Roman" w:hAnsi="Times New Roman"/>
        </w:rPr>
        <w:t>godini najviše koriste tuđa sredstva, odnosno</w:t>
      </w:r>
      <w:r w:rsidRPr="004E6412">
        <w:rPr>
          <w:rFonts w:ascii="Times New Roman" w:hAnsi="Times New Roman"/>
        </w:rPr>
        <w:t xml:space="preserve"> čak 64,43% pasive dolazi iz dugoročnih i kratkoročnih obveza.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Poslovni prihodi su u razdoblju 2010.</w:t>
      </w:r>
      <w:r w:rsidR="00740C7B" w:rsidRPr="004E6412">
        <w:rPr>
          <w:rFonts w:ascii="Times New Roman" w:hAnsi="Times New Roman"/>
        </w:rPr>
        <w:t xml:space="preserve"> – </w:t>
      </w:r>
      <w:r w:rsidRPr="004E6412">
        <w:rPr>
          <w:rFonts w:ascii="Times New Roman" w:hAnsi="Times New Roman"/>
        </w:rPr>
        <w:t>2012. porasli za 14,78%, dok su financijski rashodi imali nešto manji porast od 10,54%. Kroz promatrano razdoblje, djelat</w:t>
      </w:r>
      <w:r w:rsidR="00740C7B" w:rsidRPr="004E6412">
        <w:rPr>
          <w:rFonts w:ascii="Times New Roman" w:hAnsi="Times New Roman"/>
        </w:rPr>
        <w:t>nost stalno</w:t>
      </w:r>
      <w:r w:rsidRPr="004E6412">
        <w:rPr>
          <w:rFonts w:ascii="Times New Roman" w:hAnsi="Times New Roman"/>
        </w:rPr>
        <w:t xml:space="preserve"> ima </w:t>
      </w:r>
      <w:r w:rsidR="00AD29C5" w:rsidRPr="004E6412">
        <w:rPr>
          <w:rFonts w:ascii="Times New Roman" w:hAnsi="Times New Roman"/>
        </w:rPr>
        <w:t>veću dobit od gubitka</w:t>
      </w:r>
      <w:r w:rsidRPr="004E6412">
        <w:rPr>
          <w:rFonts w:ascii="Times New Roman" w:hAnsi="Times New Roman"/>
        </w:rPr>
        <w:t xml:space="preserve"> te se njihova razlika povećava</w:t>
      </w:r>
      <w:r w:rsidR="00AD29C5" w:rsidRPr="004E6412">
        <w:rPr>
          <w:rFonts w:ascii="Times New Roman" w:hAnsi="Times New Roman"/>
        </w:rPr>
        <w:t>,</w:t>
      </w:r>
      <w:r w:rsidRPr="004E6412">
        <w:rPr>
          <w:rFonts w:ascii="Times New Roman" w:hAnsi="Times New Roman"/>
        </w:rPr>
        <w:t xml:space="preserve"> što ukazuje na povećanj</w:t>
      </w:r>
      <w:r w:rsidR="00AD29C5" w:rsidRPr="004E6412">
        <w:rPr>
          <w:rFonts w:ascii="Times New Roman" w:hAnsi="Times New Roman"/>
        </w:rPr>
        <w:t>e profitabilnosti poslovanja</w:t>
      </w:r>
      <w:r w:rsidRPr="004E6412">
        <w:rPr>
          <w:rFonts w:ascii="Times New Roman" w:hAnsi="Times New Roman"/>
        </w:rPr>
        <w:t xml:space="preserve"> djelatnosti.</w:t>
      </w:r>
    </w:p>
    <w:p w:rsidR="001B41B0" w:rsidRPr="004E6412" w:rsidRDefault="001B41B0" w:rsidP="001B41B0">
      <w:pPr>
        <w:rPr>
          <w:sz w:val="22"/>
        </w:rPr>
      </w:pPr>
    </w:p>
    <w:p w:rsidR="001B41B0" w:rsidRPr="004E6412" w:rsidRDefault="00AD29C5" w:rsidP="001B41B0">
      <w:pPr>
        <w:pStyle w:val="ListParagraph"/>
        <w:numPr>
          <w:ilvl w:val="0"/>
          <w:numId w:val="72"/>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w:t>
      </w:r>
      <w:r w:rsidRPr="004E6412">
        <w:rPr>
          <w:rFonts w:ascii="Times New Roman" w:hAnsi="Times New Roman"/>
        </w:rPr>
        <w:t xml:space="preserve">reza i amortizacije (EBITDA) </w:t>
      </w:r>
      <w:r w:rsidR="001B41B0" w:rsidRPr="004E6412">
        <w:rPr>
          <w:rFonts w:ascii="Times New Roman" w:hAnsi="Times New Roman"/>
        </w:rPr>
        <w:t>se</w:t>
      </w:r>
      <w:r w:rsidRPr="004E6412">
        <w:rPr>
          <w:rFonts w:ascii="Times New Roman" w:hAnsi="Times New Roman"/>
        </w:rPr>
        <w:t xml:space="preserve"> u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pove</w:t>
      </w:r>
      <w:r w:rsidRPr="004E6412">
        <w:rPr>
          <w:rFonts w:ascii="Times New Roman" w:hAnsi="Times New Roman"/>
        </w:rPr>
        <w:t>ćala</w:t>
      </w:r>
      <w:r w:rsidR="001B41B0" w:rsidRPr="004E6412">
        <w:rPr>
          <w:rFonts w:ascii="Times New Roman" w:hAnsi="Times New Roman"/>
        </w:rPr>
        <w:t xml:space="preserve"> za visokih 57,46%. Sukladno tome, operativna marža profita pokazuje sličnu dinamiku, te je u 2012. iznosila 7,02%. Pokazatelj zaduženosti neto dug</w:t>
      </w:r>
      <w:r w:rsidRPr="004E6412">
        <w:rPr>
          <w:rFonts w:ascii="Times New Roman" w:hAnsi="Times New Roman"/>
        </w:rPr>
        <w:t>a/EBITDA</w:t>
      </w:r>
      <w:r w:rsidR="001B41B0" w:rsidRPr="004E6412">
        <w:rPr>
          <w:rFonts w:ascii="Times New Roman" w:hAnsi="Times New Roman"/>
        </w:rPr>
        <w:t xml:space="preserve"> smanjuje</w:t>
      </w:r>
      <w:r w:rsidRPr="004E6412">
        <w:rPr>
          <w:rFonts w:ascii="Times New Roman" w:hAnsi="Times New Roman"/>
        </w:rPr>
        <w:t xml:space="preserve"> se</w:t>
      </w:r>
      <w:r w:rsidR="001B41B0" w:rsidRPr="004E6412">
        <w:rPr>
          <w:rFonts w:ascii="Times New Roman" w:hAnsi="Times New Roman"/>
        </w:rPr>
        <w:t xml:space="preserve">, ali je u svim godinama negativan. To je posljedica većih financijskih obveza u odnosu na financijsku imovinu, što upućuje na loše upravljanje likvidnošću. ROA, ROE i ROI u sve tri godine iskazuju pozitivne vrijednosti na </w:t>
      </w:r>
      <w:r w:rsidRPr="004E6412">
        <w:rPr>
          <w:rFonts w:ascii="Times New Roman" w:hAnsi="Times New Roman"/>
        </w:rPr>
        <w:t>razini djelatnosti uz stalan</w:t>
      </w:r>
      <w:r w:rsidR="001B41B0" w:rsidRPr="004E6412">
        <w:rPr>
          <w:rFonts w:ascii="Times New Roman" w:hAnsi="Times New Roman"/>
        </w:rPr>
        <w:t xml:space="preserve"> rast koji odražava rast prihoda u promatranom</w:t>
      </w:r>
      <w:r w:rsidRPr="004E6412">
        <w:rPr>
          <w:rFonts w:ascii="Times New Roman" w:hAnsi="Times New Roman"/>
        </w:rPr>
        <w:t>e</w:t>
      </w:r>
      <w:r w:rsidR="001B41B0" w:rsidRPr="004E6412">
        <w:rPr>
          <w:rFonts w:ascii="Times New Roman" w:hAnsi="Times New Roman"/>
        </w:rPr>
        <w:t xml:space="preserve"> trogodišnjem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Doprinos trgovinskoj bilanci prerađivačke industrije u 2010. iznosi 7,81%, u 2011. pada na 7,69%, da bi u 2012. porastao na 10,79%. Odnos izvoza i uvoza je pozitivan u sve tri promatrane godine, što je vidljivo i iz pokazatelja trgovinske bilance djelatnosti koja kroz godine raste 67% (neto izvoz djelatnosti je pozitivan). Udio izvoza u ukupnim prihodima djelatnosti tijekom godina raste, te u 2012. čini 42%. Ukupni izvoz djelatnosti u promatranom</w:t>
      </w:r>
      <w:r w:rsidR="00AD29C5" w:rsidRPr="004E6412">
        <w:rPr>
          <w:rFonts w:ascii="Times New Roman" w:hAnsi="Times New Roman"/>
        </w:rPr>
        <w:t>e razdoblju</w:t>
      </w:r>
      <w:r w:rsidRPr="004E6412">
        <w:rPr>
          <w:rFonts w:ascii="Times New Roman" w:hAnsi="Times New Roman"/>
        </w:rPr>
        <w:t xml:space="preserve"> 2010.</w:t>
      </w:r>
      <w:r w:rsidR="00AD29C5" w:rsidRPr="004E6412">
        <w:rPr>
          <w:rFonts w:ascii="Times New Roman" w:hAnsi="Times New Roman"/>
        </w:rPr>
        <w:t xml:space="preserve"> – </w:t>
      </w:r>
      <w:r w:rsidRPr="004E6412">
        <w:rPr>
          <w:rFonts w:ascii="Times New Roman" w:hAnsi="Times New Roman"/>
        </w:rPr>
        <w:t>2012</w:t>
      </w:r>
      <w:r w:rsidR="00AD29C5" w:rsidRPr="004E6412">
        <w:rPr>
          <w:rFonts w:ascii="Times New Roman" w:hAnsi="Times New Roman"/>
        </w:rPr>
        <w:t>.</w:t>
      </w:r>
      <w:r w:rsidRPr="004E6412">
        <w:rPr>
          <w:rFonts w:ascii="Times New Roman" w:hAnsi="Times New Roman"/>
        </w:rPr>
        <w:t xml:space="preserve"> porastao je za 41,80%, dok se istovremeno uvoz povećao za 19,43%. Bruto dodana vrijednost djelatnosti u promatranom</w:t>
      </w:r>
      <w:r w:rsidR="00AD29C5" w:rsidRPr="004E6412">
        <w:rPr>
          <w:rFonts w:ascii="Times New Roman" w:hAnsi="Times New Roman"/>
        </w:rPr>
        <w:t>e</w:t>
      </w:r>
      <w:r w:rsidRPr="004E6412">
        <w:rPr>
          <w:rFonts w:ascii="Times New Roman" w:hAnsi="Times New Roman"/>
        </w:rPr>
        <w:t xml:space="preserve"> razdoblju iskazala je rast od 21,19%. Udio bruto dodane vrijednosti djelatnosti u ukupnoj bruto dodanoj vrijednosti prerađivačke industrije </w:t>
      </w:r>
      <w:r w:rsidR="00AD29C5" w:rsidRPr="004E6412">
        <w:rPr>
          <w:rFonts w:ascii="Times New Roman" w:hAnsi="Times New Roman"/>
        </w:rPr>
        <w:t xml:space="preserve">u </w:t>
      </w:r>
      <w:r w:rsidRPr="004E6412">
        <w:rPr>
          <w:rFonts w:ascii="Times New Roman" w:hAnsi="Times New Roman"/>
        </w:rPr>
        <w:t xml:space="preserve">2012. iznosi 8,98%. Državne potpore i subvencije ne predstavljaju značajan udio u ukupnim prihodima djelatnosti. Proizvodnost rada u promatranom razdoblju raste (rast od </w:t>
      </w:r>
      <w:r w:rsidR="00794F8E" w:rsidRPr="004E6412">
        <w:rPr>
          <w:rFonts w:ascii="Times New Roman" w:hAnsi="Times New Roman"/>
        </w:rPr>
        <w:t>15,53</w:t>
      </w:r>
      <w:r w:rsidRPr="004E6412">
        <w:rPr>
          <w:rFonts w:ascii="Times New Roman" w:hAnsi="Times New Roman"/>
        </w:rPr>
        <w:t>%), a smanjuje se j</w:t>
      </w:r>
      <w:r w:rsidR="00AD29C5" w:rsidRPr="004E6412">
        <w:rPr>
          <w:rFonts w:ascii="Times New Roman" w:hAnsi="Times New Roman"/>
        </w:rPr>
        <w:t xml:space="preserve">edinični trošak rada na 0,57 kuna. Proizvodnost kapitala </w:t>
      </w:r>
      <w:r w:rsidRPr="004E6412">
        <w:rPr>
          <w:rFonts w:ascii="Times New Roman" w:hAnsi="Times New Roman"/>
        </w:rPr>
        <w:t>u promatranom</w:t>
      </w:r>
      <w:r w:rsidR="00AD29C5" w:rsidRPr="004E6412">
        <w:rPr>
          <w:rFonts w:ascii="Times New Roman" w:hAnsi="Times New Roman"/>
        </w:rPr>
        <w:t>e se</w:t>
      </w:r>
      <w:r w:rsidRPr="004E6412">
        <w:rPr>
          <w:rFonts w:ascii="Times New Roman" w:hAnsi="Times New Roman"/>
        </w:rPr>
        <w:t xml:space="preserve"> razdoblju povećala</w:t>
      </w:r>
      <w:r w:rsidR="00794F8E" w:rsidRPr="004E6412">
        <w:rPr>
          <w:rFonts w:ascii="Times New Roman" w:hAnsi="Times New Roman"/>
        </w:rPr>
        <w:t xml:space="preserve"> za 9,17%</w:t>
      </w:r>
      <w:r w:rsidRPr="004E6412">
        <w:rPr>
          <w:rFonts w:ascii="Times New Roman" w:hAnsi="Times New Roman"/>
        </w:rPr>
        <w:t xml:space="preserve">, što je izazvano većim rastom </w:t>
      </w:r>
      <w:r w:rsidR="00794F8E" w:rsidRPr="004E6412">
        <w:rPr>
          <w:rFonts w:ascii="Times New Roman" w:hAnsi="Times New Roman"/>
        </w:rPr>
        <w:t xml:space="preserve">bruto dodane vrijednosti </w:t>
      </w:r>
      <w:r w:rsidRPr="004E6412">
        <w:rPr>
          <w:rFonts w:ascii="Times New Roman" w:hAnsi="Times New Roman"/>
        </w:rPr>
        <w:t xml:space="preserve">od rasta </w:t>
      </w:r>
      <w:r w:rsidR="00794F8E" w:rsidRPr="004E6412">
        <w:rPr>
          <w:rFonts w:ascii="Times New Roman" w:hAnsi="Times New Roman"/>
        </w:rPr>
        <w:t xml:space="preserve">vrijednosti </w:t>
      </w:r>
      <w:r w:rsidRPr="004E6412">
        <w:rPr>
          <w:rFonts w:ascii="Times New Roman" w:hAnsi="Times New Roman"/>
        </w:rPr>
        <w:t>dugotrajne materijalne imovine.</w:t>
      </w:r>
      <w:r w:rsidR="00AD29C5" w:rsidRPr="004E6412">
        <w:rPr>
          <w:rFonts w:ascii="Times New Roman" w:hAnsi="Times New Roman"/>
        </w:rPr>
        <w:t xml:space="preserve"> Opremljenost rada kapitalom </w:t>
      </w:r>
      <w:r w:rsidRPr="004E6412">
        <w:rPr>
          <w:rFonts w:ascii="Times New Roman" w:hAnsi="Times New Roman"/>
        </w:rPr>
        <w:t xml:space="preserve">povećala </w:t>
      </w:r>
      <w:r w:rsidR="00AD29C5" w:rsidRPr="004E6412">
        <w:rPr>
          <w:rFonts w:ascii="Times New Roman" w:hAnsi="Times New Roman"/>
        </w:rPr>
        <w:t xml:space="preserve">se </w:t>
      </w:r>
      <w:r w:rsidRPr="004E6412">
        <w:rPr>
          <w:rFonts w:ascii="Times New Roman" w:hAnsi="Times New Roman"/>
        </w:rPr>
        <w:t>u trogodišnjem razdoblju, što je rezultat većeg rasta fiksne imovine od rasta broja zaposlenih u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Udio ulaganja u istraživanje i razvoj promatrane djelatnosti u ukupnim ulaganjima u istraživanje razvoj cjelokupne prera</w:t>
      </w:r>
      <w:r w:rsidR="00AD29C5" w:rsidRPr="004E6412">
        <w:rPr>
          <w:rFonts w:ascii="Times New Roman" w:hAnsi="Times New Roman"/>
        </w:rPr>
        <w:t>đivačke industrije iznosi 1,29%, pri čemu se</w:t>
      </w:r>
      <w:r w:rsidRPr="004E6412">
        <w:rPr>
          <w:rFonts w:ascii="Times New Roman" w:hAnsi="Times New Roman"/>
        </w:rPr>
        <w:t xml:space="preserve"> u apsolutnom </w:t>
      </w:r>
      <w:r w:rsidR="00AD29C5" w:rsidRPr="004E6412">
        <w:rPr>
          <w:rFonts w:ascii="Times New Roman" w:hAnsi="Times New Roman"/>
        </w:rPr>
        <w:lastRenderedPageBreak/>
        <w:t>iznosu radi o 5,2 milijuna kuna</w:t>
      </w:r>
      <w:r w:rsidRPr="004E6412">
        <w:rPr>
          <w:rFonts w:ascii="Times New Roman" w:hAnsi="Times New Roman"/>
        </w:rPr>
        <w:t xml:space="preserve">. Odnos ulaganja u istraživanje i razvoj i bruto dodane vrijednosti prerađivačke industrije čini zanemarivih 0,01%.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Primjetan je pad vrijednosti koeficijenata tekuće i ubrzane likvidnosti, dok se trenutna likvidnost djelatnosti povećala u promatranom</w:t>
      </w:r>
      <w:r w:rsidR="00AD29C5" w:rsidRPr="004E6412">
        <w:rPr>
          <w:rFonts w:ascii="Times New Roman" w:hAnsi="Times New Roman"/>
        </w:rPr>
        <w:t>e</w:t>
      </w:r>
      <w:r w:rsidRPr="004E6412">
        <w:rPr>
          <w:rFonts w:ascii="Times New Roman" w:hAnsi="Times New Roman"/>
        </w:rPr>
        <w:t xml:space="preserve"> razdoblju. Smanjenje likvidnosti može ukazivati na poteškoće u upravljanju kratkotrajnom imovinom i kratkoročnim obvezama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Koeficijent zaduženosti ukazuje na umjerenu zaduženost djelatnosti, uz minimalno smanjenje zaduženosti u promatranom</w:t>
      </w:r>
      <w:r w:rsidR="00AD29C5" w:rsidRPr="004E6412">
        <w:rPr>
          <w:rFonts w:ascii="Times New Roman" w:hAnsi="Times New Roman"/>
        </w:rPr>
        <w:t>e razdoblju. Čimbenik</w:t>
      </w:r>
      <w:r w:rsidRPr="004E6412">
        <w:rPr>
          <w:rFonts w:ascii="Times New Roman" w:hAnsi="Times New Roman"/>
        </w:rPr>
        <w:t xml:space="preserve"> zaduženosti raste, dok koeficijent financiranja djelatnosti pada u promatranom razdoblju. Primjetan je blagi rast omjera dugoročnih obveza i dugotrajne imovine, što znači da se opterećenje dugotrajne imovine dugoročnim obvezama povećalo u promatranom</w:t>
      </w:r>
      <w:r w:rsidR="00AD29C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 xml:space="preserve">Broj zaposlenih u promatranoj </w:t>
      </w:r>
      <w:r w:rsidR="00AD29C5" w:rsidRPr="004E6412">
        <w:rPr>
          <w:rFonts w:ascii="Times New Roman" w:hAnsi="Times New Roman"/>
        </w:rPr>
        <w:t xml:space="preserve">se djelatnosti </w:t>
      </w:r>
      <w:r w:rsidRPr="004E6412">
        <w:rPr>
          <w:rFonts w:ascii="Times New Roman" w:hAnsi="Times New Roman"/>
        </w:rPr>
        <w:t>u razdoblju 2010.</w:t>
      </w:r>
      <w:r w:rsidR="00AD29C5" w:rsidRPr="004E6412">
        <w:rPr>
          <w:rFonts w:ascii="Times New Roman" w:hAnsi="Times New Roman"/>
        </w:rPr>
        <w:t xml:space="preserve"> – </w:t>
      </w:r>
      <w:r w:rsidRPr="004E6412">
        <w:rPr>
          <w:rFonts w:ascii="Times New Roman" w:hAnsi="Times New Roman"/>
        </w:rPr>
        <w:t>2012. povećao za 4,89%. U prerađivačko</w:t>
      </w:r>
      <w:r w:rsidR="00AD29C5" w:rsidRPr="004E6412">
        <w:rPr>
          <w:rFonts w:ascii="Times New Roman" w:hAnsi="Times New Roman"/>
        </w:rPr>
        <w:t xml:space="preserve">j industriji udio zaposlenih </w:t>
      </w:r>
      <w:r w:rsidRPr="004E6412">
        <w:rPr>
          <w:rFonts w:ascii="Times New Roman" w:hAnsi="Times New Roman"/>
        </w:rPr>
        <w:t xml:space="preserve">stoga </w:t>
      </w:r>
      <w:r w:rsidR="00AD29C5" w:rsidRPr="004E6412">
        <w:rPr>
          <w:rFonts w:ascii="Times New Roman" w:hAnsi="Times New Roman"/>
        </w:rPr>
        <w:t>je u porastu i u iznosu od značajnih</w:t>
      </w:r>
      <w:r w:rsidRPr="004E6412">
        <w:rPr>
          <w:rFonts w:ascii="Times New Roman" w:hAnsi="Times New Roman"/>
        </w:rPr>
        <w:t xml:space="preserve"> 12,01% u 2012. U ukupnom </w:t>
      </w:r>
      <w:r w:rsidR="00AD29C5" w:rsidRPr="004E6412">
        <w:rPr>
          <w:rFonts w:ascii="Times New Roman" w:hAnsi="Times New Roman"/>
        </w:rPr>
        <w:t xml:space="preserve">je gospodarstvu udio zaposlenih </w:t>
      </w:r>
      <w:r w:rsidRPr="004E6412">
        <w:rPr>
          <w:rFonts w:ascii="Times New Roman" w:hAnsi="Times New Roman"/>
        </w:rPr>
        <w:t>1,86%. Na razini djelatnosti u istom</w:t>
      </w:r>
      <w:r w:rsidR="00AD29C5" w:rsidRPr="004E6412">
        <w:rPr>
          <w:rFonts w:ascii="Times New Roman" w:hAnsi="Times New Roman"/>
        </w:rPr>
        <w:t>e</w:t>
      </w:r>
      <w:r w:rsidRPr="004E6412">
        <w:rPr>
          <w:rFonts w:ascii="Times New Roman" w:hAnsi="Times New Roman"/>
        </w:rPr>
        <w:t xml:space="preserve"> razdoblju dolazi do rasta neto plaća od 7,58%, dok su u prosjeku bruto plaće porasle za 5,38%. Promatrana se djelatnost proizvodnje gotovih </w:t>
      </w:r>
      <w:r w:rsidR="00AD29C5" w:rsidRPr="004E6412">
        <w:rPr>
          <w:rFonts w:ascii="Times New Roman" w:hAnsi="Times New Roman"/>
        </w:rPr>
        <w:t xml:space="preserve">metalnih proizvoda pokazuje </w:t>
      </w:r>
      <w:r w:rsidRPr="004E6412">
        <w:rPr>
          <w:rFonts w:ascii="Times New Roman" w:hAnsi="Times New Roman"/>
        </w:rPr>
        <w:t>izuzetno značajnom za oblikovanje strategije razvoja prerađivačke industrije. Na razini djelatnosti</w:t>
      </w:r>
      <w:r w:rsidR="00AD29C5" w:rsidRPr="004E6412">
        <w:rPr>
          <w:rFonts w:ascii="Times New Roman" w:hAnsi="Times New Roman"/>
        </w:rPr>
        <w:t>,</w:t>
      </w:r>
      <w:r w:rsidRPr="004E6412">
        <w:rPr>
          <w:rFonts w:ascii="Times New Roman" w:hAnsi="Times New Roman"/>
        </w:rPr>
        <w:t xml:space="preserve"> 89,97% svih zaposlenih ima srednju stručnu spremu ili niže obrazovanje.</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Daleko najveći udio u ukupnoj aktivi (pasivi) djelatnosti čini poddjelatnost C25.1 Proizvodnja metalnih konstrukcija s udjelom od 4</w:t>
      </w:r>
      <w:r w:rsidR="00AD29C5" w:rsidRPr="004E6412">
        <w:rPr>
          <w:rFonts w:ascii="Times New Roman" w:hAnsi="Times New Roman"/>
        </w:rPr>
        <w:t>2,13% (2012.). Obilježje</w:t>
      </w:r>
      <w:r w:rsidRPr="004E6412">
        <w:rPr>
          <w:rFonts w:ascii="Times New Roman" w:hAnsi="Times New Roman"/>
        </w:rPr>
        <w:t xml:space="preserve"> poddjelatnosti, unutar ove djelatnosti, je mala razlika između kratkotrajne i dugotrajne imovine u svim promatranim godinama. No, u strukturi pasive zamjetna je dvostruka ili veća vrijednost kratkoročnih od dugoročnih obveza</w:t>
      </w:r>
      <w:r w:rsidR="00AD29C5" w:rsidRPr="004E6412">
        <w:rPr>
          <w:rFonts w:ascii="Times New Roman" w:hAnsi="Times New Roman"/>
        </w:rPr>
        <w:t>,</w:t>
      </w:r>
      <w:r w:rsidRPr="004E6412">
        <w:rPr>
          <w:rFonts w:ascii="Times New Roman" w:hAnsi="Times New Roman"/>
        </w:rPr>
        <w:t xml:space="preserve"> i to u svim promatranim godinama kod svih poddjelatnosti. Treć</w:t>
      </w:r>
      <w:r w:rsidR="00AD29C5" w:rsidRPr="004E6412">
        <w:rPr>
          <w:rFonts w:ascii="Times New Roman" w:hAnsi="Times New Roman"/>
        </w:rPr>
        <w:t>e obilježje</w:t>
      </w:r>
      <w:r w:rsidRPr="004E6412">
        <w:rPr>
          <w:rFonts w:ascii="Times New Roman" w:hAnsi="Times New Roman"/>
        </w:rPr>
        <w:t xml:space="preserve"> ovih poddjelatnosti je niska razina likvidnosti, o</w:t>
      </w:r>
      <w:r w:rsidR="00AD29C5" w:rsidRPr="004E6412">
        <w:rPr>
          <w:rFonts w:ascii="Times New Roman" w:hAnsi="Times New Roman"/>
        </w:rPr>
        <w:t>dnosno pokrića tekućih obveza s</w:t>
      </w:r>
      <w:r w:rsidRPr="004E6412">
        <w:rPr>
          <w:rFonts w:ascii="Times New Roman" w:hAnsi="Times New Roman"/>
        </w:rPr>
        <w:t xml:space="preserve"> likvidnom imovinom. Vanjskotrgovinska razmjena je važan čimbenik poslovanja svih promatranih po</w:t>
      </w:r>
      <w:r w:rsidR="00AD29C5" w:rsidRPr="004E6412">
        <w:rPr>
          <w:rFonts w:ascii="Times New Roman" w:hAnsi="Times New Roman"/>
        </w:rPr>
        <w:t>ddjelatnosti. Općenito</w:t>
      </w:r>
      <w:r w:rsidRPr="004E6412">
        <w:rPr>
          <w:rFonts w:ascii="Times New Roman" w:hAnsi="Times New Roman"/>
        </w:rPr>
        <w:t>, mnoge od ovih poddjelatnosti iskazuju visok udio izvoza u ukupnom prihodu. S druge strane, uvozna ovisno</w:t>
      </w:r>
      <w:r w:rsidR="00AD29C5" w:rsidRPr="004E6412">
        <w:rPr>
          <w:rFonts w:ascii="Times New Roman" w:hAnsi="Times New Roman"/>
        </w:rPr>
        <w:t>st nije toliko izražena jer ni</w:t>
      </w:r>
      <w:r w:rsidRPr="004E6412">
        <w:rPr>
          <w:rFonts w:ascii="Times New Roman" w:hAnsi="Times New Roman"/>
        </w:rPr>
        <w:t xml:space="preserve"> jedna poddjelatnost nije imala više od 36,62% udjela uvoza u ukupnim rashodima.</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Kao i u zemljama EU</w:t>
      </w:r>
      <w:r w:rsidR="00AD29C5" w:rsidRPr="004E6412">
        <w:rPr>
          <w:rFonts w:ascii="Times New Roman" w:hAnsi="Times New Roman"/>
        </w:rPr>
        <w:t>-a</w:t>
      </w:r>
      <w:r w:rsidRPr="004E6412">
        <w:rPr>
          <w:rFonts w:ascii="Times New Roman" w:hAnsi="Times New Roman"/>
        </w:rPr>
        <w:t>, i u Hrvatsko</w:t>
      </w:r>
      <w:r w:rsidR="00AD29C5" w:rsidRPr="004E6412">
        <w:rPr>
          <w:rFonts w:ascii="Times New Roman" w:hAnsi="Times New Roman"/>
        </w:rPr>
        <w:t>j je ova djelatnost rascjepkan</w:t>
      </w:r>
      <w:r w:rsidRPr="004E6412">
        <w:rPr>
          <w:rFonts w:ascii="Times New Roman" w:hAnsi="Times New Roman"/>
        </w:rPr>
        <w:t>a</w:t>
      </w:r>
      <w:r w:rsidR="00AD29C5" w:rsidRPr="004E6412">
        <w:rPr>
          <w:rFonts w:ascii="Times New Roman" w:hAnsi="Times New Roman"/>
        </w:rPr>
        <w:t xml:space="preserve"> zbog velikog broja </w:t>
      </w:r>
      <w:r w:rsidRPr="004E6412">
        <w:rPr>
          <w:rFonts w:ascii="Times New Roman" w:hAnsi="Times New Roman"/>
        </w:rPr>
        <w:t xml:space="preserve">malih i srednjih poduzeća, što im omogućava brze prilagodbe proizvodnih programa, ali i otežava pristup povoljnim izvorima financiranja i ostvarivanje troškovnih prednosti kroz ekonomiju obujma.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Porast troškova energije opteretio je poslovne rezultat</w:t>
      </w:r>
      <w:r w:rsidR="005727A9" w:rsidRPr="004E6412">
        <w:rPr>
          <w:rFonts w:ascii="Times New Roman" w:hAnsi="Times New Roman"/>
        </w:rPr>
        <w:t>e poduzeća iz ove djelatnosti</w:t>
      </w:r>
      <w:r w:rsidRPr="004E6412">
        <w:rPr>
          <w:rFonts w:ascii="Times New Roman" w:hAnsi="Times New Roman"/>
        </w:rPr>
        <w:t xml:space="preserve"> kao i porast cijena sirovina koje su poduzeća primorana uvoziti sa stranih tržišta. Energetska politika i politika cijena imaju izravan utjecaj na konkurentnost djelatnosti proizvodnje gotovih metalnih proizvoda.</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781" w:name="_Toc372088046"/>
      <w:bookmarkStart w:id="782" w:name="_Toc378069107"/>
      <w:r w:rsidRPr="004E6412">
        <w:rPr>
          <w:rFonts w:eastAsia="Calibri"/>
        </w:rPr>
        <w:lastRenderedPageBreak/>
        <w:t>Zaključni prikaz pokazatelja</w:t>
      </w:r>
      <w:bookmarkEnd w:id="781"/>
      <w:bookmarkEnd w:id="782"/>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83" w:name="_Toc372088163"/>
      <w:bookmarkStart w:id="784" w:name="_Toc377551098"/>
      <w:bookmarkStart w:id="785" w:name="_Toc37763528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86</w:t>
      </w:r>
      <w:r w:rsidRPr="007D0CFD">
        <w:rPr>
          <w:rStyle w:val="IntenseEmphasis"/>
          <w:b/>
          <w:bCs w:val="0"/>
          <w:iCs w:val="0"/>
          <w:color w:val="548DD4" w:themeColor="text2" w:themeTint="99"/>
          <w:sz w:val="20"/>
        </w:rPr>
        <w:t>. Kvantitativni pokazatelji (C25)</w:t>
      </w:r>
      <w:bookmarkEnd w:id="783"/>
      <w:bookmarkEnd w:id="784"/>
      <w:bookmarkEnd w:id="785"/>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100,10</w:t>
            </w:r>
          </w:p>
        </w:tc>
        <w:tc>
          <w:tcPr>
            <w:tcW w:w="968" w:type="pct"/>
            <w:shd w:val="clear" w:color="auto" w:fill="auto"/>
            <w:noWrap/>
          </w:tcPr>
          <w:p w:rsidR="001B41B0" w:rsidRPr="004E6412" w:rsidRDefault="001B41B0" w:rsidP="001B41B0">
            <w:pPr>
              <w:jc w:val="right"/>
            </w:pPr>
            <w:r w:rsidRPr="004E6412">
              <w:rPr>
                <w:sz w:val="22"/>
              </w:rPr>
              <w:t>102,00</w:t>
            </w:r>
          </w:p>
        </w:tc>
        <w:tc>
          <w:tcPr>
            <w:tcW w:w="1100" w:type="pct"/>
            <w:shd w:val="clear" w:color="auto" w:fill="auto"/>
            <w:noWrap/>
          </w:tcPr>
          <w:p w:rsidR="001B41B0" w:rsidRPr="004E6412" w:rsidRDefault="001B41B0" w:rsidP="001B41B0">
            <w:pPr>
              <w:jc w:val="right"/>
            </w:pPr>
            <w:r w:rsidRPr="004E6412">
              <w:rPr>
                <w:sz w:val="22"/>
              </w:rPr>
              <w:t>99,22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86,9</w:t>
            </w:r>
          </w:p>
        </w:tc>
        <w:tc>
          <w:tcPr>
            <w:tcW w:w="968" w:type="pct"/>
            <w:shd w:val="clear" w:color="auto" w:fill="auto"/>
            <w:noWrap/>
          </w:tcPr>
          <w:p w:rsidR="001B41B0" w:rsidRPr="004E6412" w:rsidRDefault="001B41B0" w:rsidP="001B41B0">
            <w:pPr>
              <w:jc w:val="right"/>
            </w:pPr>
            <w:r w:rsidRPr="004E6412">
              <w:rPr>
                <w:sz w:val="22"/>
              </w:rPr>
              <w:t>101,6</w:t>
            </w:r>
          </w:p>
        </w:tc>
        <w:tc>
          <w:tcPr>
            <w:tcW w:w="1100" w:type="pct"/>
            <w:shd w:val="clear" w:color="auto" w:fill="auto"/>
            <w:noWrap/>
          </w:tcPr>
          <w:p w:rsidR="001B41B0" w:rsidRPr="004E6412" w:rsidRDefault="005A57E5" w:rsidP="001B41B0">
            <w:pPr>
              <w:jc w:val="right"/>
            </w:pPr>
            <w:r w:rsidRPr="004E6412">
              <w:rPr>
                <w:sz w:val="22"/>
              </w:rPr>
              <w:t>98,9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25.693</w:t>
            </w:r>
          </w:p>
        </w:tc>
        <w:tc>
          <w:tcPr>
            <w:tcW w:w="968" w:type="pct"/>
            <w:shd w:val="clear" w:color="auto" w:fill="auto"/>
            <w:noWrap/>
          </w:tcPr>
          <w:p w:rsidR="001B41B0" w:rsidRPr="004E6412" w:rsidRDefault="001B41B0" w:rsidP="001B41B0">
            <w:pPr>
              <w:jc w:val="right"/>
            </w:pPr>
            <w:r w:rsidRPr="004E6412">
              <w:rPr>
                <w:sz w:val="22"/>
              </w:rPr>
              <w:t>25.766</w:t>
            </w:r>
          </w:p>
        </w:tc>
        <w:tc>
          <w:tcPr>
            <w:tcW w:w="1100" w:type="pct"/>
            <w:shd w:val="clear" w:color="auto" w:fill="auto"/>
            <w:noWrap/>
          </w:tcPr>
          <w:p w:rsidR="001B41B0" w:rsidRPr="004E6412" w:rsidRDefault="001B41B0" w:rsidP="001B41B0">
            <w:pPr>
              <w:jc w:val="right"/>
            </w:pPr>
            <w:r w:rsidRPr="004E6412">
              <w:rPr>
                <w:sz w:val="22"/>
              </w:rPr>
              <w:t>26.950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10.375.474.780</w:t>
            </w:r>
          </w:p>
        </w:tc>
        <w:tc>
          <w:tcPr>
            <w:tcW w:w="968" w:type="pct"/>
            <w:shd w:val="clear" w:color="auto" w:fill="auto"/>
            <w:noWrap/>
          </w:tcPr>
          <w:p w:rsidR="001B41B0" w:rsidRPr="004E6412" w:rsidRDefault="001B41B0" w:rsidP="001B41B0">
            <w:pPr>
              <w:jc w:val="right"/>
            </w:pPr>
            <w:r w:rsidRPr="004E6412">
              <w:rPr>
                <w:sz w:val="22"/>
              </w:rPr>
              <w:t>11.221.375.723</w:t>
            </w:r>
          </w:p>
        </w:tc>
        <w:tc>
          <w:tcPr>
            <w:tcW w:w="1100" w:type="pct"/>
            <w:shd w:val="clear" w:color="auto" w:fill="auto"/>
            <w:noWrap/>
          </w:tcPr>
          <w:p w:rsidR="001B41B0" w:rsidRPr="004E6412" w:rsidRDefault="001B41B0" w:rsidP="001B41B0">
            <w:pPr>
              <w:jc w:val="right"/>
            </w:pPr>
            <w:r w:rsidRPr="004E6412">
              <w:rPr>
                <w:sz w:val="22"/>
              </w:rPr>
              <w:t>11.896.808.737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834.979.119</w:t>
            </w:r>
          </w:p>
        </w:tc>
        <w:tc>
          <w:tcPr>
            <w:tcW w:w="968" w:type="pct"/>
            <w:shd w:val="clear" w:color="auto" w:fill="auto"/>
            <w:noWrap/>
          </w:tcPr>
          <w:p w:rsidR="001B41B0" w:rsidRPr="004E6412" w:rsidRDefault="001B41B0" w:rsidP="001B41B0">
            <w:pPr>
              <w:jc w:val="right"/>
            </w:pPr>
            <w:r w:rsidRPr="004E6412">
              <w:rPr>
                <w:sz w:val="22"/>
              </w:rPr>
              <w:t>1.015.726.873</w:t>
            </w:r>
          </w:p>
        </w:tc>
        <w:tc>
          <w:tcPr>
            <w:tcW w:w="1100" w:type="pct"/>
            <w:shd w:val="clear" w:color="auto" w:fill="auto"/>
            <w:noWrap/>
          </w:tcPr>
          <w:p w:rsidR="001B41B0" w:rsidRPr="004E6412" w:rsidRDefault="001B41B0" w:rsidP="001B41B0">
            <w:pPr>
              <w:jc w:val="right"/>
            </w:pPr>
            <w:r w:rsidRPr="004E6412">
              <w:rPr>
                <w:sz w:val="22"/>
              </w:rPr>
              <w:t>1.314.771.125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3,28</w:t>
            </w:r>
          </w:p>
        </w:tc>
        <w:tc>
          <w:tcPr>
            <w:tcW w:w="968" w:type="pct"/>
            <w:shd w:val="clear" w:color="auto" w:fill="auto"/>
            <w:noWrap/>
          </w:tcPr>
          <w:p w:rsidR="001B41B0" w:rsidRPr="004E6412" w:rsidRDefault="001B41B0" w:rsidP="001B41B0">
            <w:pPr>
              <w:jc w:val="right"/>
            </w:pPr>
            <w:r w:rsidRPr="004E6412">
              <w:rPr>
                <w:sz w:val="22"/>
              </w:rPr>
              <w:t>4,64</w:t>
            </w:r>
          </w:p>
        </w:tc>
        <w:tc>
          <w:tcPr>
            <w:tcW w:w="1100" w:type="pct"/>
            <w:shd w:val="clear" w:color="auto" w:fill="auto"/>
            <w:noWrap/>
          </w:tcPr>
          <w:p w:rsidR="001B41B0" w:rsidRPr="004E6412" w:rsidRDefault="001B41B0" w:rsidP="001B41B0">
            <w:pPr>
              <w:jc w:val="right"/>
            </w:pPr>
            <w:r w:rsidRPr="004E6412">
              <w:rPr>
                <w:sz w:val="22"/>
              </w:rPr>
              <w:t>7,02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403.825</w:t>
            </w:r>
          </w:p>
        </w:tc>
        <w:tc>
          <w:tcPr>
            <w:tcW w:w="968" w:type="pct"/>
            <w:shd w:val="clear" w:color="auto" w:fill="auto"/>
            <w:noWrap/>
          </w:tcPr>
          <w:p w:rsidR="001B41B0" w:rsidRPr="004E6412" w:rsidRDefault="001B41B0" w:rsidP="001B41B0">
            <w:pPr>
              <w:jc w:val="right"/>
            </w:pPr>
            <w:r w:rsidRPr="004E6412">
              <w:rPr>
                <w:sz w:val="22"/>
              </w:rPr>
              <w:t>435.511</w:t>
            </w:r>
          </w:p>
        </w:tc>
        <w:tc>
          <w:tcPr>
            <w:tcW w:w="1100" w:type="pct"/>
            <w:shd w:val="clear" w:color="auto" w:fill="auto"/>
            <w:noWrap/>
          </w:tcPr>
          <w:p w:rsidR="001B41B0" w:rsidRPr="004E6412" w:rsidRDefault="001B41B0" w:rsidP="001B41B0">
            <w:pPr>
              <w:jc w:val="right"/>
            </w:pPr>
            <w:r w:rsidRPr="004E6412">
              <w:rPr>
                <w:sz w:val="22"/>
              </w:rPr>
              <w:t>441.440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3.392.197.640</w:t>
            </w:r>
          </w:p>
        </w:tc>
        <w:tc>
          <w:tcPr>
            <w:tcW w:w="968" w:type="pct"/>
            <w:shd w:val="clear" w:color="auto" w:fill="auto"/>
            <w:noWrap/>
          </w:tcPr>
          <w:p w:rsidR="001B41B0" w:rsidRPr="004E6412" w:rsidRDefault="001B41B0" w:rsidP="001B41B0">
            <w:pPr>
              <w:jc w:val="right"/>
            </w:pPr>
            <w:r w:rsidRPr="004E6412">
              <w:rPr>
                <w:sz w:val="22"/>
              </w:rPr>
              <w:t>3.562.257.066</w:t>
            </w:r>
          </w:p>
        </w:tc>
        <w:tc>
          <w:tcPr>
            <w:tcW w:w="1100" w:type="pct"/>
            <w:shd w:val="clear" w:color="auto" w:fill="auto"/>
            <w:noWrap/>
          </w:tcPr>
          <w:p w:rsidR="001B41B0" w:rsidRPr="004E6412" w:rsidRDefault="001B41B0" w:rsidP="001B41B0">
            <w:pPr>
              <w:jc w:val="right"/>
            </w:pPr>
            <w:r w:rsidRPr="004E6412">
              <w:rPr>
                <w:sz w:val="22"/>
              </w:rPr>
              <w:t>4.110.882.605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23.273</w:t>
            </w:r>
          </w:p>
        </w:tc>
        <w:tc>
          <w:tcPr>
            <w:tcW w:w="968" w:type="pct"/>
            <w:shd w:val="clear" w:color="auto" w:fill="auto"/>
            <w:noWrap/>
          </w:tcPr>
          <w:p w:rsidR="001B41B0" w:rsidRPr="004E6412" w:rsidRDefault="001B41B0" w:rsidP="001B41B0">
            <w:pPr>
              <w:jc w:val="right"/>
            </w:pPr>
            <w:r w:rsidRPr="004E6412">
              <w:rPr>
                <w:sz w:val="22"/>
              </w:rPr>
              <w:t>28.234</w:t>
            </w:r>
          </w:p>
        </w:tc>
        <w:tc>
          <w:tcPr>
            <w:tcW w:w="1100" w:type="pct"/>
            <w:shd w:val="clear" w:color="auto" w:fill="auto"/>
            <w:noWrap/>
          </w:tcPr>
          <w:p w:rsidR="001B41B0" w:rsidRPr="004E6412" w:rsidRDefault="001B41B0" w:rsidP="001B41B0">
            <w:pPr>
              <w:jc w:val="right"/>
            </w:pPr>
            <w:r w:rsidRPr="004E6412">
              <w:rPr>
                <w:sz w:val="22"/>
              </w:rPr>
              <w:t>38.697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19.038</w:t>
            </w:r>
          </w:p>
        </w:tc>
        <w:tc>
          <w:tcPr>
            <w:tcW w:w="968" w:type="pct"/>
            <w:shd w:val="clear" w:color="auto" w:fill="auto"/>
            <w:noWrap/>
          </w:tcPr>
          <w:p w:rsidR="001B41B0" w:rsidRPr="004E6412" w:rsidRDefault="001B41B0" w:rsidP="001B41B0">
            <w:pPr>
              <w:jc w:val="right"/>
            </w:pPr>
            <w:r w:rsidRPr="004E6412">
              <w:rPr>
                <w:sz w:val="22"/>
              </w:rPr>
              <w:t>18.306</w:t>
            </w:r>
          </w:p>
        </w:tc>
        <w:tc>
          <w:tcPr>
            <w:tcW w:w="1100" w:type="pct"/>
            <w:shd w:val="clear" w:color="auto" w:fill="auto"/>
            <w:noWrap/>
          </w:tcPr>
          <w:p w:rsidR="001B41B0" w:rsidRPr="004E6412" w:rsidRDefault="001B41B0" w:rsidP="001B41B0">
            <w:pPr>
              <w:jc w:val="right"/>
            </w:pPr>
            <w:r w:rsidRPr="004E6412">
              <w:rPr>
                <w:sz w:val="22"/>
              </w:rPr>
              <w:t>16.665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1,884</w:t>
            </w:r>
          </w:p>
        </w:tc>
        <w:tc>
          <w:tcPr>
            <w:tcW w:w="968" w:type="pct"/>
            <w:shd w:val="clear" w:color="auto" w:fill="auto"/>
            <w:noWrap/>
          </w:tcPr>
          <w:p w:rsidR="001B41B0" w:rsidRPr="004E6412" w:rsidRDefault="001B41B0" w:rsidP="001B41B0">
            <w:pPr>
              <w:jc w:val="right"/>
            </w:pPr>
            <w:r w:rsidRPr="004E6412">
              <w:rPr>
                <w:sz w:val="22"/>
              </w:rPr>
              <w:t>1,869</w:t>
            </w:r>
          </w:p>
        </w:tc>
        <w:tc>
          <w:tcPr>
            <w:tcW w:w="1100" w:type="pct"/>
            <w:shd w:val="clear" w:color="auto" w:fill="auto"/>
            <w:noWrap/>
          </w:tcPr>
          <w:p w:rsidR="001B41B0" w:rsidRPr="004E6412" w:rsidRDefault="001B41B0" w:rsidP="001B41B0">
            <w:pPr>
              <w:jc w:val="right"/>
            </w:pPr>
            <w:r w:rsidRPr="004E6412">
              <w:rPr>
                <w:sz w:val="22"/>
              </w:rPr>
              <w:t>2,237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1.654.579.307</w:t>
            </w:r>
          </w:p>
        </w:tc>
        <w:tc>
          <w:tcPr>
            <w:tcW w:w="968" w:type="pct"/>
            <w:shd w:val="clear" w:color="auto" w:fill="auto"/>
            <w:noWrap/>
          </w:tcPr>
          <w:p w:rsidR="001B41B0" w:rsidRPr="004E6412" w:rsidRDefault="001B41B0" w:rsidP="001B41B0">
            <w:pPr>
              <w:jc w:val="right"/>
            </w:pPr>
            <w:r w:rsidRPr="004E6412">
              <w:rPr>
                <w:sz w:val="22"/>
              </w:rPr>
              <w:t>1.881.013.307</w:t>
            </w:r>
          </w:p>
        </w:tc>
        <w:tc>
          <w:tcPr>
            <w:tcW w:w="1100" w:type="pct"/>
            <w:shd w:val="clear" w:color="auto" w:fill="auto"/>
            <w:noWrap/>
          </w:tcPr>
          <w:p w:rsidR="001B41B0" w:rsidRPr="004E6412" w:rsidRDefault="001B41B0" w:rsidP="001B41B0">
            <w:pPr>
              <w:jc w:val="right"/>
            </w:pPr>
            <w:r w:rsidRPr="004E6412">
              <w:rPr>
                <w:sz w:val="22"/>
              </w:rPr>
              <w:t>2.764.791.902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33,98</w:t>
            </w:r>
          </w:p>
        </w:tc>
        <w:tc>
          <w:tcPr>
            <w:tcW w:w="968" w:type="pct"/>
            <w:shd w:val="clear" w:color="auto" w:fill="auto"/>
            <w:noWrap/>
          </w:tcPr>
          <w:p w:rsidR="001B41B0" w:rsidRPr="004E6412" w:rsidRDefault="001B41B0" w:rsidP="001B41B0">
            <w:pPr>
              <w:jc w:val="right"/>
            </w:pPr>
            <w:r w:rsidRPr="004E6412">
              <w:rPr>
                <w:sz w:val="22"/>
              </w:rPr>
              <w:t>36,06</w:t>
            </w:r>
          </w:p>
        </w:tc>
        <w:tc>
          <w:tcPr>
            <w:tcW w:w="1100" w:type="pct"/>
            <w:shd w:val="clear" w:color="auto" w:fill="auto"/>
            <w:noWrap/>
          </w:tcPr>
          <w:p w:rsidR="001B41B0" w:rsidRPr="004E6412" w:rsidRDefault="001B41B0" w:rsidP="001B41B0">
            <w:pPr>
              <w:jc w:val="right"/>
            </w:pPr>
            <w:r w:rsidRPr="004E6412">
              <w:rPr>
                <w:sz w:val="22"/>
              </w:rPr>
              <w:t>42,02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1,063</w:t>
            </w:r>
          </w:p>
        </w:tc>
        <w:tc>
          <w:tcPr>
            <w:tcW w:w="968" w:type="pct"/>
            <w:shd w:val="clear" w:color="auto" w:fill="auto"/>
            <w:noWrap/>
          </w:tcPr>
          <w:p w:rsidR="001B41B0" w:rsidRPr="004E6412" w:rsidRDefault="001B41B0" w:rsidP="001B41B0">
            <w:pPr>
              <w:jc w:val="right"/>
            </w:pPr>
            <w:r w:rsidRPr="004E6412">
              <w:rPr>
                <w:sz w:val="22"/>
              </w:rPr>
              <w:t>1,098</w:t>
            </w:r>
          </w:p>
        </w:tc>
        <w:tc>
          <w:tcPr>
            <w:tcW w:w="1100" w:type="pct"/>
            <w:shd w:val="clear" w:color="auto" w:fill="auto"/>
            <w:noWrap/>
          </w:tcPr>
          <w:p w:rsidR="001B41B0" w:rsidRPr="004E6412" w:rsidRDefault="001B41B0" w:rsidP="001B41B0">
            <w:pPr>
              <w:jc w:val="right"/>
            </w:pPr>
            <w:r w:rsidRPr="004E6412">
              <w:rPr>
                <w:sz w:val="22"/>
              </w:rPr>
              <w:t>1,459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727A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8,54</w:t>
            </w:r>
          </w:p>
        </w:tc>
        <w:tc>
          <w:tcPr>
            <w:tcW w:w="968" w:type="pct"/>
            <w:shd w:val="clear" w:color="auto" w:fill="auto"/>
            <w:noWrap/>
          </w:tcPr>
          <w:p w:rsidR="001B41B0" w:rsidRPr="004E6412" w:rsidRDefault="001B41B0" w:rsidP="001B41B0">
            <w:pPr>
              <w:jc w:val="right"/>
            </w:pPr>
            <w:r w:rsidRPr="004E6412">
              <w:rPr>
                <w:sz w:val="22"/>
              </w:rPr>
              <w:t>7,67</w:t>
            </w:r>
          </w:p>
        </w:tc>
        <w:tc>
          <w:tcPr>
            <w:tcW w:w="1100" w:type="pct"/>
            <w:shd w:val="clear" w:color="auto" w:fill="auto"/>
            <w:noWrap/>
          </w:tcPr>
          <w:p w:rsidR="001B41B0" w:rsidRPr="004E6412" w:rsidRDefault="001B41B0" w:rsidP="001B41B0">
            <w:pPr>
              <w:jc w:val="right"/>
            </w:pPr>
            <w:r w:rsidRPr="004E6412">
              <w:rPr>
                <w:sz w:val="22"/>
              </w:rPr>
              <w:t>8,98</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0,693</w:t>
            </w:r>
          </w:p>
        </w:tc>
        <w:tc>
          <w:tcPr>
            <w:tcW w:w="968" w:type="pct"/>
            <w:shd w:val="clear" w:color="auto" w:fill="auto"/>
            <w:noWrap/>
          </w:tcPr>
          <w:p w:rsidR="001B41B0" w:rsidRPr="004E6412" w:rsidRDefault="001B41B0" w:rsidP="001B41B0">
            <w:pPr>
              <w:jc w:val="right"/>
            </w:pPr>
            <w:r w:rsidRPr="004E6412">
              <w:rPr>
                <w:sz w:val="22"/>
              </w:rPr>
              <w:t>0,697</w:t>
            </w:r>
          </w:p>
        </w:tc>
        <w:tc>
          <w:tcPr>
            <w:tcW w:w="1100" w:type="pct"/>
            <w:shd w:val="clear" w:color="auto" w:fill="auto"/>
            <w:noWrap/>
          </w:tcPr>
          <w:p w:rsidR="001B41B0" w:rsidRPr="004E6412" w:rsidRDefault="001B41B0" w:rsidP="001B41B0">
            <w:pPr>
              <w:jc w:val="right"/>
            </w:pPr>
            <w:r w:rsidRPr="004E6412">
              <w:rPr>
                <w:sz w:val="22"/>
              </w:rPr>
              <w:t>0,618</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132.028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138.254</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152.537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0,74</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0,62</w:t>
            </w:r>
          </w:p>
        </w:tc>
        <w:tc>
          <w:tcPr>
            <w:tcW w:w="968" w:type="pct"/>
            <w:shd w:val="clear" w:color="auto" w:fill="auto"/>
            <w:noWrap/>
          </w:tcPr>
          <w:p w:rsidR="001B41B0" w:rsidRPr="004E6412" w:rsidRDefault="001B41B0" w:rsidP="001B41B0">
            <w:pPr>
              <w:jc w:val="right"/>
            </w:pPr>
            <w:r w:rsidRPr="004E6412">
              <w:rPr>
                <w:sz w:val="22"/>
              </w:rPr>
              <w:t>0,61</w:t>
            </w:r>
          </w:p>
        </w:tc>
        <w:tc>
          <w:tcPr>
            <w:tcW w:w="1100" w:type="pct"/>
            <w:shd w:val="clear" w:color="auto" w:fill="auto"/>
            <w:noWrap/>
          </w:tcPr>
          <w:p w:rsidR="001B41B0" w:rsidRPr="004E6412" w:rsidRDefault="001B41B0" w:rsidP="001B41B0">
            <w:pPr>
              <w:jc w:val="right"/>
            </w:pPr>
            <w:r w:rsidRPr="004E6412">
              <w:rPr>
                <w:sz w:val="22"/>
              </w:rPr>
              <w:t>0,57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0,65</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86" w:name="_Toc372088164"/>
      <w:bookmarkStart w:id="787" w:name="_Toc377551099"/>
      <w:bookmarkStart w:id="788" w:name="_Toc377635288"/>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87</w:t>
      </w:r>
      <w:r w:rsidRPr="007D0CFD">
        <w:rPr>
          <w:rStyle w:val="IntenseEmphasis"/>
          <w:b/>
          <w:bCs w:val="0"/>
          <w:iCs w:val="0"/>
          <w:color w:val="548DD4" w:themeColor="text2" w:themeTint="99"/>
          <w:sz w:val="20"/>
        </w:rPr>
        <w:t>. Kvalitativni pokazatelji (C25)</w:t>
      </w:r>
      <w:bookmarkEnd w:id="786"/>
      <w:bookmarkEnd w:id="787"/>
      <w:bookmarkEnd w:id="7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727A9"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w:t>
            </w:r>
            <w:r w:rsidR="005727A9" w:rsidRPr="004E6412">
              <w:rPr>
                <w:sz w:val="22"/>
              </w:rPr>
              <w:t>dostupna ali neprikladna u pogledu</w:t>
            </w:r>
            <w:r w:rsidRPr="004E6412">
              <w:rPr>
                <w:sz w:val="22"/>
              </w:rPr>
              <w:t xml:space="preserve"> potrebnih znanja i vještina. Resursi većin</w:t>
            </w:r>
            <w:r w:rsidR="005727A9" w:rsidRPr="004E6412">
              <w:rPr>
                <w:sz w:val="22"/>
              </w:rPr>
              <w:t>om dostupni. Kapital dostupan, ali</w:t>
            </w:r>
            <w:r w:rsidRPr="004E6412">
              <w:rPr>
                <w:sz w:val="22"/>
              </w:rPr>
              <w:t xml:space="preserve"> relativno nepovoljan.</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5727A9" w:rsidP="0097195F">
            <w:pPr>
              <w:spacing w:line="240" w:lineRule="auto"/>
              <w:rPr>
                <w:sz w:val="22"/>
              </w:rPr>
            </w:pPr>
            <w:r w:rsidRPr="004E6412">
              <w:rPr>
                <w:sz w:val="22"/>
              </w:rPr>
              <w:t>Većinom proizvodnja krajnjih i</w:t>
            </w:r>
            <w:r w:rsidR="001B41B0" w:rsidRPr="004E6412">
              <w:rPr>
                <w:sz w:val="22"/>
              </w:rPr>
              <w:t xml:space="preserve">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Var</w:t>
            </w:r>
            <w:r w:rsidR="005727A9" w:rsidRPr="004E6412">
              <w:rPr>
                <w:sz w:val="22"/>
              </w:rPr>
              <w:t>ira zbog velike rascjepkanosti u industriji, ali</w:t>
            </w:r>
            <w:r w:rsidRPr="004E6412">
              <w:rPr>
                <w:sz w:val="22"/>
              </w:rPr>
              <w:t xml:space="preserve"> većinom vrlo 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Mali izdaci za istraživanje i razvoj.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100 poduzeća ostvaruje 68% prihoda djelatnosti. 100 poduzeća zapošljava 55%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 (udio izvoza u priho</w:t>
            </w:r>
            <w:r w:rsidR="005727A9" w:rsidRPr="004E6412">
              <w:rPr>
                <w:sz w:val="22"/>
              </w:rPr>
              <w:t>dima u posljednje tri godine u stalnom je porastu i u prosjeku iznosi</w:t>
            </w:r>
            <w:r w:rsidRPr="004E6412">
              <w:rPr>
                <w:sz w:val="22"/>
              </w:rPr>
              <w:t xml:space="preserve"> 38%; proizvodi su konkurentni i većinom se plasiraju na tržišta EU</w:t>
            </w:r>
            <w:r w:rsidR="005727A9" w:rsidRPr="004E6412">
              <w:rPr>
                <w:sz w:val="22"/>
              </w:rPr>
              <w:t>-a</w:t>
            </w:r>
            <w:r w:rsidRPr="004E6412">
              <w:rPr>
                <w:sz w:val="22"/>
              </w:rPr>
              <w:t xml:space="preserve"> te se pristupanjem Hrvatske </w:t>
            </w:r>
            <w:r w:rsidR="005727A9" w:rsidRPr="004E6412">
              <w:rPr>
                <w:sz w:val="22"/>
              </w:rPr>
              <w:t xml:space="preserve">u </w:t>
            </w:r>
            <w:r w:rsidRPr="004E6412">
              <w:rPr>
                <w:sz w:val="22"/>
              </w:rPr>
              <w:t>EU očekuje daljnje povećanje izvoznog plasmana).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Ističu se poddjelatnosti C25.1 Proizvodnja metalnih konstrukcija, C25.6 Obrada i pre</w:t>
            </w:r>
            <w:r w:rsidR="005727A9" w:rsidRPr="004E6412">
              <w:rPr>
                <w:sz w:val="22"/>
              </w:rPr>
              <w:t>svlačenje metala,</w:t>
            </w:r>
            <w:r w:rsidRPr="004E6412">
              <w:rPr>
                <w:sz w:val="22"/>
              </w:rPr>
              <w:t xml:space="preserve"> strojna obrada metala</w:t>
            </w:r>
            <w:r w:rsidR="005727A9" w:rsidRPr="004E6412">
              <w:rPr>
                <w:sz w:val="22"/>
              </w:rPr>
              <w:t>,</w:t>
            </w:r>
            <w:r w:rsidRPr="004E6412">
              <w:rPr>
                <w:sz w:val="22"/>
              </w:rPr>
              <w:t xml:space="preserve"> te C25.7 Proizvodnja sječiva, alata i opće željezne robe.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Značajan di</w:t>
            </w:r>
            <w:r w:rsidR="005727A9" w:rsidRPr="004E6412">
              <w:rPr>
                <w:sz w:val="22"/>
              </w:rPr>
              <w:t xml:space="preserve">o sirovina i repromaterijala </w:t>
            </w:r>
            <w:r w:rsidRPr="004E6412">
              <w:rPr>
                <w:sz w:val="22"/>
              </w:rPr>
              <w:t xml:space="preserve">uvozi </w:t>
            </w:r>
            <w:r w:rsidR="005727A9" w:rsidRPr="004E6412">
              <w:rPr>
                <w:sz w:val="22"/>
              </w:rPr>
              <w:t xml:space="preserve">se </w:t>
            </w:r>
            <w:r w:rsidRPr="004E6412">
              <w:rPr>
                <w:sz w:val="22"/>
              </w:rPr>
              <w:t>sa stranih tržišta.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89" w:name="_Toc366152991"/>
      <w:bookmarkStart w:id="790" w:name="_Toc366154312"/>
      <w:bookmarkStart w:id="791" w:name="_Toc366154432"/>
      <w:bookmarkStart w:id="792" w:name="_Toc366409979"/>
      <w:bookmarkStart w:id="793" w:name="_Toc372088047"/>
      <w:bookmarkStart w:id="794" w:name="_Toc378069108"/>
      <w:r w:rsidRPr="004E6412">
        <w:rPr>
          <w:rFonts w:eastAsia="Calibri"/>
        </w:rPr>
        <w:lastRenderedPageBreak/>
        <w:t>C26 Proizvodnja računala te elektroničkih i optičkih proizvoda</w:t>
      </w:r>
      <w:bookmarkEnd w:id="731"/>
      <w:bookmarkEnd w:id="789"/>
      <w:bookmarkEnd w:id="790"/>
      <w:bookmarkEnd w:id="791"/>
      <w:bookmarkEnd w:id="792"/>
      <w:bookmarkEnd w:id="793"/>
      <w:bookmarkEnd w:id="794"/>
    </w:p>
    <w:p w:rsidR="001B41B0" w:rsidRPr="004E6412" w:rsidRDefault="001B41B0" w:rsidP="001B41B0"/>
    <w:p w:rsidR="001B41B0" w:rsidRPr="004E6412" w:rsidRDefault="001B41B0" w:rsidP="001B41B0">
      <w:pPr>
        <w:rPr>
          <w:bCs/>
          <w:sz w:val="22"/>
        </w:rPr>
      </w:pPr>
      <w:r w:rsidRPr="004E6412">
        <w:rPr>
          <w:sz w:val="22"/>
        </w:rPr>
        <w:t>Proizvodnja računala te elektroničkih i optič</w:t>
      </w:r>
      <w:r w:rsidR="005727A9" w:rsidRPr="004E6412">
        <w:rPr>
          <w:sz w:val="22"/>
        </w:rPr>
        <w:t>kih proizvoda (C26) obuhvaća sl</w:t>
      </w:r>
      <w:r w:rsidRPr="004E6412">
        <w:rPr>
          <w:sz w:val="22"/>
        </w:rPr>
        <w:t>jedeće poddjelatnosti:</w:t>
      </w:r>
      <w:r w:rsidR="005727A9" w:rsidRPr="004E6412">
        <w:rPr>
          <w:sz w:val="22"/>
        </w:rPr>
        <w:t xml:space="preserve"> </w:t>
      </w:r>
      <w:r w:rsidRPr="004E6412">
        <w:rPr>
          <w:bCs/>
          <w:sz w:val="22"/>
        </w:rPr>
        <w:t>proiz</w:t>
      </w:r>
      <w:r w:rsidR="005727A9" w:rsidRPr="004E6412">
        <w:rPr>
          <w:bCs/>
          <w:sz w:val="22"/>
        </w:rPr>
        <w:t>vodnja elektroničkih sastavnica</w:t>
      </w:r>
      <w:r w:rsidRPr="004E6412">
        <w:rPr>
          <w:bCs/>
          <w:sz w:val="22"/>
        </w:rPr>
        <w:t xml:space="preserve"> i ploča (C26.1), proizvodnja računala i periferne opreme (C26.2), proizvodnja komunikacijske opreme (C26.3), proizvodnja elektroničkih uređaja za široku potrošnju (C26.4), proizvodnja instrumenata i aparata za mjerenje, ispit</w:t>
      </w:r>
      <w:r w:rsidR="005727A9" w:rsidRPr="004E6412">
        <w:rPr>
          <w:bCs/>
          <w:sz w:val="22"/>
        </w:rPr>
        <w:t>ivanje i navigaciju, proizvodnja</w:t>
      </w:r>
      <w:r w:rsidRPr="004E6412">
        <w:rPr>
          <w:bCs/>
          <w:sz w:val="22"/>
        </w:rPr>
        <w:t xml:space="preserve"> satova (C26.5), proizvodnja opreme za zračenje, elektromedicinske i elektroterapeutske opreme (C26.6),  proizvodnja optičkih instrumenata i fotografske opreme (C26.7) i proizvodnja magnetskih i optičkih medija (C26.8).</w:t>
      </w:r>
    </w:p>
    <w:p w:rsidR="001B41B0" w:rsidRPr="004E6412" w:rsidRDefault="001B41B0" w:rsidP="001B41B0"/>
    <w:p w:rsidR="001B41B0" w:rsidRPr="004E6412" w:rsidRDefault="001B41B0" w:rsidP="00D001B9">
      <w:pPr>
        <w:pStyle w:val="Heading3"/>
        <w:rPr>
          <w:rFonts w:eastAsia="Calibri"/>
        </w:rPr>
      </w:pPr>
      <w:bookmarkStart w:id="795" w:name="_Toc365992555"/>
      <w:bookmarkStart w:id="796" w:name="_Toc366154313"/>
      <w:bookmarkStart w:id="797" w:name="_Toc366154433"/>
      <w:bookmarkStart w:id="798" w:name="_Toc366409980"/>
      <w:bookmarkStart w:id="799" w:name="_Toc372088048"/>
      <w:bookmarkStart w:id="800" w:name="_Toc378069109"/>
      <w:r w:rsidRPr="004E6412">
        <w:rPr>
          <w:lang w:eastAsia="hr-HR"/>
        </w:rPr>
        <w:t>Globalni trendovi razvoja</w:t>
      </w:r>
      <w:bookmarkEnd w:id="795"/>
      <w:bookmarkEnd w:id="796"/>
      <w:bookmarkEnd w:id="797"/>
      <w:bookmarkEnd w:id="798"/>
      <w:bookmarkEnd w:id="799"/>
      <w:bookmarkEnd w:id="800"/>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Promatrana industrijska djelatnost uključuje proizvodnju i sklapanje elektroničkih proizvoda k</w:t>
      </w:r>
      <w:r w:rsidR="00B50DC9" w:rsidRPr="004E6412">
        <w:rPr>
          <w:rFonts w:ascii="Times New Roman" w:hAnsi="Times New Roman"/>
        </w:rPr>
        <w:t>oji se koriste u osobne, specijalizirane</w:t>
      </w:r>
      <w:r w:rsidRPr="004E6412">
        <w:rPr>
          <w:rFonts w:ascii="Times New Roman" w:hAnsi="Times New Roman"/>
        </w:rPr>
        <w:t xml:space="preserve"> i vojne svrhe. Proizvodi se dalje upotrebljavaju za potrebe drugih industrijskih djelatnosti. Tvrtke iz ovoga segmenta prerađivačke industrije često se oslanjaju jedna na drugu i usko surađuju s drugim tvrtkama prerađivačke industrije koje za njih proizvode poluproizvode ili im dobavljaju potrebne sirovine. </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Sofistici</w:t>
      </w:r>
      <w:r w:rsidR="000903B4" w:rsidRPr="004E6412">
        <w:rPr>
          <w:rFonts w:ascii="Times New Roman" w:hAnsi="Times New Roman"/>
        </w:rPr>
        <w:t>rana oprema i vrhunski obrazovani stručnjaci čine</w:t>
      </w:r>
      <w:r w:rsidRPr="004E6412">
        <w:rPr>
          <w:rFonts w:ascii="Times New Roman" w:hAnsi="Times New Roman"/>
        </w:rPr>
        <w:t xml:space="preserve"> osnovu za vrhunski proizvod. Proizvodi su inovativni uz maksimalnu produktivnost u industrijskoj i procesnoj automatizac</w:t>
      </w:r>
      <w:r w:rsidR="000903B4" w:rsidRPr="004E6412">
        <w:rPr>
          <w:rFonts w:ascii="Times New Roman" w:hAnsi="Times New Roman"/>
        </w:rPr>
        <w:t>iji - od pojedinačnih sastavnica</w:t>
      </w:r>
      <w:r w:rsidRPr="004E6412">
        <w:rPr>
          <w:rFonts w:ascii="Times New Roman" w:hAnsi="Times New Roman"/>
        </w:rPr>
        <w:t xml:space="preserve"> do gotovih cjelovitih rješenja. Nakon usv</w:t>
      </w:r>
      <w:r w:rsidR="00610EE9" w:rsidRPr="004E6412">
        <w:rPr>
          <w:rFonts w:ascii="Times New Roman" w:hAnsi="Times New Roman"/>
        </w:rPr>
        <w:t>ajanja i primjene znanja</w:t>
      </w:r>
      <w:r w:rsidRPr="004E6412">
        <w:rPr>
          <w:rFonts w:ascii="Times New Roman" w:hAnsi="Times New Roman"/>
        </w:rPr>
        <w:t xml:space="preserve"> te stjecanja određenog iskustva u proizvodnji</w:t>
      </w:r>
      <w:r w:rsidR="00610EE9" w:rsidRPr="004E6412">
        <w:rPr>
          <w:rFonts w:ascii="Times New Roman" w:hAnsi="Times New Roman"/>
        </w:rPr>
        <w:t>, postoji mogućnost premještanja</w:t>
      </w:r>
      <w:r w:rsidRPr="004E6412">
        <w:rPr>
          <w:rFonts w:ascii="Times New Roman" w:hAnsi="Times New Roman"/>
        </w:rPr>
        <w:t xml:space="preserve"> proizvodnje</w:t>
      </w:r>
      <w:r w:rsidR="0036608E" w:rsidRPr="004E6412">
        <w:rPr>
          <w:rFonts w:ascii="Times New Roman" w:hAnsi="Times New Roman"/>
        </w:rPr>
        <w:t xml:space="preserve"> u druge zemlje</w:t>
      </w:r>
      <w:r w:rsidRPr="004E6412">
        <w:rPr>
          <w:rFonts w:ascii="Times New Roman" w:hAnsi="Times New Roman"/>
        </w:rPr>
        <w:t xml:space="preserve"> kako bi se</w:t>
      </w:r>
      <w:r w:rsidR="0036608E" w:rsidRPr="004E6412">
        <w:rPr>
          <w:rFonts w:ascii="Times New Roman" w:hAnsi="Times New Roman"/>
        </w:rPr>
        <w:t>, u domicilnoj zemlji,</w:t>
      </w:r>
      <w:r w:rsidRPr="004E6412">
        <w:rPr>
          <w:rFonts w:ascii="Times New Roman" w:hAnsi="Times New Roman"/>
        </w:rPr>
        <w:t xml:space="preserve"> sva energija usmjerila u razvoj novih proizvoda.</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Proizvodi djelatnosti C26 postaju jeftiniji, a zahvaljujući organiziranom</w:t>
      </w:r>
      <w:r w:rsidR="00610EE9" w:rsidRPr="004E6412">
        <w:rPr>
          <w:rFonts w:ascii="Times New Roman" w:hAnsi="Times New Roman"/>
        </w:rPr>
        <w:t>e</w:t>
      </w:r>
      <w:r w:rsidRPr="004E6412">
        <w:rPr>
          <w:rFonts w:ascii="Times New Roman" w:hAnsi="Times New Roman"/>
        </w:rPr>
        <w:t xml:space="preserve"> globa</w:t>
      </w:r>
      <w:r w:rsidR="00610EE9" w:rsidRPr="004E6412">
        <w:rPr>
          <w:rFonts w:ascii="Times New Roman" w:hAnsi="Times New Roman"/>
        </w:rPr>
        <w:t>lnom logističkom lancu</w:t>
      </w:r>
      <w:r w:rsidRPr="004E6412">
        <w:rPr>
          <w:rFonts w:ascii="Times New Roman" w:hAnsi="Times New Roman"/>
        </w:rPr>
        <w:t xml:space="preserve"> njihova </w:t>
      </w:r>
      <w:r w:rsidR="00610EE9" w:rsidRPr="004E6412">
        <w:rPr>
          <w:rFonts w:ascii="Times New Roman" w:hAnsi="Times New Roman"/>
        </w:rPr>
        <w:t xml:space="preserve">je </w:t>
      </w:r>
      <w:r w:rsidRPr="004E6412">
        <w:rPr>
          <w:rFonts w:ascii="Times New Roman" w:hAnsi="Times New Roman"/>
        </w:rPr>
        <w:t>proizvodnja sve brža. Većina proizvedene elektroničke opreme potj</w:t>
      </w:r>
      <w:r w:rsidR="00610EE9" w:rsidRPr="004E6412">
        <w:rPr>
          <w:rFonts w:ascii="Times New Roman" w:hAnsi="Times New Roman"/>
        </w:rPr>
        <w:t>eče iz Azije, s Kinom na čelu kada je riječ o</w:t>
      </w:r>
      <w:r w:rsidRPr="004E6412">
        <w:rPr>
          <w:rFonts w:ascii="Times New Roman" w:hAnsi="Times New Roman"/>
        </w:rPr>
        <w:t xml:space="preserve"> proizvodnji. Tvrtke iz SAD-a uglavnom </w:t>
      </w:r>
      <w:r w:rsidR="00610EE9" w:rsidRPr="004E6412">
        <w:rPr>
          <w:rFonts w:ascii="Times New Roman" w:hAnsi="Times New Roman"/>
          <w:i/>
        </w:rPr>
        <w:t>outsourcaju</w:t>
      </w:r>
      <w:r w:rsidR="00610EE9" w:rsidRPr="004E6412">
        <w:rPr>
          <w:rFonts w:ascii="Times New Roman" w:hAnsi="Times New Roman"/>
        </w:rPr>
        <w:t xml:space="preserve"> svoje aktivnosti</w:t>
      </w:r>
      <w:r w:rsidRPr="004E6412">
        <w:rPr>
          <w:rFonts w:ascii="Times New Roman" w:hAnsi="Times New Roman"/>
        </w:rPr>
        <w:t xml:space="preserve"> te ostvaruju i povećavaju dobit smanjenjem troškova proizvodnje. Cjelokupna industrija temelj</w:t>
      </w:r>
      <w:r w:rsidR="00610EE9" w:rsidRPr="004E6412">
        <w:rPr>
          <w:rFonts w:ascii="Times New Roman" w:hAnsi="Times New Roman"/>
        </w:rPr>
        <w:t>i se na tehnološkim inovacijama</w:t>
      </w:r>
      <w:r w:rsidRPr="004E6412">
        <w:rPr>
          <w:rFonts w:ascii="Times New Roman" w:hAnsi="Times New Roman"/>
        </w:rPr>
        <w:t xml:space="preserve"> s velikim ulaganjima u istraživanje i razvoj projekata koji uključuju visoko kvalificira</w:t>
      </w:r>
      <w:r w:rsidR="00610EE9" w:rsidRPr="004E6412">
        <w:rPr>
          <w:rFonts w:ascii="Times New Roman" w:hAnsi="Times New Roman"/>
        </w:rPr>
        <w:t>ne inženjere i tehničke stručnjake</w:t>
      </w:r>
      <w:r w:rsidRPr="004E6412">
        <w:rPr>
          <w:rFonts w:ascii="Times New Roman" w:hAnsi="Times New Roman"/>
        </w:rPr>
        <w:t>. Podizanjem stupnja automatizacije omogućava se brža proizvodnja elektroničke opreme uz</w:t>
      </w:r>
      <w:r w:rsidR="00610EE9" w:rsidRPr="004E6412">
        <w:rPr>
          <w:rFonts w:ascii="Times New Roman" w:hAnsi="Times New Roman"/>
        </w:rPr>
        <w:t xml:space="preserve"> držanje koraka sa stalnim </w:t>
      </w:r>
      <w:r w:rsidRPr="004E6412">
        <w:rPr>
          <w:rFonts w:ascii="Times New Roman" w:hAnsi="Times New Roman"/>
        </w:rPr>
        <w:t>tehnološkim razvojem.</w:t>
      </w:r>
    </w:p>
    <w:p w:rsidR="001B41B0" w:rsidRPr="004E6412" w:rsidRDefault="001B41B0" w:rsidP="001B41B0"/>
    <w:p w:rsidR="001B41B0" w:rsidRPr="004E6412" w:rsidRDefault="001B41B0" w:rsidP="00D001B9">
      <w:pPr>
        <w:pStyle w:val="Heading3"/>
        <w:rPr>
          <w:rFonts w:eastAsia="Calibri"/>
        </w:rPr>
      </w:pPr>
      <w:bookmarkStart w:id="801" w:name="_Toc365992556"/>
      <w:bookmarkStart w:id="802" w:name="_Toc366154314"/>
      <w:bookmarkStart w:id="803" w:name="_Toc366154434"/>
      <w:bookmarkStart w:id="804" w:name="_Toc366409981"/>
      <w:bookmarkStart w:id="805" w:name="_Toc372088049"/>
      <w:bookmarkStart w:id="806" w:name="_Toc378069110"/>
      <w:r w:rsidRPr="004E6412">
        <w:rPr>
          <w:rFonts w:eastAsia="Calibri"/>
        </w:rPr>
        <w:t>Trendovi razvoja u Europskoj uniji</w:t>
      </w:r>
      <w:bookmarkEnd w:id="801"/>
      <w:bookmarkEnd w:id="802"/>
      <w:bookmarkEnd w:id="803"/>
      <w:bookmarkEnd w:id="804"/>
      <w:bookmarkEnd w:id="805"/>
      <w:bookmarkEnd w:id="806"/>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t>U djelatnosti proizvodnje računala te elektroničkih i o</w:t>
      </w:r>
      <w:r w:rsidR="00610EE9" w:rsidRPr="004E6412">
        <w:rPr>
          <w:rFonts w:ascii="Times New Roman" w:hAnsi="Times New Roman"/>
        </w:rPr>
        <w:t>ptičkih proizvoda u EU27, 2010. godine</w:t>
      </w:r>
      <w:r w:rsidRPr="004E6412">
        <w:rPr>
          <w:rFonts w:ascii="Times New Roman" w:hAnsi="Times New Roman"/>
        </w:rPr>
        <w:t xml:space="preserve"> poslovalo je 44.100 poduzeća, radilo je 1,14 milijuna za</w:t>
      </w:r>
      <w:r w:rsidR="00610EE9" w:rsidRPr="004E6412">
        <w:rPr>
          <w:rFonts w:ascii="Times New Roman" w:hAnsi="Times New Roman"/>
        </w:rPr>
        <w:t xml:space="preserve">poslenika, a </w:t>
      </w:r>
      <w:r w:rsidRPr="004E6412">
        <w:rPr>
          <w:rFonts w:ascii="Times New Roman" w:hAnsi="Times New Roman"/>
        </w:rPr>
        <w:t xml:space="preserve">generirala </w:t>
      </w:r>
      <w:r w:rsidR="00610EE9" w:rsidRPr="004E6412">
        <w:rPr>
          <w:rFonts w:ascii="Times New Roman" w:hAnsi="Times New Roman"/>
        </w:rPr>
        <w:t xml:space="preserve">je </w:t>
      </w:r>
      <w:r w:rsidRPr="004E6412">
        <w:rPr>
          <w:rFonts w:ascii="Times New Roman" w:hAnsi="Times New Roman"/>
        </w:rPr>
        <w:t>dodanu vrijednost od 77,7 milijardi eura. Produktivnost rada po zaposleniku bila je iznad prosjeka prerađivačke industrije. Međutim, i prosječne plaće u ovoj grani bile su iznad prosječnih plaća prerađivačke industrije. Operativna profitabilnost mjerena bruto operativnim viškom bila j</w:t>
      </w:r>
      <w:r w:rsidR="00610EE9" w:rsidRPr="004E6412">
        <w:rPr>
          <w:rFonts w:ascii="Times New Roman" w:hAnsi="Times New Roman"/>
        </w:rPr>
        <w:t xml:space="preserve">e lagano ispod prosjeka cjelokupnog </w:t>
      </w:r>
      <w:r w:rsidRPr="004E6412">
        <w:rPr>
          <w:rFonts w:ascii="Times New Roman" w:hAnsi="Times New Roman"/>
        </w:rPr>
        <w:t>nefinancijskog gospodarstva (10,1%), ali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4"/>
        </w:numPr>
        <w:spacing w:after="0"/>
        <w:jc w:val="both"/>
        <w:rPr>
          <w:rFonts w:ascii="Times New Roman" w:hAnsi="Times New Roman"/>
          <w:bCs/>
        </w:rPr>
      </w:pPr>
      <w:r w:rsidRPr="004E6412">
        <w:rPr>
          <w:rFonts w:ascii="Times New Roman" w:hAnsi="Times New Roman"/>
        </w:rPr>
        <w:t>Najveći udio u prihodima djelatnosti C26 ima poddjelatnost P</w:t>
      </w:r>
      <w:r w:rsidRPr="004E6412">
        <w:rPr>
          <w:rFonts w:ascii="Times New Roman" w:hAnsi="Times New Roman"/>
          <w:bCs/>
        </w:rPr>
        <w:t>roizvodnja elektroničkih komponenata i ploča, koju slijedi poddjelatnost Proizvodnja instrumenata i aparata za mje</w:t>
      </w:r>
      <w:r w:rsidR="00610EE9" w:rsidRPr="004E6412">
        <w:rPr>
          <w:rFonts w:ascii="Times New Roman" w:hAnsi="Times New Roman"/>
          <w:bCs/>
        </w:rPr>
        <w:t>renje, ispitivanje i navigaciju te</w:t>
      </w:r>
      <w:r w:rsidRPr="004E6412">
        <w:rPr>
          <w:rFonts w:ascii="Times New Roman" w:hAnsi="Times New Roman"/>
          <w:bCs/>
        </w:rPr>
        <w:t xml:space="preserve"> proizvodnju satova.</w:t>
      </w:r>
    </w:p>
    <w:p w:rsidR="001B41B0" w:rsidRPr="004E6412" w:rsidRDefault="001B41B0" w:rsidP="001B41B0">
      <w:pPr>
        <w:rPr>
          <w:bCs/>
          <w:sz w:val="22"/>
        </w:rPr>
      </w:pPr>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lastRenderedPageBreak/>
        <w:t xml:space="preserve">Nakon pada proizvodnje elektroničkih proizvoda u zapadnoj Europi u 2009. za više od 17%, u 2010. došlo je do oporavka sa stopom rasta od 8,2%. Međutim, nakon daljnjeg rasta </w:t>
      </w:r>
      <w:r w:rsidR="00610EE9" w:rsidRPr="004E6412">
        <w:rPr>
          <w:rFonts w:ascii="Times New Roman" w:hAnsi="Times New Roman"/>
        </w:rPr>
        <w:t xml:space="preserve">u </w:t>
      </w:r>
      <w:r w:rsidRPr="004E6412">
        <w:rPr>
          <w:rFonts w:ascii="Times New Roman" w:hAnsi="Times New Roman"/>
        </w:rPr>
        <w:t>prvih nekoliko mjeseci 2011., proizvodnja se znatno usporila zahvaljujući ponajprije smanjenj</w:t>
      </w:r>
      <w:r w:rsidR="00610EE9" w:rsidRPr="004E6412">
        <w:rPr>
          <w:rFonts w:ascii="Times New Roman" w:hAnsi="Times New Roman"/>
        </w:rPr>
        <w:t>u povjerenja potrošača i tvrtki</w:t>
      </w:r>
      <w:r w:rsidRPr="004E6412">
        <w:rPr>
          <w:rFonts w:ascii="Times New Roman" w:hAnsi="Times New Roman"/>
        </w:rPr>
        <w:t xml:space="preserve"> te nesigurnosti vezano uz budućnost eurozone. U razdoblju 2013.</w:t>
      </w:r>
      <w:r w:rsidR="00610EE9" w:rsidRPr="004E6412">
        <w:rPr>
          <w:rFonts w:ascii="Times New Roman" w:hAnsi="Times New Roman"/>
        </w:rPr>
        <w:t xml:space="preserve"> – </w:t>
      </w:r>
      <w:r w:rsidRPr="004E6412">
        <w:rPr>
          <w:rFonts w:ascii="Times New Roman" w:hAnsi="Times New Roman"/>
        </w:rPr>
        <w:t>2015. predviđa se kako će proizvodnja elektroničke opreme imati nis</w:t>
      </w:r>
      <w:r w:rsidR="00610EE9" w:rsidRPr="004E6412">
        <w:rPr>
          <w:rFonts w:ascii="Times New Roman" w:hAnsi="Times New Roman"/>
        </w:rPr>
        <w:t>ku jednoznamenkastu stopu rasta</w:t>
      </w:r>
      <w:r w:rsidRPr="004E6412">
        <w:rPr>
          <w:rFonts w:ascii="Times New Roman" w:hAnsi="Times New Roman"/>
        </w:rPr>
        <w:t xml:space="preserve"> s trendom većeg rasta u segmentima industrije i komunikacije, koju će neutralizirati pad proizvodnje u segmentima računala i kućanstava.</w:t>
      </w:r>
    </w:p>
    <w:p w:rsidR="001B41B0" w:rsidRPr="004E6412" w:rsidRDefault="001B41B0" w:rsidP="001B41B0"/>
    <w:p w:rsidR="001B41B0" w:rsidRPr="004E6412" w:rsidRDefault="001B41B0" w:rsidP="00D001B9">
      <w:pPr>
        <w:pStyle w:val="Heading3"/>
        <w:rPr>
          <w:rFonts w:eastAsia="Calibri"/>
        </w:rPr>
      </w:pPr>
      <w:bookmarkStart w:id="807" w:name="_Toc365992557"/>
      <w:bookmarkStart w:id="808" w:name="_Toc366154315"/>
      <w:bookmarkStart w:id="809" w:name="_Toc366154435"/>
      <w:bookmarkStart w:id="810" w:name="_Toc366409982"/>
      <w:bookmarkStart w:id="811" w:name="_Toc372088050"/>
      <w:bookmarkStart w:id="812" w:name="_Toc378069111"/>
      <w:r w:rsidRPr="004E6412">
        <w:t>Stanje i perspektive razvoja u Republici Hrvatskoj</w:t>
      </w:r>
      <w:bookmarkEnd w:id="807"/>
      <w:bookmarkEnd w:id="808"/>
      <w:bookmarkEnd w:id="809"/>
      <w:bookmarkEnd w:id="810"/>
      <w:bookmarkEnd w:id="811"/>
      <w:bookmarkEnd w:id="812"/>
    </w:p>
    <w:p w:rsidR="001B41B0" w:rsidRPr="004E6412" w:rsidRDefault="00610EE9" w:rsidP="001B41B0">
      <w:pPr>
        <w:pStyle w:val="ListParagraph"/>
        <w:numPr>
          <w:ilvl w:val="0"/>
          <w:numId w:val="45"/>
        </w:numPr>
        <w:spacing w:after="0"/>
        <w:jc w:val="both"/>
        <w:rPr>
          <w:rFonts w:ascii="Times New Roman" w:hAnsi="Times New Roman"/>
        </w:rPr>
      </w:pPr>
      <w:r w:rsidRPr="004E6412">
        <w:rPr>
          <w:rFonts w:ascii="Times New Roman" w:hAnsi="Times New Roman"/>
        </w:rPr>
        <w:t>Djelatnost</w:t>
      </w:r>
      <w:r w:rsidR="001B41B0" w:rsidRPr="004E6412">
        <w:rPr>
          <w:rFonts w:ascii="Times New Roman" w:hAnsi="Times New Roman"/>
        </w:rPr>
        <w:t xml:space="preserve"> C26 Proizvodnja računala te elektroničkih i optičkih proizvoda je u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 zapošljavala</w:t>
      </w:r>
      <w:r w:rsidR="001B41B0" w:rsidRPr="004E6412">
        <w:rPr>
          <w:rFonts w:ascii="Times New Roman" w:hAnsi="Times New Roman"/>
        </w:rPr>
        <w:t xml:space="preserve"> redom 6.076, 6.1</w:t>
      </w:r>
      <w:r w:rsidRPr="004E6412">
        <w:rPr>
          <w:rFonts w:ascii="Times New Roman" w:hAnsi="Times New Roman"/>
        </w:rPr>
        <w:t>34 i 5.880 zaposlenika s obzirom na sate</w:t>
      </w:r>
      <w:r w:rsidR="001B41B0" w:rsidRPr="004E6412">
        <w:rPr>
          <w:rFonts w:ascii="Times New Roman" w:hAnsi="Times New Roman"/>
        </w:rPr>
        <w:t xml:space="preserve"> rada. Smanjen je i broj aktivnih poduzeća u spome</w:t>
      </w:r>
      <w:r w:rsidRPr="004E6412">
        <w:rPr>
          <w:rFonts w:ascii="Times New Roman" w:hAnsi="Times New Roman"/>
        </w:rPr>
        <w:t>nutoj djelatnosti, s</w:t>
      </w:r>
      <w:r w:rsidR="001B41B0" w:rsidRPr="004E6412">
        <w:rPr>
          <w:rFonts w:ascii="Times New Roman" w:hAnsi="Times New Roman"/>
        </w:rPr>
        <w:t xml:space="preserve"> 507 u 2011. na 499 poduzeća u 2012. Najviše radne snage ove djelatnosti radi u </w:t>
      </w:r>
      <w:r w:rsidRPr="004E6412">
        <w:rPr>
          <w:rFonts w:ascii="Times New Roman" w:hAnsi="Times New Roman"/>
        </w:rPr>
        <w:t>poddjelatnosti C26.3</w:t>
      </w:r>
      <w:r w:rsidR="001B41B0" w:rsidRPr="004E6412">
        <w:rPr>
          <w:rFonts w:ascii="Times New Roman" w:hAnsi="Times New Roman"/>
        </w:rPr>
        <w:t xml:space="preserve"> Proizvodnja komunikacijske o</w:t>
      </w:r>
      <w:r w:rsidRPr="004E6412">
        <w:rPr>
          <w:rFonts w:ascii="Times New Roman" w:hAnsi="Times New Roman"/>
        </w:rPr>
        <w:t>preme (37,43%), a zatim u C26.2</w:t>
      </w:r>
      <w:r w:rsidR="001B41B0" w:rsidRPr="004E6412">
        <w:rPr>
          <w:rFonts w:ascii="Times New Roman" w:hAnsi="Times New Roman"/>
        </w:rPr>
        <w:t xml:space="preserve"> Proizvodnja računala i</w:t>
      </w:r>
      <w:r w:rsidRPr="004E6412">
        <w:rPr>
          <w:rFonts w:ascii="Times New Roman" w:hAnsi="Times New Roman"/>
        </w:rPr>
        <w:t xml:space="preserve"> periferne opreme (24%) i C26.1</w:t>
      </w:r>
      <w:r w:rsidR="001B41B0" w:rsidRPr="004E6412">
        <w:rPr>
          <w:rFonts w:ascii="Times New Roman" w:hAnsi="Times New Roman"/>
        </w:rPr>
        <w:t xml:space="preserve"> </w:t>
      </w:r>
      <w:r w:rsidRPr="004E6412">
        <w:rPr>
          <w:rFonts w:ascii="Times New Roman" w:hAnsi="Times New Roman"/>
        </w:rPr>
        <w:t>Proizvodnja elektroničkih sastavnica</w:t>
      </w:r>
      <w:r w:rsidR="001B41B0" w:rsidRPr="004E6412">
        <w:rPr>
          <w:rFonts w:ascii="Times New Roman" w:hAnsi="Times New Roman"/>
        </w:rPr>
        <w:t xml:space="preserve"> i ploča (20,19%).</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Prema izračunu ponderiranog udjela kapitala (ponder je prihod), kapital u ovoj djelatnosti je pretežito domaći s udjelom od 77,51%. Inozemni je</w:t>
      </w:r>
      <w:r w:rsidR="00610EE9" w:rsidRPr="004E6412">
        <w:rPr>
          <w:rFonts w:ascii="Times New Roman" w:hAnsi="Times New Roman"/>
        </w:rPr>
        <w:t xml:space="preserve"> udio</w:t>
      </w:r>
      <w:r w:rsidRPr="004E6412">
        <w:rPr>
          <w:rFonts w:ascii="Times New Roman" w:hAnsi="Times New Roman"/>
        </w:rPr>
        <w:t xml:space="preserve"> iznosio 17,96%, ali valja</w:t>
      </w:r>
      <w:r w:rsidR="00610EE9" w:rsidRPr="004E6412">
        <w:rPr>
          <w:rFonts w:ascii="Times New Roman" w:hAnsi="Times New Roman"/>
        </w:rPr>
        <w:t xml:space="preserve"> uzeti u obzir da je navedeno izračunato</w:t>
      </w:r>
      <w:r w:rsidRPr="004E6412">
        <w:rPr>
          <w:rFonts w:ascii="Times New Roman" w:hAnsi="Times New Roman"/>
        </w:rPr>
        <w:t xml:space="preserve"> samo na </w:t>
      </w:r>
      <w:r w:rsidR="00610EE9" w:rsidRPr="004E6412">
        <w:rPr>
          <w:rFonts w:ascii="Times New Roman" w:hAnsi="Times New Roman"/>
        </w:rPr>
        <w:t xml:space="preserve">temelju </w:t>
      </w:r>
      <w:r w:rsidRPr="004E6412">
        <w:rPr>
          <w:rFonts w:ascii="Times New Roman" w:hAnsi="Times New Roman"/>
        </w:rPr>
        <w:t>najvećih 100 poduzeća rangiranih prema ukupnom</w:t>
      </w:r>
      <w:r w:rsidR="00610EE9" w:rsidRPr="004E6412">
        <w:rPr>
          <w:rFonts w:ascii="Times New Roman" w:hAnsi="Times New Roman"/>
        </w:rPr>
        <w:t>e</w:t>
      </w:r>
      <w:r w:rsidRPr="004E6412">
        <w:rPr>
          <w:rFonts w:ascii="Times New Roman" w:hAnsi="Times New Roman"/>
        </w:rPr>
        <w:t xml:space="preserve"> prihodu. Kon</w:t>
      </w:r>
      <w:r w:rsidR="00610EE9" w:rsidRPr="004E6412">
        <w:rPr>
          <w:rFonts w:ascii="Times New Roman" w:hAnsi="Times New Roman"/>
        </w:rPr>
        <w:t>centracija u ovoj djelatnosti</w:t>
      </w:r>
      <w:r w:rsidRPr="004E6412">
        <w:rPr>
          <w:rFonts w:ascii="Times New Roman" w:hAnsi="Times New Roman"/>
        </w:rPr>
        <w:t xml:space="preserve"> vrlo </w:t>
      </w:r>
      <w:r w:rsidR="00610EE9" w:rsidRPr="004E6412">
        <w:rPr>
          <w:rFonts w:ascii="Times New Roman" w:hAnsi="Times New Roman"/>
        </w:rPr>
        <w:t xml:space="preserve">je </w:t>
      </w:r>
      <w:r w:rsidRPr="004E6412">
        <w:rPr>
          <w:rFonts w:ascii="Times New Roman" w:hAnsi="Times New Roman"/>
        </w:rPr>
        <w:t xml:space="preserve">visoka. 15 poduzeća stvara 80% prihoda, a prema ostalim promatranim pokazateljima (aktivi, izvozu, uvozu, broju zaposlenih) vidljivo je da manje od 70 poduzeća stvara 80% promatranih vrijednosti. Ističu se Ericsson Nikola Tesla d.d. s udjelom </w:t>
      </w:r>
      <w:r w:rsidR="00610EE9" w:rsidRPr="004E6412">
        <w:rPr>
          <w:rFonts w:ascii="Times New Roman" w:hAnsi="Times New Roman"/>
        </w:rPr>
        <w:t xml:space="preserve">od </w:t>
      </w:r>
      <w:r w:rsidRPr="004E6412">
        <w:rPr>
          <w:rFonts w:ascii="Times New Roman" w:hAnsi="Times New Roman"/>
        </w:rPr>
        <w:t>33,19% u ukupnim prihodima djelatnosti (2012.) i M SAN Grupa d.d. s udjelom od 22,70% u ukupnim prihodima djelatnosti.</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Aktiva (pasiva) ove djelatnosti u promatranom</w:t>
      </w:r>
      <w:r w:rsidR="00610EE9" w:rsidRPr="004E6412">
        <w:rPr>
          <w:rFonts w:ascii="Times New Roman" w:hAnsi="Times New Roman"/>
        </w:rPr>
        <w:t>e</w:t>
      </w:r>
      <w:r w:rsidRPr="004E6412">
        <w:rPr>
          <w:rFonts w:ascii="Times New Roman" w:hAnsi="Times New Roman"/>
        </w:rPr>
        <w:t xml:space="preserve"> razdoblju ima negativan tre</w:t>
      </w:r>
      <w:r w:rsidR="00610EE9" w:rsidRPr="004E6412">
        <w:rPr>
          <w:rFonts w:ascii="Times New Roman" w:hAnsi="Times New Roman"/>
        </w:rPr>
        <w:t>nd</w:t>
      </w:r>
      <w:r w:rsidRPr="004E6412">
        <w:rPr>
          <w:rFonts w:ascii="Times New Roman" w:hAnsi="Times New Roman"/>
        </w:rPr>
        <w:t xml:space="preserve"> te je došlo do nje</w:t>
      </w:r>
      <w:r w:rsidR="00610EE9" w:rsidRPr="004E6412">
        <w:rPr>
          <w:rFonts w:ascii="Times New Roman" w:hAnsi="Times New Roman"/>
        </w:rPr>
        <w:t>zi</w:t>
      </w:r>
      <w:r w:rsidRPr="004E6412">
        <w:rPr>
          <w:rFonts w:ascii="Times New Roman" w:hAnsi="Times New Roman"/>
        </w:rPr>
        <w:t>nog uk</w:t>
      </w:r>
      <w:r w:rsidR="00610EE9" w:rsidRPr="004E6412">
        <w:rPr>
          <w:rFonts w:ascii="Times New Roman" w:hAnsi="Times New Roman"/>
        </w:rPr>
        <w:t xml:space="preserve">upnog smanjenja od 5,97%, što je </w:t>
      </w:r>
      <w:r w:rsidRPr="004E6412">
        <w:rPr>
          <w:rFonts w:ascii="Times New Roman" w:hAnsi="Times New Roman"/>
        </w:rPr>
        <w:t>posljedica većeg smanjenja kratkotrajne imovine (-10,46%) od porasta dugotrajne (9.88%). Dugot</w:t>
      </w:r>
      <w:r w:rsidR="00610EE9" w:rsidRPr="004E6412">
        <w:rPr>
          <w:rFonts w:ascii="Times New Roman" w:hAnsi="Times New Roman"/>
        </w:rPr>
        <w:t xml:space="preserve">rajna imovina neočekivano </w:t>
      </w:r>
      <w:r w:rsidRPr="004E6412">
        <w:rPr>
          <w:rFonts w:ascii="Times New Roman" w:hAnsi="Times New Roman"/>
        </w:rPr>
        <w:t xml:space="preserve">sudjeluje sa znatno manjim udjelom u ukupnoj imovini od kratkotrajne. U pasivi se ističe značajno smanjenje zadržane dobiti (-48,91% </w:t>
      </w:r>
      <w:r w:rsidR="00610EE9" w:rsidRPr="004E6412">
        <w:rPr>
          <w:rFonts w:ascii="Times New Roman" w:hAnsi="Times New Roman"/>
        </w:rPr>
        <w:t xml:space="preserve">u razdoblju </w:t>
      </w:r>
      <w:r w:rsidRPr="004E6412">
        <w:rPr>
          <w:rFonts w:ascii="Times New Roman" w:hAnsi="Times New Roman"/>
        </w:rPr>
        <w:t>2010.</w:t>
      </w:r>
      <w:r w:rsidR="00610EE9" w:rsidRPr="004E6412">
        <w:rPr>
          <w:rFonts w:ascii="Times New Roman" w:hAnsi="Times New Roman"/>
        </w:rPr>
        <w:t xml:space="preserve"> – </w:t>
      </w:r>
      <w:r w:rsidRPr="004E6412">
        <w:rPr>
          <w:rFonts w:ascii="Times New Roman" w:hAnsi="Times New Roman"/>
        </w:rPr>
        <w:t>2012.), iako dobit razdoblja bilježi</w:t>
      </w:r>
      <w:r w:rsidR="00610EE9" w:rsidRPr="004E6412">
        <w:rPr>
          <w:rFonts w:ascii="Times New Roman" w:hAnsi="Times New Roman"/>
        </w:rPr>
        <w:t xml:space="preserve"> rast od 47,49%. Zanimljiv</w:t>
      </w:r>
      <w:r w:rsidRPr="004E6412">
        <w:rPr>
          <w:rFonts w:ascii="Times New Roman" w:hAnsi="Times New Roman"/>
        </w:rPr>
        <w:t xml:space="preserve"> je i vrlo mali udio dugoročnih obveza (7,87% u 2012.), a ostatak gotovo proporcionalno dijele kratkoročne obveze i kapital. Dakle, ova</w:t>
      </w:r>
      <w:r w:rsidR="00610EE9" w:rsidRPr="004E6412">
        <w:rPr>
          <w:rFonts w:ascii="Times New Roman" w:hAnsi="Times New Roman"/>
        </w:rPr>
        <w:t xml:space="preserve"> djelatnost nije izložena </w:t>
      </w:r>
      <w:r w:rsidRPr="004E6412">
        <w:rPr>
          <w:rFonts w:ascii="Times New Roman" w:hAnsi="Times New Roman"/>
        </w:rPr>
        <w:t>dugoročnom dugu.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U ukup</w:t>
      </w:r>
      <w:r w:rsidR="00610EE9" w:rsidRPr="004E6412">
        <w:rPr>
          <w:rFonts w:ascii="Times New Roman" w:hAnsi="Times New Roman"/>
        </w:rPr>
        <w:t>noj strukturi prihoda prevladavaju</w:t>
      </w:r>
      <w:r w:rsidRPr="004E6412">
        <w:rPr>
          <w:rFonts w:ascii="Times New Roman" w:hAnsi="Times New Roman"/>
        </w:rPr>
        <w:t xml:space="preserve"> poslovni prihodi (preko 97% u svim promatranim godinama 2010.</w:t>
      </w:r>
      <w:r w:rsidR="00610EE9" w:rsidRPr="004E6412">
        <w:rPr>
          <w:rFonts w:ascii="Times New Roman" w:hAnsi="Times New Roman"/>
        </w:rPr>
        <w:t xml:space="preserve"> – </w:t>
      </w:r>
      <w:r w:rsidRPr="004E6412">
        <w:rPr>
          <w:rFonts w:ascii="Times New Roman" w:hAnsi="Times New Roman"/>
        </w:rPr>
        <w:t>2012.), koji u promatranom</w:t>
      </w:r>
      <w:r w:rsidR="00610EE9" w:rsidRPr="004E6412">
        <w:rPr>
          <w:rFonts w:ascii="Times New Roman" w:hAnsi="Times New Roman"/>
        </w:rPr>
        <w:t xml:space="preserve"> razdoblju variraju. U 2011. </w:t>
      </w:r>
      <w:r w:rsidRPr="004E6412">
        <w:rPr>
          <w:rFonts w:ascii="Times New Roman" w:hAnsi="Times New Roman"/>
        </w:rPr>
        <w:t xml:space="preserve">primjetan </w:t>
      </w:r>
      <w:r w:rsidR="00610EE9" w:rsidRPr="004E6412">
        <w:rPr>
          <w:rFonts w:ascii="Times New Roman" w:hAnsi="Times New Roman"/>
        </w:rPr>
        <w:t xml:space="preserve">je </w:t>
      </w:r>
      <w:r w:rsidRPr="004E6412">
        <w:rPr>
          <w:rFonts w:ascii="Times New Roman" w:hAnsi="Times New Roman"/>
        </w:rPr>
        <w:t>značajan pad poslovnih prihoda,</w:t>
      </w:r>
      <w:r w:rsidR="00610EE9" w:rsidRPr="004E6412">
        <w:rPr>
          <w:rFonts w:ascii="Times New Roman" w:hAnsi="Times New Roman"/>
        </w:rPr>
        <w:t xml:space="preserve"> da bi se u 2012. opet povećali</w:t>
      </w:r>
      <w:r w:rsidRPr="004E6412">
        <w:rPr>
          <w:rFonts w:ascii="Times New Roman" w:hAnsi="Times New Roman"/>
        </w:rPr>
        <w:t xml:space="preserve"> i to na razinu malo višu od one iz 2010. I u ukupnim pr</w:t>
      </w:r>
      <w:r w:rsidR="00610EE9" w:rsidRPr="004E6412">
        <w:rPr>
          <w:rFonts w:ascii="Times New Roman" w:hAnsi="Times New Roman"/>
        </w:rPr>
        <w:t>ihodima i rashodima djelatnosti</w:t>
      </w:r>
      <w:r w:rsidRPr="004E6412">
        <w:rPr>
          <w:rFonts w:ascii="Times New Roman" w:hAnsi="Times New Roman"/>
        </w:rPr>
        <w:t xml:space="preserve"> s najvećim udjelo</w:t>
      </w:r>
      <w:r w:rsidR="00610EE9" w:rsidRPr="004E6412">
        <w:rPr>
          <w:rFonts w:ascii="Times New Roman" w:hAnsi="Times New Roman"/>
        </w:rPr>
        <w:t>m sudjeluje poddjelatnost C26.2</w:t>
      </w:r>
      <w:r w:rsidRPr="004E6412">
        <w:rPr>
          <w:rFonts w:ascii="Times New Roman" w:hAnsi="Times New Roman"/>
        </w:rPr>
        <w:t xml:space="preserve"> Proizvodnja računala i periferne opreme (oko 49% u 2012.), dok je u stvaran</w:t>
      </w:r>
      <w:r w:rsidR="00610EE9" w:rsidRPr="004E6412">
        <w:rPr>
          <w:rFonts w:ascii="Times New Roman" w:hAnsi="Times New Roman"/>
        </w:rPr>
        <w:t>ju dobiti zaslužnija C26.3</w:t>
      </w:r>
      <w:r w:rsidRPr="004E6412">
        <w:rPr>
          <w:rFonts w:ascii="Times New Roman" w:hAnsi="Times New Roman"/>
        </w:rPr>
        <w:t xml:space="preserve"> Proizvodnja komunikacijske opreme (50,37%).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w:t>
      </w:r>
      <w:r w:rsidR="00610EE9" w:rsidRPr="004E6412">
        <w:rPr>
          <w:rFonts w:ascii="Times New Roman" w:hAnsi="Times New Roman"/>
        </w:rPr>
        <w:t xml:space="preserve">ofitabilnost djelatnosti C26 </w:t>
      </w:r>
      <w:r w:rsidRPr="004E6412">
        <w:rPr>
          <w:rFonts w:ascii="Times New Roman" w:hAnsi="Times New Roman"/>
        </w:rPr>
        <w:t xml:space="preserve">pozitivna </w:t>
      </w:r>
      <w:r w:rsidR="000B6C2A" w:rsidRPr="004E6412">
        <w:rPr>
          <w:rFonts w:ascii="Times New Roman" w:hAnsi="Times New Roman"/>
        </w:rPr>
        <w:t xml:space="preserve">je i raste u razdoblju </w:t>
      </w:r>
      <w:r w:rsidRPr="004E6412">
        <w:rPr>
          <w:rFonts w:ascii="Times New Roman" w:hAnsi="Times New Roman"/>
        </w:rPr>
        <w:t>2010.</w:t>
      </w:r>
      <w:r w:rsidR="000B6C2A" w:rsidRPr="004E6412">
        <w:rPr>
          <w:rFonts w:ascii="Times New Roman" w:hAnsi="Times New Roman"/>
        </w:rPr>
        <w:t xml:space="preserve"> –</w:t>
      </w:r>
      <w:r w:rsidRPr="004E6412">
        <w:rPr>
          <w:rFonts w:ascii="Times New Roman" w:hAnsi="Times New Roman"/>
        </w:rPr>
        <w:t xml:space="preserve"> 2012. ROA je iznosila 5,70%, ROE 13,40%, a ROI 4,33% u</w:t>
      </w:r>
      <w:r w:rsidR="000B6C2A" w:rsidRPr="004E6412">
        <w:rPr>
          <w:rFonts w:ascii="Times New Roman" w:hAnsi="Times New Roman"/>
        </w:rPr>
        <w:t xml:space="preserve"> 2012. To je vidljivo iz svih promatranih pokazatelja. Povećana je vrijednost zarade</w:t>
      </w:r>
      <w:r w:rsidRPr="004E6412">
        <w:rPr>
          <w:rFonts w:ascii="Times New Roman" w:hAnsi="Times New Roman"/>
        </w:rPr>
        <w:t xml:space="preserve"> prije kamata, poreza i amortizacije </w:t>
      </w:r>
      <w:r w:rsidR="000B6C2A" w:rsidRPr="004E6412">
        <w:rPr>
          <w:rFonts w:ascii="Times New Roman" w:hAnsi="Times New Roman"/>
        </w:rPr>
        <w:t>za 14,02% na 388,56 milijuna kuna</w:t>
      </w:r>
      <w:r w:rsidRPr="004E6412">
        <w:rPr>
          <w:rFonts w:ascii="Times New Roman" w:hAnsi="Times New Roman"/>
        </w:rPr>
        <w:t xml:space="preserve">, zatim </w:t>
      </w:r>
      <w:r w:rsidR="000B6C2A" w:rsidRPr="004E6412">
        <w:rPr>
          <w:rFonts w:ascii="Times New Roman" w:hAnsi="Times New Roman"/>
        </w:rPr>
        <w:t>je povećana</w:t>
      </w:r>
      <w:r w:rsidRPr="004E6412">
        <w:rPr>
          <w:rFonts w:ascii="Times New Roman" w:hAnsi="Times New Roman"/>
        </w:rPr>
        <w:t xml:space="preserve"> i stvorena dodana vrijednost </w:t>
      </w:r>
      <w:r w:rsidR="000B6C2A" w:rsidRPr="004E6412">
        <w:rPr>
          <w:rFonts w:ascii="Times New Roman" w:hAnsi="Times New Roman"/>
        </w:rPr>
        <w:t>za 19,89% na 359,93 milijuna kuna</w:t>
      </w:r>
      <w:r w:rsidRPr="004E6412">
        <w:rPr>
          <w:rFonts w:ascii="Times New Roman" w:hAnsi="Times New Roman"/>
        </w:rPr>
        <w:t xml:space="preserve">, dok je stopa bruto operativnog viška povećana na 7%. </w:t>
      </w:r>
      <w:r w:rsidR="000B6C2A" w:rsidRPr="004E6412">
        <w:rPr>
          <w:rFonts w:ascii="Times New Roman" w:hAnsi="Times New Roman"/>
        </w:rPr>
        <w:t>Poddjelatnost C26.3 usporedivo</w:t>
      </w:r>
      <w:r w:rsidRPr="004E6412">
        <w:rPr>
          <w:rFonts w:ascii="Times New Roman" w:hAnsi="Times New Roman"/>
        </w:rPr>
        <w:t xml:space="preserve"> je najprofitabilnija</w:t>
      </w:r>
      <w:r w:rsidR="000B6C2A" w:rsidRPr="004E6412">
        <w:rPr>
          <w:rFonts w:ascii="Times New Roman" w:hAnsi="Times New Roman"/>
        </w:rPr>
        <w:t xml:space="preserve"> od svih poddjelatnosti, a pritom</w:t>
      </w:r>
      <w:r w:rsidRPr="004E6412">
        <w:rPr>
          <w:rFonts w:ascii="Times New Roman" w:hAnsi="Times New Roman"/>
        </w:rPr>
        <w:t xml:space="preserve"> se mora naglasiti kako isključivo </w:t>
      </w:r>
      <w:r w:rsidRPr="004E6412">
        <w:rPr>
          <w:rFonts w:ascii="Times New Roman" w:hAnsi="Times New Roman"/>
        </w:rPr>
        <w:lastRenderedPageBreak/>
        <w:t xml:space="preserve">poddjelatnost C26.4 iskazuje negativne vrijednosti izabranih pokazatelja ROA, ROE i ROI (sa zamjetnim padom pokazatelja </w:t>
      </w:r>
      <w:r w:rsidR="000B6C2A" w:rsidRPr="004E6412">
        <w:rPr>
          <w:rFonts w:ascii="Times New Roman" w:hAnsi="Times New Roman"/>
        </w:rPr>
        <w:t xml:space="preserve">u razdoblju </w:t>
      </w:r>
      <w:r w:rsidRPr="004E6412">
        <w:rPr>
          <w:rFonts w:ascii="Times New Roman" w:hAnsi="Times New Roman"/>
        </w:rPr>
        <w:t>2010.</w:t>
      </w:r>
      <w:r w:rsidR="000B6C2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Nasuprot profitabilnosti, vanjskotrgovinska razmjena ove djelatnosti nije povoljna. Negativna vr</w:t>
      </w:r>
      <w:r w:rsidR="000B6C2A" w:rsidRPr="004E6412">
        <w:rPr>
          <w:rFonts w:ascii="Times New Roman" w:hAnsi="Times New Roman"/>
        </w:rPr>
        <w:t>ijednost trgovinske bilance</w:t>
      </w:r>
      <w:r w:rsidRPr="004E6412">
        <w:rPr>
          <w:rFonts w:ascii="Times New Roman" w:hAnsi="Times New Roman"/>
        </w:rPr>
        <w:t xml:space="preserve"> trostruko </w:t>
      </w:r>
      <w:r w:rsidR="000B6C2A" w:rsidRPr="004E6412">
        <w:rPr>
          <w:rFonts w:ascii="Times New Roman" w:hAnsi="Times New Roman"/>
        </w:rPr>
        <w:t xml:space="preserve">je </w:t>
      </w:r>
      <w:r w:rsidRPr="004E6412">
        <w:rPr>
          <w:rFonts w:ascii="Times New Roman" w:hAnsi="Times New Roman"/>
        </w:rPr>
        <w:t>smanjena u promatranom</w:t>
      </w:r>
      <w:r w:rsidR="000B6C2A" w:rsidRPr="004E6412">
        <w:rPr>
          <w:rFonts w:ascii="Times New Roman" w:hAnsi="Times New Roman"/>
        </w:rPr>
        <w:t>e</w:t>
      </w:r>
      <w:r w:rsidRPr="004E6412">
        <w:rPr>
          <w:rFonts w:ascii="Times New Roman" w:hAnsi="Times New Roman"/>
        </w:rPr>
        <w:t xml:space="preserve"> razdoblju, ali je i dalje na negativnih -332,77 miliju</w:t>
      </w:r>
      <w:r w:rsidR="000B6C2A" w:rsidRPr="004E6412">
        <w:rPr>
          <w:rFonts w:ascii="Times New Roman" w:hAnsi="Times New Roman"/>
        </w:rPr>
        <w:t>na kuna</w:t>
      </w:r>
      <w:r w:rsidRPr="004E6412">
        <w:rPr>
          <w:rFonts w:ascii="Times New Roman" w:hAnsi="Times New Roman"/>
        </w:rPr>
        <w:t>. I izvoz i uvoz su poveća</w:t>
      </w:r>
      <w:r w:rsidR="000B6C2A" w:rsidRPr="004E6412">
        <w:rPr>
          <w:rFonts w:ascii="Times New Roman" w:hAnsi="Times New Roman"/>
        </w:rPr>
        <w:t>ni. Porast izvoza očit je</w:t>
      </w:r>
      <w:r w:rsidRPr="004E6412">
        <w:rPr>
          <w:rFonts w:ascii="Times New Roman" w:hAnsi="Times New Roman"/>
        </w:rPr>
        <w:t xml:space="preserve"> tek 2012.</w:t>
      </w:r>
      <w:r w:rsidR="000B6C2A" w:rsidRPr="004E6412">
        <w:rPr>
          <w:rFonts w:ascii="Times New Roman" w:hAnsi="Times New Roman"/>
        </w:rPr>
        <w:t xml:space="preserve"> godine, dok je uvoz ponajprije</w:t>
      </w:r>
      <w:r w:rsidRPr="004E6412">
        <w:rPr>
          <w:rFonts w:ascii="Times New Roman" w:hAnsi="Times New Roman"/>
        </w:rPr>
        <w:t xml:space="preserve"> smanjen u 2011. da bi </w:t>
      </w:r>
      <w:r w:rsidR="000B6C2A" w:rsidRPr="004E6412">
        <w:rPr>
          <w:rFonts w:ascii="Times New Roman" w:hAnsi="Times New Roman"/>
        </w:rPr>
        <w:t>se u 2012. ponovno povećao</w:t>
      </w:r>
      <w:r w:rsidRPr="004E6412">
        <w:rPr>
          <w:rFonts w:ascii="Times New Roman" w:hAnsi="Times New Roman"/>
        </w:rPr>
        <w:t xml:space="preserve"> na razinu iz 2010. Dakle</w:t>
      </w:r>
      <w:r w:rsidR="000B6C2A" w:rsidRPr="004E6412">
        <w:rPr>
          <w:rFonts w:ascii="Times New Roman" w:hAnsi="Times New Roman"/>
        </w:rPr>
        <w:t xml:space="preserve">, vanjskotrgovinska razmjena </w:t>
      </w:r>
      <w:r w:rsidRPr="004E6412">
        <w:rPr>
          <w:rFonts w:ascii="Times New Roman" w:hAnsi="Times New Roman"/>
        </w:rPr>
        <w:t xml:space="preserve">povoljnija </w:t>
      </w:r>
      <w:r w:rsidR="000B6C2A" w:rsidRPr="004E6412">
        <w:rPr>
          <w:rFonts w:ascii="Times New Roman" w:hAnsi="Times New Roman"/>
        </w:rPr>
        <w:t>je nego u 2010. te</w:t>
      </w:r>
      <w:r w:rsidRPr="004E6412">
        <w:rPr>
          <w:rFonts w:ascii="Times New Roman" w:hAnsi="Times New Roman"/>
        </w:rPr>
        <w:t xml:space="preserve"> posebice ohrabruje nagli rast</w:t>
      </w:r>
      <w:r w:rsidR="000B6C2A" w:rsidRPr="004E6412">
        <w:rPr>
          <w:rFonts w:ascii="Times New Roman" w:hAnsi="Times New Roman"/>
        </w:rPr>
        <w:t xml:space="preserve"> izvoza, dok usporedne</w:t>
      </w:r>
      <w:r w:rsidRPr="004E6412">
        <w:rPr>
          <w:rFonts w:ascii="Times New Roman" w:hAnsi="Times New Roman"/>
        </w:rPr>
        <w:t xml:space="preserve"> prednosti i dalje nisu pozitivne. Poddjelatnosti</w:t>
      </w:r>
      <w:r w:rsidR="000B6C2A" w:rsidRPr="004E6412">
        <w:rPr>
          <w:rFonts w:ascii="Times New Roman" w:hAnsi="Times New Roman"/>
        </w:rPr>
        <w:t>,</w:t>
      </w:r>
      <w:r w:rsidRPr="004E6412">
        <w:rPr>
          <w:rFonts w:ascii="Times New Roman" w:hAnsi="Times New Roman"/>
        </w:rPr>
        <w:t xml:space="preserve"> koje su u sve tri promatrane godine imale pozitivnu trgovinsku bilancu</w:t>
      </w:r>
      <w:r w:rsidR="000B6C2A" w:rsidRPr="004E6412">
        <w:rPr>
          <w:rFonts w:ascii="Times New Roman" w:hAnsi="Times New Roman"/>
        </w:rPr>
        <w:t>,</w:t>
      </w:r>
      <w:r w:rsidRPr="004E6412">
        <w:rPr>
          <w:rFonts w:ascii="Times New Roman" w:hAnsi="Times New Roman"/>
        </w:rPr>
        <w:t xml:space="preserve"> su samo C26.1 i C26.3, a ostale su ostvarile negativne iznose. Izuzetno uvozno orijentirana poddjelatnost je C26.</w:t>
      </w:r>
      <w:r w:rsidR="000B6C2A" w:rsidRPr="004E6412">
        <w:rPr>
          <w:rFonts w:ascii="Times New Roman" w:hAnsi="Times New Roman"/>
        </w:rPr>
        <w:t>2 koja je na 518,28 milijuna kuna izvoza postigla 1,43 milijarde kuna uvoza (2012.). Potom</w:t>
      </w:r>
      <w:r w:rsidRPr="004E6412">
        <w:rPr>
          <w:rFonts w:ascii="Times New Roman" w:hAnsi="Times New Roman"/>
        </w:rPr>
        <w:t xml:space="preserve"> valja sp</w:t>
      </w:r>
      <w:r w:rsidR="000B6C2A" w:rsidRPr="004E6412">
        <w:rPr>
          <w:rFonts w:ascii="Times New Roman" w:hAnsi="Times New Roman"/>
        </w:rPr>
        <w:t xml:space="preserve">omenuti i poddjelatnost C26.6 </w:t>
      </w:r>
      <w:r w:rsidRPr="004E6412">
        <w:rPr>
          <w:rFonts w:ascii="Times New Roman" w:hAnsi="Times New Roman"/>
        </w:rPr>
        <w:t>Proizvodnja opreme za zračenje, eletromedicinske i elektroterapeutske opr</w:t>
      </w:r>
      <w:r w:rsidR="000B6C2A" w:rsidRPr="004E6412">
        <w:rPr>
          <w:rFonts w:ascii="Times New Roman" w:hAnsi="Times New Roman"/>
        </w:rPr>
        <w:t>eme koja je na 1,38 milijuna kuna izvoza postigla 27,84 milijuna kuna</w:t>
      </w:r>
      <w:r w:rsidRPr="004E6412">
        <w:rPr>
          <w:rFonts w:ascii="Times New Roman" w:hAnsi="Times New Roman"/>
        </w:rPr>
        <w:t xml:space="preserve"> uvoza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Bruto dodana vrije</w:t>
      </w:r>
      <w:r w:rsidR="000B6C2A" w:rsidRPr="004E6412">
        <w:rPr>
          <w:rFonts w:ascii="Times New Roman" w:hAnsi="Times New Roman"/>
        </w:rPr>
        <w:t xml:space="preserve">dnost djelatnosti u promatranome je razdoblju iskazala </w:t>
      </w:r>
      <w:r w:rsidRPr="004E6412">
        <w:rPr>
          <w:rFonts w:ascii="Times New Roman" w:hAnsi="Times New Roman"/>
        </w:rPr>
        <w:t xml:space="preserve">rast od 4,83% i na razini je </w:t>
      </w:r>
      <w:r w:rsidR="000B6C2A" w:rsidRPr="004E6412">
        <w:rPr>
          <w:rFonts w:ascii="Times New Roman" w:hAnsi="Times New Roman"/>
        </w:rPr>
        <w:t>od 1,46 milijardi kuna u 2012. Udio</w:t>
      </w:r>
      <w:r w:rsidRPr="004E6412">
        <w:rPr>
          <w:rFonts w:ascii="Times New Roman" w:hAnsi="Times New Roman"/>
        </w:rPr>
        <w:t xml:space="preserve"> u ukupnoj bruto dodanoj vrijednosti iznosio je 3,19% u 2012. Pokazatelj specijalizacije ukazuje na visoku intraindustrijsku razmjenu. Državne potpore i subvencije iznosile su svega 0,03% ukupnih prihoda u 2012.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Proizvodnost rada u promatranom</w:t>
      </w:r>
      <w:r w:rsidR="000B6C2A" w:rsidRPr="004E6412">
        <w:rPr>
          <w:rFonts w:ascii="Times New Roman" w:hAnsi="Times New Roman"/>
        </w:rPr>
        <w:t>e</w:t>
      </w:r>
      <w:r w:rsidRPr="004E6412">
        <w:rPr>
          <w:rFonts w:ascii="Times New Roman" w:hAnsi="Times New Roman"/>
        </w:rPr>
        <w:t xml:space="preserve"> razdoblju 2010.</w:t>
      </w:r>
      <w:r w:rsidR="000B6C2A" w:rsidRPr="004E6412">
        <w:rPr>
          <w:rFonts w:ascii="Times New Roman" w:hAnsi="Times New Roman"/>
        </w:rPr>
        <w:t xml:space="preserve"> – </w:t>
      </w:r>
      <w:r w:rsidRPr="004E6412">
        <w:rPr>
          <w:rFonts w:ascii="Times New Roman" w:hAnsi="Times New Roman"/>
        </w:rPr>
        <w:t>2012</w:t>
      </w:r>
      <w:r w:rsidR="000B6C2A" w:rsidRPr="004E6412">
        <w:rPr>
          <w:rFonts w:ascii="Times New Roman" w:hAnsi="Times New Roman"/>
        </w:rPr>
        <w:t>. raste (u iznosu</w:t>
      </w:r>
      <w:r w:rsidRPr="004E6412">
        <w:rPr>
          <w:rFonts w:ascii="Times New Roman" w:hAnsi="Times New Roman"/>
        </w:rPr>
        <w:t xml:space="preserve"> od </w:t>
      </w:r>
      <w:r w:rsidR="001152C0" w:rsidRPr="004E6412">
        <w:rPr>
          <w:rFonts w:ascii="Times New Roman" w:hAnsi="Times New Roman"/>
        </w:rPr>
        <w:t>8,32</w:t>
      </w:r>
      <w:r w:rsidRPr="004E6412">
        <w:rPr>
          <w:rFonts w:ascii="Times New Roman" w:hAnsi="Times New Roman"/>
        </w:rPr>
        <w:t>%)</w:t>
      </w:r>
      <w:r w:rsidR="001152C0" w:rsidRPr="004E6412">
        <w:rPr>
          <w:rFonts w:ascii="Times New Roman" w:hAnsi="Times New Roman"/>
        </w:rPr>
        <w:t xml:space="preserve">. </w:t>
      </w:r>
      <w:r w:rsidRPr="004E6412">
        <w:rPr>
          <w:rFonts w:ascii="Times New Roman" w:hAnsi="Times New Roman"/>
        </w:rPr>
        <w:t>Jedin</w:t>
      </w:r>
      <w:r w:rsidR="000B6C2A" w:rsidRPr="004E6412">
        <w:rPr>
          <w:rFonts w:ascii="Times New Roman" w:hAnsi="Times New Roman"/>
        </w:rPr>
        <w:t xml:space="preserve">ični trošak rada djelatnosti </w:t>
      </w:r>
      <w:r w:rsidRPr="004E6412">
        <w:rPr>
          <w:rFonts w:ascii="Times New Roman" w:hAnsi="Times New Roman"/>
        </w:rPr>
        <w:t xml:space="preserve">nije </w:t>
      </w:r>
      <w:r w:rsidR="000B6C2A" w:rsidRPr="004E6412">
        <w:rPr>
          <w:rFonts w:ascii="Times New Roman" w:hAnsi="Times New Roman"/>
        </w:rPr>
        <w:t xml:space="preserve">se </w:t>
      </w:r>
      <w:r w:rsidRPr="004E6412">
        <w:rPr>
          <w:rFonts w:ascii="Times New Roman" w:hAnsi="Times New Roman"/>
        </w:rPr>
        <w:t xml:space="preserve">mijenjao </w:t>
      </w:r>
      <w:r w:rsidR="000B6C2A" w:rsidRPr="004E6412">
        <w:rPr>
          <w:rFonts w:ascii="Times New Roman" w:hAnsi="Times New Roman"/>
        </w:rPr>
        <w:t xml:space="preserve">(0,61 kuna). Proizvodnost kapitala </w:t>
      </w:r>
      <w:r w:rsidRPr="004E6412">
        <w:rPr>
          <w:rFonts w:ascii="Times New Roman" w:hAnsi="Times New Roman"/>
        </w:rPr>
        <w:t>u promatranom</w:t>
      </w:r>
      <w:r w:rsidR="000B6C2A" w:rsidRPr="004E6412">
        <w:rPr>
          <w:rFonts w:ascii="Times New Roman" w:hAnsi="Times New Roman"/>
        </w:rPr>
        <w:t>e se</w:t>
      </w:r>
      <w:r w:rsidRPr="004E6412">
        <w:rPr>
          <w:rFonts w:ascii="Times New Roman" w:hAnsi="Times New Roman"/>
        </w:rPr>
        <w:t xml:space="preserve"> razdoblju blago smanjila</w:t>
      </w:r>
      <w:r w:rsidR="001152C0" w:rsidRPr="004E6412">
        <w:rPr>
          <w:rFonts w:ascii="Times New Roman" w:hAnsi="Times New Roman"/>
        </w:rPr>
        <w:t>, za 3,61%</w:t>
      </w:r>
      <w:r w:rsidRPr="004E6412">
        <w:rPr>
          <w:rFonts w:ascii="Times New Roman" w:hAnsi="Times New Roman"/>
        </w:rPr>
        <w:t>, a opremljenost rada kapitalom</w:t>
      </w:r>
      <w:r w:rsidR="000B6C2A" w:rsidRPr="004E6412">
        <w:rPr>
          <w:rFonts w:ascii="Times New Roman" w:hAnsi="Times New Roman"/>
        </w:rPr>
        <w:t xml:space="preserve"> se</w:t>
      </w:r>
      <w:r w:rsidRPr="004E6412">
        <w:rPr>
          <w:rFonts w:ascii="Times New Roman" w:hAnsi="Times New Roman"/>
        </w:rPr>
        <w:t xml:space="preserve"> povećala.</w:t>
      </w:r>
    </w:p>
    <w:p w:rsidR="001B41B0" w:rsidRPr="004E6412" w:rsidRDefault="001B41B0" w:rsidP="001B41B0">
      <w:pPr>
        <w:rPr>
          <w:sz w:val="22"/>
        </w:rPr>
      </w:pPr>
    </w:p>
    <w:p w:rsidR="001B41B0" w:rsidRPr="004E6412" w:rsidRDefault="000B6C2A" w:rsidP="001B41B0">
      <w:pPr>
        <w:pStyle w:val="ListParagraph"/>
        <w:numPr>
          <w:ilvl w:val="0"/>
          <w:numId w:val="45"/>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vrlo </w:t>
      </w:r>
      <w:r w:rsidRPr="004E6412">
        <w:rPr>
          <w:rFonts w:ascii="Times New Roman" w:hAnsi="Times New Roman"/>
        </w:rPr>
        <w:t xml:space="preserve">je </w:t>
      </w:r>
      <w:r w:rsidR="001B41B0" w:rsidRPr="004E6412">
        <w:rPr>
          <w:rFonts w:ascii="Times New Roman" w:hAnsi="Times New Roman"/>
        </w:rPr>
        <w:t>dobra u sve promatrane tri godine (2010.</w:t>
      </w:r>
      <w:r w:rsidRPr="004E6412">
        <w:rPr>
          <w:rFonts w:ascii="Times New Roman" w:hAnsi="Times New Roman"/>
        </w:rPr>
        <w:t xml:space="preserve"> – </w:t>
      </w:r>
      <w:r w:rsidR="001B41B0" w:rsidRPr="004E6412">
        <w:rPr>
          <w:rFonts w:ascii="Times New Roman" w:hAnsi="Times New Roman"/>
        </w:rPr>
        <w:t>2012.), iako je zabilježeno smanjenje prema 2012. Prema konzervativnijoj mjer</w:t>
      </w:r>
      <w:r w:rsidRPr="004E6412">
        <w:rPr>
          <w:rFonts w:ascii="Times New Roman" w:hAnsi="Times New Roman"/>
        </w:rPr>
        <w:t>i ubrzane likvidnosti, svaka kuna</w:t>
      </w:r>
      <w:r w:rsidR="001B41B0" w:rsidRPr="004E6412">
        <w:rPr>
          <w:rFonts w:ascii="Times New Roman" w:hAnsi="Times New Roman"/>
        </w:rPr>
        <w:t xml:space="preserve"> tekućih obv</w:t>
      </w:r>
      <w:r w:rsidRPr="004E6412">
        <w:rPr>
          <w:rFonts w:ascii="Times New Roman" w:hAnsi="Times New Roman"/>
        </w:rPr>
        <w:t>eza bila je pokrivena s 1,36 kuna</w:t>
      </w:r>
      <w:r w:rsidR="001B41B0" w:rsidRPr="004E6412">
        <w:rPr>
          <w:rFonts w:ascii="Times New Roman" w:hAnsi="Times New Roman"/>
        </w:rPr>
        <w:t xml:space="preserve"> likvidne imovine. Analizom ukupne zaduženosti utvrđena je umjerena zaduženost djelatnosti. Zadovoljavajuće su vrijednosti pokazatelja pokrića troškova kamata </w:t>
      </w:r>
      <w:r w:rsidRPr="004E6412">
        <w:rPr>
          <w:rFonts w:ascii="Times New Roman" w:hAnsi="Times New Roman"/>
        </w:rPr>
        <w:t>operativnom zaradom koji je u stalnom</w:t>
      </w:r>
      <w:r w:rsidR="001B41B0" w:rsidRPr="004E6412">
        <w:rPr>
          <w:rFonts w:ascii="Times New Roman" w:hAnsi="Times New Roman"/>
        </w:rPr>
        <w:t xml:space="preserve"> rastu u promatranom razdoblju. Usporedno gledano, izdvajaju se poddjelatnosti C26.3 i C26.5 s najboljim vrijednostima pokazatelja zaduženosti. Ni jedna od poddjelatnosti ne ističe se sa zabrinjavajućom razinom zaduženosti.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w:t>
      </w:r>
      <w:r w:rsidR="000B6C2A" w:rsidRPr="004E6412">
        <w:rPr>
          <w:rFonts w:ascii="Times New Roman" w:hAnsi="Times New Roman"/>
        </w:rPr>
        <w:t xml:space="preserve">roj zaposlenih u djelatnosti </w:t>
      </w:r>
      <w:r w:rsidRPr="004E6412">
        <w:rPr>
          <w:rFonts w:ascii="Times New Roman" w:hAnsi="Times New Roman"/>
        </w:rPr>
        <w:t>u promatranom</w:t>
      </w:r>
      <w:r w:rsidR="000B6C2A" w:rsidRPr="004E6412">
        <w:rPr>
          <w:rFonts w:ascii="Times New Roman" w:hAnsi="Times New Roman"/>
        </w:rPr>
        <w:t>e je</w:t>
      </w:r>
      <w:r w:rsidRPr="004E6412">
        <w:rPr>
          <w:rFonts w:ascii="Times New Roman" w:hAnsi="Times New Roman"/>
        </w:rPr>
        <w:t xml:space="preserve"> razdoblju smanjen z</w:t>
      </w:r>
      <w:r w:rsidR="000B6C2A" w:rsidRPr="004E6412">
        <w:rPr>
          <w:rFonts w:ascii="Times New Roman" w:hAnsi="Times New Roman"/>
        </w:rPr>
        <w:t>a 3,22% (196 osoba). Zabilježen</w:t>
      </w:r>
      <w:r w:rsidRPr="004E6412">
        <w:rPr>
          <w:rFonts w:ascii="Times New Roman" w:hAnsi="Times New Roman"/>
        </w:rPr>
        <w:t xml:space="preserve"> je rast neto plaća od 8,38%, dok su u prosjeku bruto plaće porasle za 7%. Najveći udio zaposlenih ima srednju stručnu spremu (45,99% u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bCs/>
        </w:rPr>
      </w:pPr>
      <w:r w:rsidRPr="004E6412">
        <w:rPr>
          <w:rFonts w:ascii="Times New Roman" w:hAnsi="Times New Roman"/>
          <w:bCs/>
        </w:rPr>
        <w:t xml:space="preserve">Proizvodnja računala te elektroničkih i optičkih proizvoda u Hrvatskoj je 2011. u odnosu na 2010. pala za čak 54,2%, a 2012. u odnosu na 2010. za 64,8%. Uspoređujući 2012. s 2011., u 2012. </w:t>
      </w:r>
      <w:r w:rsidR="000B6C2A" w:rsidRPr="004E6412">
        <w:rPr>
          <w:rFonts w:ascii="Times New Roman" w:hAnsi="Times New Roman"/>
          <w:bCs/>
        </w:rPr>
        <w:t>je ostvaren pad proizvodnje od 23,2%. U p</w:t>
      </w:r>
      <w:r w:rsidRPr="004E6412">
        <w:rPr>
          <w:rFonts w:ascii="Times New Roman" w:hAnsi="Times New Roman"/>
          <w:bCs/>
        </w:rPr>
        <w:t>rvih pet mjeseci 2013. ostvaren je pad od 4,5% u odnosu na prvih pet mjeseci 2012. Proizvođačke cijene 2012. u odnosu na 2010. porasle su za 1,2%, a u svibnju 2013. pale su za 21,7% u odnosu na 2010.</w:t>
      </w:r>
    </w:p>
    <w:p w:rsidR="001B41B0" w:rsidRPr="004E6412" w:rsidRDefault="001B41B0" w:rsidP="001B41B0">
      <w:pPr>
        <w:rPr>
          <w:bCs/>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Djelatnost Proizvodnja računala te elektroničkih i optičkih proizvoda, kao i područje informacija i komunikacije s kojim se u većini slu</w:t>
      </w:r>
      <w:r w:rsidR="000B6C2A" w:rsidRPr="004E6412">
        <w:rPr>
          <w:rFonts w:ascii="Times New Roman" w:hAnsi="Times New Roman"/>
        </w:rPr>
        <w:t>čajeva preklapa, obilježavaju sljedeće pojavnosti</w:t>
      </w:r>
      <w:r w:rsidRPr="004E6412">
        <w:rPr>
          <w:rFonts w:ascii="Times New Roman" w:hAnsi="Times New Roman"/>
        </w:rPr>
        <w:t>: visoka tehnološka opremljenost, brze promjene na tržištu, pot</w:t>
      </w:r>
      <w:r w:rsidR="000B6C2A" w:rsidRPr="004E6412">
        <w:rPr>
          <w:rFonts w:ascii="Times New Roman" w:hAnsi="Times New Roman"/>
        </w:rPr>
        <w:t xml:space="preserve">reba za stalnom </w:t>
      </w:r>
      <w:r w:rsidR="000B6C2A" w:rsidRPr="004E6412">
        <w:rPr>
          <w:rFonts w:ascii="Times New Roman" w:hAnsi="Times New Roman"/>
        </w:rPr>
        <w:lastRenderedPageBreak/>
        <w:t>izobrazbom</w:t>
      </w:r>
      <w:r w:rsidRPr="004E6412">
        <w:rPr>
          <w:rFonts w:ascii="Times New Roman" w:hAnsi="Times New Roman"/>
        </w:rPr>
        <w:t xml:space="preserve"> i praćenjem promjena na tržištu te novim tehnološkim dostignućima, kao i organizacijska i proizvodna fleksibilnost. </w:t>
      </w:r>
    </w:p>
    <w:p w:rsidR="001B41B0" w:rsidRPr="004E6412" w:rsidRDefault="001B41B0" w:rsidP="001B41B0">
      <w:pPr>
        <w:pStyle w:val="ListParagraph"/>
        <w:rPr>
          <w:rFonts w:ascii="Times New Roman" w:hAnsi="Times New Roman"/>
        </w:rPr>
      </w:pPr>
    </w:p>
    <w:p w:rsidR="001B41B0" w:rsidRPr="004E6412" w:rsidRDefault="00935392" w:rsidP="001B41B0">
      <w:pPr>
        <w:pStyle w:val="ListParagraph"/>
        <w:numPr>
          <w:ilvl w:val="0"/>
          <w:numId w:val="45"/>
        </w:numPr>
        <w:spacing w:after="0"/>
        <w:jc w:val="both"/>
        <w:rPr>
          <w:rFonts w:ascii="Times New Roman" w:hAnsi="Times New Roman"/>
        </w:rPr>
      </w:pPr>
      <w:r w:rsidRPr="004E6412">
        <w:rPr>
          <w:rFonts w:ascii="Times New Roman" w:hAnsi="Times New Roman"/>
        </w:rPr>
        <w:t>Krajnji proizvodi ove djelatnosti</w:t>
      </w:r>
      <w:r w:rsidR="001B41B0" w:rsidRPr="004E6412">
        <w:rPr>
          <w:rFonts w:ascii="Times New Roman" w:hAnsi="Times New Roman"/>
        </w:rPr>
        <w:t xml:space="preserve"> ispituju</w:t>
      </w:r>
      <w:r w:rsidRPr="004E6412">
        <w:rPr>
          <w:rFonts w:ascii="Times New Roman" w:hAnsi="Times New Roman"/>
        </w:rPr>
        <w:t xml:space="preserve"> se</w:t>
      </w:r>
      <w:r w:rsidR="001B41B0" w:rsidRPr="004E6412">
        <w:rPr>
          <w:rFonts w:ascii="Times New Roman" w:hAnsi="Times New Roman"/>
        </w:rPr>
        <w:t xml:space="preserve"> i certificiraju suklad</w:t>
      </w:r>
      <w:r w:rsidRPr="004E6412">
        <w:rPr>
          <w:rFonts w:ascii="Times New Roman" w:hAnsi="Times New Roman"/>
        </w:rPr>
        <w:t>no europskim i hrvatskim standardima</w:t>
      </w:r>
      <w:r w:rsidR="001B41B0" w:rsidRPr="004E6412">
        <w:rPr>
          <w:rFonts w:ascii="Times New Roman" w:hAnsi="Times New Roman"/>
        </w:rPr>
        <w:t>. Usko specijalizirani proizvodi, razvijeni u Hrvatskoj na temelju vlastitog</w:t>
      </w:r>
      <w:r w:rsidR="000B6C2A" w:rsidRPr="004E6412">
        <w:rPr>
          <w:rFonts w:ascii="Times New Roman" w:hAnsi="Times New Roman"/>
        </w:rPr>
        <w:t>a</w:t>
      </w:r>
      <w:r w:rsidR="001B41B0" w:rsidRPr="004E6412">
        <w:rPr>
          <w:rFonts w:ascii="Times New Roman" w:hAnsi="Times New Roman"/>
        </w:rPr>
        <w:t xml:space="preserve"> znanja, konkurentni su kako na domaćem tako i na globalnom tržištu.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Iako su za velika s</w:t>
      </w:r>
      <w:r w:rsidR="000B6C2A" w:rsidRPr="004E6412">
        <w:rPr>
          <w:rFonts w:ascii="Times New Roman" w:hAnsi="Times New Roman"/>
        </w:rPr>
        <w:t>vjetska poduzeća znakovita</w:t>
      </w:r>
      <w:r w:rsidRPr="004E6412">
        <w:rPr>
          <w:rFonts w:ascii="Times New Roman" w:hAnsi="Times New Roman"/>
        </w:rPr>
        <w:t xml:space="preserve"> znatna ulaganja u istraživanje i razvoj, to nije slučaj za poduzeća u Hrvatskoj koje se bave uskim segmentom posla. Potonje, zbog svoje veličine i financijskih mogućnosti, nisu orijentirane na tehnološke inovacije jer ih zbog prirode pos</w:t>
      </w:r>
      <w:r w:rsidR="000B6C2A" w:rsidRPr="004E6412">
        <w:rPr>
          <w:rFonts w:ascii="Times New Roman" w:hAnsi="Times New Roman"/>
        </w:rPr>
        <w:t xml:space="preserve">la i brzih promjena ne bi bilo moguće </w:t>
      </w:r>
      <w:r w:rsidRPr="004E6412">
        <w:rPr>
          <w:rFonts w:ascii="Times New Roman" w:hAnsi="Times New Roman"/>
        </w:rPr>
        <w:t xml:space="preserve">amortizirati.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13" w:name="_Toc372088051"/>
      <w:bookmarkStart w:id="814" w:name="_Toc378069112"/>
      <w:r w:rsidRPr="004E6412">
        <w:rPr>
          <w:rFonts w:eastAsia="Calibri"/>
        </w:rPr>
        <w:lastRenderedPageBreak/>
        <w:t>Zaključni prikaz pokazatelja</w:t>
      </w:r>
      <w:bookmarkEnd w:id="813"/>
      <w:bookmarkEnd w:id="814"/>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15" w:name="_Toc372088165"/>
      <w:bookmarkStart w:id="816" w:name="_Toc377551100"/>
      <w:bookmarkStart w:id="817" w:name="_Toc37763528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88</w:t>
      </w:r>
      <w:r w:rsidRPr="007D0CFD">
        <w:rPr>
          <w:rStyle w:val="IntenseEmphasis"/>
          <w:b/>
          <w:bCs w:val="0"/>
          <w:iCs w:val="0"/>
          <w:color w:val="548DD4" w:themeColor="text2" w:themeTint="99"/>
          <w:sz w:val="20"/>
        </w:rPr>
        <w:t>. Kvantitativni pokazatelji (C26)</w:t>
      </w:r>
      <w:bookmarkEnd w:id="815"/>
      <w:bookmarkEnd w:id="816"/>
      <w:bookmarkEnd w:id="81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97,10</w:t>
            </w:r>
          </w:p>
        </w:tc>
        <w:tc>
          <w:tcPr>
            <w:tcW w:w="1100" w:type="pct"/>
            <w:shd w:val="clear" w:color="auto" w:fill="auto"/>
            <w:noWrap/>
          </w:tcPr>
          <w:p w:rsidR="001B41B0" w:rsidRPr="004E6412" w:rsidRDefault="001B41B0" w:rsidP="001B41B0">
            <w:pPr>
              <w:jc w:val="right"/>
            </w:pPr>
            <w:r w:rsidRPr="004E6412">
              <w:rPr>
                <w:sz w:val="22"/>
              </w:rPr>
              <w:t>104,22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99,9</w:t>
            </w:r>
          </w:p>
        </w:tc>
        <w:tc>
          <w:tcPr>
            <w:tcW w:w="968" w:type="pct"/>
            <w:shd w:val="clear" w:color="auto" w:fill="auto"/>
            <w:noWrap/>
          </w:tcPr>
          <w:p w:rsidR="001B41B0" w:rsidRPr="004E6412" w:rsidRDefault="001B41B0" w:rsidP="001B41B0">
            <w:pPr>
              <w:jc w:val="right"/>
            </w:pPr>
            <w:r w:rsidRPr="004E6412">
              <w:rPr>
                <w:sz w:val="22"/>
              </w:rPr>
              <w:t>45,8</w:t>
            </w:r>
          </w:p>
        </w:tc>
        <w:tc>
          <w:tcPr>
            <w:tcW w:w="1100" w:type="pct"/>
            <w:shd w:val="clear" w:color="auto" w:fill="auto"/>
            <w:noWrap/>
          </w:tcPr>
          <w:p w:rsidR="001B41B0" w:rsidRPr="004E6412" w:rsidRDefault="005A57E5" w:rsidP="001B41B0">
            <w:pPr>
              <w:jc w:val="right"/>
            </w:pPr>
            <w:r w:rsidRPr="004E6412">
              <w:rPr>
                <w:sz w:val="22"/>
              </w:rPr>
              <w:t>76,8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6.076</w:t>
            </w:r>
          </w:p>
        </w:tc>
        <w:tc>
          <w:tcPr>
            <w:tcW w:w="968" w:type="pct"/>
            <w:shd w:val="clear" w:color="auto" w:fill="auto"/>
            <w:noWrap/>
          </w:tcPr>
          <w:p w:rsidR="001B41B0" w:rsidRPr="004E6412" w:rsidRDefault="001B41B0" w:rsidP="001B41B0">
            <w:pPr>
              <w:jc w:val="right"/>
            </w:pPr>
            <w:r w:rsidRPr="004E6412">
              <w:rPr>
                <w:sz w:val="22"/>
              </w:rPr>
              <w:t>6.134</w:t>
            </w:r>
          </w:p>
        </w:tc>
        <w:tc>
          <w:tcPr>
            <w:tcW w:w="1100" w:type="pct"/>
            <w:shd w:val="clear" w:color="auto" w:fill="auto"/>
            <w:noWrap/>
          </w:tcPr>
          <w:p w:rsidR="001B41B0" w:rsidRPr="004E6412" w:rsidRDefault="001B41B0" w:rsidP="001B41B0">
            <w:pPr>
              <w:jc w:val="right"/>
            </w:pPr>
            <w:r w:rsidRPr="004E6412">
              <w:rPr>
                <w:sz w:val="22"/>
              </w:rPr>
              <w:t>5.880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5.844.973.251</w:t>
            </w:r>
          </w:p>
        </w:tc>
        <w:tc>
          <w:tcPr>
            <w:tcW w:w="968" w:type="pct"/>
            <w:shd w:val="clear" w:color="auto" w:fill="auto"/>
            <w:noWrap/>
          </w:tcPr>
          <w:p w:rsidR="001B41B0" w:rsidRPr="004E6412" w:rsidRDefault="001B41B0" w:rsidP="001B41B0">
            <w:pPr>
              <w:jc w:val="right"/>
            </w:pPr>
            <w:r w:rsidRPr="004E6412">
              <w:rPr>
                <w:sz w:val="22"/>
              </w:rPr>
              <w:t>5.385.108.696</w:t>
            </w:r>
          </w:p>
        </w:tc>
        <w:tc>
          <w:tcPr>
            <w:tcW w:w="1100" w:type="pct"/>
            <w:shd w:val="clear" w:color="auto" w:fill="auto"/>
            <w:noWrap/>
          </w:tcPr>
          <w:p w:rsidR="001B41B0" w:rsidRPr="004E6412" w:rsidRDefault="001B41B0" w:rsidP="001B41B0">
            <w:pPr>
              <w:jc w:val="right"/>
            </w:pPr>
            <w:r w:rsidRPr="004E6412">
              <w:rPr>
                <w:sz w:val="22"/>
              </w:rPr>
              <w:t>5.868.936.378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340.777.728</w:t>
            </w:r>
          </w:p>
        </w:tc>
        <w:tc>
          <w:tcPr>
            <w:tcW w:w="968" w:type="pct"/>
            <w:shd w:val="clear" w:color="auto" w:fill="auto"/>
            <w:noWrap/>
          </w:tcPr>
          <w:p w:rsidR="001B41B0" w:rsidRPr="004E6412" w:rsidRDefault="001B41B0" w:rsidP="001B41B0">
            <w:pPr>
              <w:jc w:val="right"/>
            </w:pPr>
            <w:r w:rsidRPr="004E6412">
              <w:rPr>
                <w:sz w:val="22"/>
              </w:rPr>
              <w:t>303.779.609</w:t>
            </w:r>
          </w:p>
        </w:tc>
        <w:tc>
          <w:tcPr>
            <w:tcW w:w="1100" w:type="pct"/>
            <w:shd w:val="clear" w:color="auto" w:fill="auto"/>
            <w:noWrap/>
          </w:tcPr>
          <w:p w:rsidR="001B41B0" w:rsidRPr="004E6412" w:rsidRDefault="001B41B0" w:rsidP="001B41B0">
            <w:pPr>
              <w:jc w:val="right"/>
            </w:pPr>
            <w:r w:rsidRPr="004E6412">
              <w:rPr>
                <w:sz w:val="22"/>
              </w:rPr>
              <w:t>388.561.161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3,70</w:t>
            </w:r>
          </w:p>
        </w:tc>
        <w:tc>
          <w:tcPr>
            <w:tcW w:w="968" w:type="pct"/>
            <w:shd w:val="clear" w:color="auto" w:fill="auto"/>
            <w:noWrap/>
          </w:tcPr>
          <w:p w:rsidR="001B41B0" w:rsidRPr="004E6412" w:rsidRDefault="001B41B0" w:rsidP="001B41B0">
            <w:pPr>
              <w:jc w:val="right"/>
            </w:pPr>
            <w:r w:rsidRPr="004E6412">
              <w:rPr>
                <w:sz w:val="22"/>
              </w:rPr>
              <w:t>3,52%</w:t>
            </w:r>
          </w:p>
        </w:tc>
        <w:tc>
          <w:tcPr>
            <w:tcW w:w="1100" w:type="pct"/>
            <w:shd w:val="clear" w:color="auto" w:fill="auto"/>
            <w:noWrap/>
          </w:tcPr>
          <w:p w:rsidR="001B41B0" w:rsidRPr="004E6412" w:rsidRDefault="001B41B0" w:rsidP="001B41B0">
            <w:pPr>
              <w:jc w:val="right"/>
            </w:pPr>
            <w:r w:rsidRPr="004E6412">
              <w:rPr>
                <w:sz w:val="22"/>
              </w:rPr>
              <w:t>4,82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961.977</w:t>
            </w:r>
          </w:p>
        </w:tc>
        <w:tc>
          <w:tcPr>
            <w:tcW w:w="968" w:type="pct"/>
            <w:shd w:val="clear" w:color="auto" w:fill="auto"/>
            <w:noWrap/>
          </w:tcPr>
          <w:p w:rsidR="001B41B0" w:rsidRPr="004E6412" w:rsidRDefault="001B41B0" w:rsidP="001B41B0">
            <w:pPr>
              <w:jc w:val="right"/>
            </w:pPr>
            <w:r w:rsidRPr="004E6412">
              <w:rPr>
                <w:sz w:val="22"/>
              </w:rPr>
              <w:t>877.911</w:t>
            </w:r>
          </w:p>
        </w:tc>
        <w:tc>
          <w:tcPr>
            <w:tcW w:w="1100" w:type="pct"/>
            <w:shd w:val="clear" w:color="auto" w:fill="auto"/>
            <w:noWrap/>
          </w:tcPr>
          <w:p w:rsidR="001B41B0" w:rsidRPr="004E6412" w:rsidRDefault="001B41B0" w:rsidP="001B41B0">
            <w:pPr>
              <w:jc w:val="right"/>
            </w:pPr>
            <w:r w:rsidRPr="004E6412">
              <w:rPr>
                <w:sz w:val="22"/>
              </w:rPr>
              <w:t>998.118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1.392.623.979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1.320.756.233</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1.459.894.897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31.380</w:t>
            </w:r>
          </w:p>
        </w:tc>
        <w:tc>
          <w:tcPr>
            <w:tcW w:w="968" w:type="pct"/>
            <w:shd w:val="clear" w:color="auto" w:fill="auto"/>
            <w:noWrap/>
          </w:tcPr>
          <w:p w:rsidR="001B41B0" w:rsidRPr="004E6412" w:rsidRDefault="001B41B0" w:rsidP="001B41B0">
            <w:pPr>
              <w:jc w:val="right"/>
            </w:pPr>
            <w:r w:rsidRPr="004E6412">
              <w:rPr>
                <w:sz w:val="22"/>
              </w:rPr>
              <w:t>29.373</w:t>
            </w:r>
          </w:p>
        </w:tc>
        <w:tc>
          <w:tcPr>
            <w:tcW w:w="1100" w:type="pct"/>
            <w:shd w:val="clear" w:color="auto" w:fill="auto"/>
            <w:noWrap/>
          </w:tcPr>
          <w:p w:rsidR="001B41B0" w:rsidRPr="004E6412" w:rsidRDefault="001B41B0" w:rsidP="001B41B0">
            <w:pPr>
              <w:jc w:val="right"/>
            </w:pPr>
            <w:r w:rsidRPr="004E6412">
              <w:rPr>
                <w:sz w:val="22"/>
              </w:rPr>
              <w:t>46.488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4.405</w:t>
            </w:r>
          </w:p>
        </w:tc>
        <w:tc>
          <w:tcPr>
            <w:tcW w:w="968" w:type="pct"/>
            <w:shd w:val="clear" w:color="auto" w:fill="auto"/>
            <w:noWrap/>
          </w:tcPr>
          <w:p w:rsidR="001B41B0" w:rsidRPr="004E6412" w:rsidRDefault="001B41B0" w:rsidP="001B41B0">
            <w:pPr>
              <w:jc w:val="right"/>
            </w:pPr>
            <w:r w:rsidRPr="004E6412">
              <w:rPr>
                <w:sz w:val="22"/>
              </w:rPr>
              <w:t>4.097</w:t>
            </w:r>
          </w:p>
        </w:tc>
        <w:tc>
          <w:tcPr>
            <w:tcW w:w="1100" w:type="pct"/>
            <w:shd w:val="clear" w:color="auto" w:fill="auto"/>
            <w:noWrap/>
          </w:tcPr>
          <w:p w:rsidR="001B41B0" w:rsidRPr="004E6412" w:rsidRDefault="001B41B0" w:rsidP="001B41B0">
            <w:pPr>
              <w:jc w:val="right"/>
            </w:pPr>
            <w:r w:rsidRPr="004E6412">
              <w:rPr>
                <w:sz w:val="22"/>
              </w:rPr>
              <w:t>5.375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0,641</w:t>
            </w:r>
          </w:p>
        </w:tc>
        <w:tc>
          <w:tcPr>
            <w:tcW w:w="968" w:type="pct"/>
            <w:shd w:val="clear" w:color="auto" w:fill="auto"/>
            <w:noWrap/>
          </w:tcPr>
          <w:p w:rsidR="001B41B0" w:rsidRPr="004E6412" w:rsidRDefault="001B41B0" w:rsidP="001B41B0">
            <w:pPr>
              <w:jc w:val="right"/>
            </w:pPr>
            <w:r w:rsidRPr="004E6412">
              <w:rPr>
                <w:sz w:val="22"/>
              </w:rPr>
              <w:t>0,769</w:t>
            </w:r>
          </w:p>
        </w:tc>
        <w:tc>
          <w:tcPr>
            <w:tcW w:w="1100" w:type="pct"/>
            <w:shd w:val="clear" w:color="auto" w:fill="auto"/>
            <w:noWrap/>
          </w:tcPr>
          <w:p w:rsidR="001B41B0" w:rsidRPr="004E6412" w:rsidRDefault="001B41B0" w:rsidP="001B41B0">
            <w:pPr>
              <w:jc w:val="right"/>
            </w:pPr>
            <w:r w:rsidRPr="004E6412">
              <w:rPr>
                <w:sz w:val="22"/>
              </w:rPr>
              <w:t>0,879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-976.510.092</w:t>
            </w:r>
          </w:p>
        </w:tc>
        <w:tc>
          <w:tcPr>
            <w:tcW w:w="968" w:type="pct"/>
            <w:shd w:val="clear" w:color="auto" w:fill="auto"/>
            <w:noWrap/>
          </w:tcPr>
          <w:p w:rsidR="001B41B0" w:rsidRPr="004E6412" w:rsidRDefault="001B41B0" w:rsidP="001B41B0">
            <w:pPr>
              <w:jc w:val="right"/>
            </w:pPr>
            <w:r w:rsidRPr="004E6412">
              <w:rPr>
                <w:sz w:val="22"/>
              </w:rPr>
              <w:t>-514.417.465</w:t>
            </w:r>
          </w:p>
        </w:tc>
        <w:tc>
          <w:tcPr>
            <w:tcW w:w="1100" w:type="pct"/>
            <w:shd w:val="clear" w:color="auto" w:fill="auto"/>
            <w:noWrap/>
          </w:tcPr>
          <w:p w:rsidR="001B41B0" w:rsidRPr="004E6412" w:rsidRDefault="001B41B0" w:rsidP="001B41B0">
            <w:pPr>
              <w:jc w:val="right"/>
            </w:pPr>
            <w:r w:rsidRPr="004E6412">
              <w:rPr>
                <w:sz w:val="22"/>
              </w:rPr>
              <w:t>-332.769.677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29,77</w:t>
            </w:r>
          </w:p>
        </w:tc>
        <w:tc>
          <w:tcPr>
            <w:tcW w:w="968" w:type="pct"/>
            <w:shd w:val="clear" w:color="auto" w:fill="auto"/>
            <w:noWrap/>
          </w:tcPr>
          <w:p w:rsidR="001B41B0" w:rsidRPr="004E6412" w:rsidRDefault="001B41B0" w:rsidP="001B41B0">
            <w:pPr>
              <w:jc w:val="right"/>
            </w:pPr>
            <w:r w:rsidRPr="004E6412">
              <w:rPr>
                <w:sz w:val="22"/>
              </w:rPr>
              <w:t>31,79</w:t>
            </w:r>
          </w:p>
        </w:tc>
        <w:tc>
          <w:tcPr>
            <w:tcW w:w="1100" w:type="pct"/>
            <w:shd w:val="clear" w:color="auto" w:fill="auto"/>
            <w:noWrap/>
          </w:tcPr>
          <w:p w:rsidR="001B41B0" w:rsidRPr="004E6412" w:rsidRDefault="001B41B0" w:rsidP="001B41B0">
            <w:pPr>
              <w:jc w:val="right"/>
            </w:pPr>
            <w:r w:rsidRPr="004E6412">
              <w:rPr>
                <w:sz w:val="22"/>
              </w:rPr>
              <w:t>41,27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-0,75</w:t>
            </w:r>
          </w:p>
        </w:tc>
        <w:tc>
          <w:tcPr>
            <w:tcW w:w="968" w:type="pct"/>
            <w:shd w:val="clear" w:color="auto" w:fill="auto"/>
            <w:noWrap/>
          </w:tcPr>
          <w:p w:rsidR="001B41B0" w:rsidRPr="004E6412" w:rsidRDefault="001B41B0" w:rsidP="001B41B0">
            <w:pPr>
              <w:jc w:val="right"/>
            </w:pPr>
            <w:r w:rsidRPr="004E6412">
              <w:rPr>
                <w:sz w:val="22"/>
              </w:rPr>
              <w:t>-0,46</w:t>
            </w:r>
          </w:p>
        </w:tc>
        <w:tc>
          <w:tcPr>
            <w:tcW w:w="1100" w:type="pct"/>
            <w:shd w:val="clear" w:color="auto" w:fill="auto"/>
            <w:noWrap/>
          </w:tcPr>
          <w:p w:rsidR="001B41B0" w:rsidRPr="004E6412" w:rsidRDefault="001B41B0" w:rsidP="001B41B0">
            <w:pPr>
              <w:jc w:val="right"/>
            </w:pPr>
            <w:r w:rsidRPr="004E6412">
              <w:rPr>
                <w:sz w:val="22"/>
              </w:rPr>
              <w:t>-0,23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0B6C2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3,50</w:t>
            </w:r>
          </w:p>
        </w:tc>
        <w:tc>
          <w:tcPr>
            <w:tcW w:w="968" w:type="pct"/>
            <w:shd w:val="clear" w:color="auto" w:fill="auto"/>
            <w:noWrap/>
          </w:tcPr>
          <w:p w:rsidR="001B41B0" w:rsidRPr="004E6412" w:rsidRDefault="001B41B0" w:rsidP="001B41B0">
            <w:pPr>
              <w:jc w:val="right"/>
            </w:pPr>
            <w:r w:rsidRPr="004E6412">
              <w:rPr>
                <w:sz w:val="22"/>
              </w:rPr>
              <w:t>2,84%</w:t>
            </w:r>
          </w:p>
        </w:tc>
        <w:tc>
          <w:tcPr>
            <w:tcW w:w="1100" w:type="pct"/>
            <w:shd w:val="clear" w:color="auto" w:fill="auto"/>
            <w:noWrap/>
          </w:tcPr>
          <w:p w:rsidR="001B41B0" w:rsidRPr="004E6412" w:rsidRDefault="001B41B0" w:rsidP="001B41B0">
            <w:pPr>
              <w:jc w:val="right"/>
            </w:pPr>
            <w:r w:rsidRPr="004E6412">
              <w:rPr>
                <w:sz w:val="22"/>
              </w:rPr>
              <w:t>3,19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0,781</w:t>
            </w:r>
          </w:p>
        </w:tc>
        <w:tc>
          <w:tcPr>
            <w:tcW w:w="968" w:type="pct"/>
            <w:shd w:val="clear" w:color="auto" w:fill="auto"/>
            <w:noWrap/>
          </w:tcPr>
          <w:p w:rsidR="001B41B0" w:rsidRPr="004E6412" w:rsidRDefault="001B41B0" w:rsidP="001B41B0">
            <w:pPr>
              <w:jc w:val="right"/>
            </w:pPr>
            <w:r w:rsidRPr="004E6412">
              <w:rPr>
                <w:sz w:val="22"/>
              </w:rPr>
              <w:t>0,869</w:t>
            </w:r>
          </w:p>
        </w:tc>
        <w:tc>
          <w:tcPr>
            <w:tcW w:w="1100" w:type="pct"/>
            <w:shd w:val="clear" w:color="auto" w:fill="auto"/>
            <w:noWrap/>
          </w:tcPr>
          <w:p w:rsidR="001B41B0" w:rsidRPr="004E6412" w:rsidRDefault="001B41B0" w:rsidP="001B41B0">
            <w:pPr>
              <w:jc w:val="right"/>
            </w:pPr>
            <w:r w:rsidRPr="004E6412">
              <w:rPr>
                <w:sz w:val="22"/>
              </w:rPr>
              <w:t>0,936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229.201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215.317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248.281</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2,44</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2,07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0,45</w:t>
            </w:r>
          </w:p>
        </w:tc>
        <w:tc>
          <w:tcPr>
            <w:tcW w:w="968" w:type="pct"/>
            <w:shd w:val="clear" w:color="auto" w:fill="auto"/>
            <w:noWrap/>
          </w:tcPr>
          <w:p w:rsidR="001B41B0" w:rsidRPr="004E6412" w:rsidRDefault="001B41B0" w:rsidP="001B41B0">
            <w:pPr>
              <w:jc w:val="right"/>
            </w:pPr>
            <w:r w:rsidRPr="004E6412">
              <w:rPr>
                <w:sz w:val="22"/>
              </w:rPr>
              <w:t>0,47</w:t>
            </w:r>
          </w:p>
        </w:tc>
        <w:tc>
          <w:tcPr>
            <w:tcW w:w="1100" w:type="pct"/>
            <w:shd w:val="clear" w:color="auto" w:fill="auto"/>
            <w:noWrap/>
          </w:tcPr>
          <w:p w:rsidR="001B41B0" w:rsidRPr="004E6412" w:rsidRDefault="001B41B0" w:rsidP="001B41B0">
            <w:pPr>
              <w:jc w:val="right"/>
            </w:pPr>
            <w:r w:rsidRPr="004E6412">
              <w:rPr>
                <w:sz w:val="22"/>
              </w:rPr>
              <w:t>0,53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18" w:name="_Toc372088166"/>
      <w:bookmarkStart w:id="819" w:name="_Toc377551101"/>
      <w:bookmarkStart w:id="820" w:name="_Toc377635290"/>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89</w:t>
      </w:r>
      <w:r w:rsidRPr="007D0CFD">
        <w:rPr>
          <w:rStyle w:val="IntenseEmphasis"/>
          <w:b/>
          <w:bCs w:val="0"/>
          <w:iCs w:val="0"/>
          <w:color w:val="548DD4" w:themeColor="text2" w:themeTint="99"/>
          <w:sz w:val="20"/>
        </w:rPr>
        <w:t>. Kvalitativni</w:t>
      </w:r>
      <w:r w:rsidR="000B6C2A" w:rsidRPr="007D0CFD">
        <w:rPr>
          <w:rStyle w:val="IntenseEmphasis"/>
          <w:b/>
          <w:bCs w:val="0"/>
          <w:iCs w:val="0"/>
          <w:color w:val="548DD4" w:themeColor="text2" w:themeTint="99"/>
          <w:sz w:val="20"/>
        </w:rPr>
        <w:t xml:space="preserve"> pokazatelji (C26)</w:t>
      </w:r>
      <w:r w:rsidRPr="007D0CFD">
        <w:rPr>
          <w:rStyle w:val="IntenseEmphasis"/>
          <w:b/>
          <w:bCs w:val="0"/>
          <w:iCs w:val="0"/>
          <w:color w:val="548DD4" w:themeColor="text2" w:themeTint="99"/>
          <w:sz w:val="20"/>
        </w:rPr>
        <w:footnoteReference w:id="9"/>
      </w:r>
      <w:bookmarkEnd w:id="818"/>
      <w:bookmarkEnd w:id="819"/>
      <w:bookmarkEnd w:id="8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0B6C2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Uvjetna dostupnost kapitala. Dostupna radna snaga svih profila i stručne spreme.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Potražnja za proizvodima zbog gospodarske krize u padu. Pro</w:t>
            </w:r>
            <w:r w:rsidR="000B6C2A" w:rsidRPr="004E6412">
              <w:rPr>
                <w:sz w:val="22"/>
              </w:rPr>
              <w:t>izvodi su namijenjeni i krajnjoj</w:t>
            </w:r>
            <w:r w:rsidRPr="004E6412">
              <w:rPr>
                <w:sz w:val="22"/>
              </w:rPr>
              <w:t xml:space="preserve"> i investicijskoj potrošnji.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 malom broju velikih tvrtki zadovoljavajuća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Iako su za velike</w:t>
            </w:r>
            <w:r w:rsidR="000B6C2A" w:rsidRPr="004E6412">
              <w:rPr>
                <w:sz w:val="22"/>
              </w:rPr>
              <w:t xml:space="preserve"> svjetske tvrtke znakovita</w:t>
            </w:r>
            <w:r w:rsidRPr="004E6412">
              <w:rPr>
                <w:sz w:val="22"/>
              </w:rPr>
              <w:t xml:space="preserve"> znatna ulaganja u istraživanje i razvoj, to nije slučaj za tvrtke u RH koje se bave uskim segmentom posl</w:t>
            </w:r>
            <w:r w:rsidR="000B6C2A" w:rsidRPr="004E6412">
              <w:rPr>
                <w:sz w:val="22"/>
              </w:rPr>
              <w:t>a. Tvrtke u RH nisu usmjerene</w:t>
            </w:r>
            <w:r w:rsidRPr="004E6412">
              <w:rPr>
                <w:sz w:val="22"/>
              </w:rPr>
              <w:t xml:space="preserve"> na tehnološke inovacije jer ih zbog prirode posla, koji se možda</w:t>
            </w:r>
            <w:r w:rsidR="000B6C2A" w:rsidRPr="004E6412">
              <w:rPr>
                <w:sz w:val="22"/>
              </w:rPr>
              <w:t xml:space="preserve"> samo jednom pojavi, ne bi bilo moguće</w:t>
            </w:r>
            <w:r w:rsidRPr="004E6412">
              <w:rPr>
                <w:sz w:val="22"/>
              </w:rPr>
              <w:t xml:space="preserve"> amortizirati.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Osim zadovoljavanja strogih standarda, 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Konc</w:t>
            </w:r>
            <w:r w:rsidR="000B6C2A" w:rsidRPr="004E6412">
              <w:rPr>
                <w:sz w:val="22"/>
              </w:rPr>
              <w:t xml:space="preserve">entracija u ovoj djelatnosti </w:t>
            </w:r>
            <w:r w:rsidRPr="004E6412">
              <w:rPr>
                <w:sz w:val="22"/>
              </w:rPr>
              <w:t xml:space="preserve">vrlo </w:t>
            </w:r>
            <w:r w:rsidR="000B6C2A" w:rsidRPr="004E6412">
              <w:rPr>
                <w:sz w:val="22"/>
              </w:rPr>
              <w:t xml:space="preserve">je </w:t>
            </w:r>
            <w:r w:rsidRPr="004E6412">
              <w:rPr>
                <w:sz w:val="22"/>
              </w:rPr>
              <w:t>viso</w:t>
            </w:r>
            <w:r w:rsidR="000B6C2A" w:rsidRPr="004E6412">
              <w:rPr>
                <w:sz w:val="22"/>
              </w:rPr>
              <w:t>ka. Koncentracija prihoda je u dvije</w:t>
            </w:r>
            <w:r w:rsidRPr="004E6412">
              <w:rPr>
                <w:sz w:val="22"/>
              </w:rPr>
              <w:t xml:space="preserve"> tvrtke – prvoj koja se bavi proizvodnjom komunikacijske opreme (Ericsson Nikola Tesla)</w:t>
            </w:r>
            <w:r w:rsidR="000B6C2A" w:rsidRPr="004E6412">
              <w:rPr>
                <w:sz w:val="22"/>
              </w:rPr>
              <w:t>,</w:t>
            </w:r>
            <w:r w:rsidRPr="004E6412">
              <w:rPr>
                <w:sz w:val="22"/>
              </w:rPr>
              <w:t xml:space="preserve"> i drugoj koja je registrirana za proizvodnju </w:t>
            </w:r>
            <w:r w:rsidR="000B6C2A" w:rsidRPr="004E6412">
              <w:rPr>
                <w:sz w:val="22"/>
              </w:rPr>
              <w:t>računala i periferne opreme (M S</w:t>
            </w:r>
            <w:r w:rsidRPr="004E6412">
              <w:rPr>
                <w:sz w:val="22"/>
              </w:rPr>
              <w:t>an grupa). 15 poduzeća stvara 80% prihoda, a prema ostalim promatranim pokazateljima (aktivi, izvozu, uvozu, broju zaposlenih)</w:t>
            </w:r>
            <w:r w:rsidR="000B6C2A" w:rsidRPr="004E6412">
              <w:rPr>
                <w:sz w:val="22"/>
              </w:rPr>
              <w:t>,</w:t>
            </w:r>
            <w:r w:rsidRPr="004E6412">
              <w:rPr>
                <w:sz w:val="22"/>
              </w:rPr>
              <w:t xml:space="preserve"> vidljivo je da manje od 70 poduzeća stvara 80% promatranih vrijednosti.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Izvozni potencijal postoji samo u dvije poddjelatnosti (proizvodnja elektroničkih komponenti i ploča i proizvodnja komunikacijske opreme) koje su jedine i bile </w:t>
            </w:r>
            <w:r w:rsidR="00F25BDA" w:rsidRPr="004E6412">
              <w:rPr>
                <w:sz w:val="22"/>
              </w:rPr>
              <w:t xml:space="preserve">neto izvoznice tijekom </w:t>
            </w:r>
            <w:r w:rsidRPr="004E6412">
              <w:rPr>
                <w:sz w:val="22"/>
              </w:rPr>
              <w:t xml:space="preserve">sve tri </w:t>
            </w:r>
            <w:r w:rsidR="00F25BDA" w:rsidRPr="004E6412">
              <w:rPr>
                <w:sz w:val="22"/>
              </w:rPr>
              <w:t>promatrane godine</w:t>
            </w:r>
            <w:r w:rsidRPr="004E6412">
              <w:rPr>
                <w:sz w:val="22"/>
              </w:rPr>
              <w:t>. U drugim poddjelat</w:t>
            </w:r>
            <w:r w:rsidR="00F25BDA" w:rsidRPr="004E6412">
              <w:rPr>
                <w:sz w:val="22"/>
              </w:rPr>
              <w:t>nostima  ne postoje usporedne</w:t>
            </w:r>
            <w:r w:rsidRPr="004E6412">
              <w:rPr>
                <w:sz w:val="22"/>
              </w:rPr>
              <w:t xml:space="preserve"> prednosti, a teško da i u budućnosti hrvatska poduzeća mogu konkurirati velikim renomiranim i etabliranim proizvođačima računala, optičke opreme, uređaja za zr</w:t>
            </w:r>
            <w:r w:rsidR="00F25BDA" w:rsidRPr="004E6412">
              <w:rPr>
                <w:sz w:val="22"/>
              </w:rPr>
              <w:t>ačenje, elektromedicinske opreme</w:t>
            </w:r>
            <w:r w:rsidRPr="004E6412">
              <w:rPr>
                <w:sz w:val="22"/>
              </w:rPr>
              <w:t xml:space="preserve">  i slično.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Potencijal rasta i zapošljavanja postoji samo u poddjelatnostima Proi</w:t>
            </w:r>
            <w:r w:rsidR="00F25BDA" w:rsidRPr="004E6412">
              <w:rPr>
                <w:sz w:val="22"/>
              </w:rPr>
              <w:t>zvodnja elektroničkih sastavnica</w:t>
            </w:r>
            <w:r w:rsidRPr="004E6412">
              <w:rPr>
                <w:sz w:val="22"/>
              </w:rPr>
              <w:t xml:space="preserve"> i ploča i Proizvodnja komunikacijske opreme</w:t>
            </w:r>
            <w:r w:rsidR="00F25BDA" w:rsidRPr="004E6412">
              <w:rPr>
                <w:sz w:val="22"/>
              </w:rPr>
              <w:t>,</w:t>
            </w:r>
            <w:r w:rsidRPr="004E6412">
              <w:rPr>
                <w:sz w:val="22"/>
              </w:rPr>
              <w:t xml:space="preserve"> za koje se utvrdilo da imaju izvozni potencijal. S tim da je znatno veći u poddjelatnosti Proizvodnja komunikacijske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Budući </w:t>
            </w:r>
            <w:r w:rsidR="00F25BDA" w:rsidRPr="004E6412">
              <w:rPr>
                <w:sz w:val="22"/>
              </w:rPr>
              <w:t>da je najveća poddjelatnost P</w:t>
            </w:r>
            <w:r w:rsidRPr="004E6412">
              <w:rPr>
                <w:sz w:val="22"/>
              </w:rPr>
              <w:t>roizvodnja računala i periferne opreme izrazito uvo</w:t>
            </w:r>
            <w:r w:rsidR="00F25BDA" w:rsidRPr="004E6412">
              <w:rPr>
                <w:sz w:val="22"/>
              </w:rPr>
              <w:t>zno ovisna, može se zaključiti</w:t>
            </w:r>
            <w:r w:rsidRPr="004E6412">
              <w:rPr>
                <w:sz w:val="22"/>
              </w:rPr>
              <w:t xml:space="preserve"> da je i ukupna djelatnost C26 uvozno ovisna. </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21" w:name="_Toc365386998"/>
      <w:bookmarkStart w:id="822" w:name="_Toc365992558"/>
      <w:bookmarkStart w:id="823" w:name="_Toc366152992"/>
      <w:bookmarkStart w:id="824" w:name="_Toc366154316"/>
      <w:bookmarkStart w:id="825" w:name="_Toc366154436"/>
      <w:bookmarkStart w:id="826" w:name="_Toc366409983"/>
      <w:bookmarkStart w:id="827" w:name="_Toc372088052"/>
      <w:bookmarkStart w:id="828" w:name="_Toc378069113"/>
      <w:r w:rsidRPr="004E6412">
        <w:lastRenderedPageBreak/>
        <w:t>C27 Proizvodnja električne opreme</w:t>
      </w:r>
      <w:bookmarkEnd w:id="821"/>
      <w:bookmarkEnd w:id="822"/>
      <w:bookmarkEnd w:id="823"/>
      <w:bookmarkEnd w:id="824"/>
      <w:bookmarkEnd w:id="825"/>
      <w:bookmarkEnd w:id="826"/>
      <w:bookmarkEnd w:id="827"/>
      <w:bookmarkEnd w:id="828"/>
    </w:p>
    <w:p w:rsidR="001B41B0" w:rsidRPr="004E6412" w:rsidRDefault="001B41B0" w:rsidP="001B41B0">
      <w:pPr>
        <w:rPr>
          <w:lang w:eastAsia="hr-HR"/>
        </w:rPr>
      </w:pPr>
    </w:p>
    <w:p w:rsidR="001B41B0" w:rsidRPr="004E6412" w:rsidRDefault="001B41B0" w:rsidP="001B41B0">
      <w:pPr>
        <w:rPr>
          <w:bCs/>
          <w:sz w:val="22"/>
        </w:rPr>
      </w:pPr>
      <w:r w:rsidRPr="004E6412">
        <w:rPr>
          <w:sz w:val="22"/>
        </w:rPr>
        <w:t xml:space="preserve">Djelatnost Proizvodnje električne opreme </w:t>
      </w:r>
      <w:r w:rsidR="00F25BDA" w:rsidRPr="004E6412">
        <w:rPr>
          <w:sz w:val="22"/>
        </w:rPr>
        <w:t xml:space="preserve">(C27) </w:t>
      </w:r>
      <w:r w:rsidRPr="004E6412">
        <w:rPr>
          <w:sz w:val="22"/>
        </w:rPr>
        <w:t>obuhva</w:t>
      </w:r>
      <w:r w:rsidR="00F25BDA" w:rsidRPr="004E6412">
        <w:rPr>
          <w:sz w:val="22"/>
        </w:rPr>
        <w:t>ća sljedeće poddjelatnosti</w:t>
      </w:r>
      <w:r w:rsidRPr="004E6412">
        <w:rPr>
          <w:sz w:val="22"/>
        </w:rPr>
        <w:t>: P</w:t>
      </w:r>
      <w:r w:rsidRPr="004E6412">
        <w:rPr>
          <w:bCs/>
          <w:sz w:val="22"/>
        </w:rPr>
        <w:t>roizvodnja elektromotora, generatora, transformatora te uređaja za distribuciju i kontrolu električne energije (C27.1), Proizvodnja baterija i akumulatora (C27.2), Proizvodnja žice i elektroinstalacijskog materijala (C27.3), Proizvodnja električne opreme za rasvjetu (C27.4), Proizvodnja aparata za kućanstvo (C27.5) i Proizvodnja ostale električne opreme (C27.9).</w:t>
      </w:r>
    </w:p>
    <w:p w:rsidR="001B41B0" w:rsidRPr="004E6412" w:rsidRDefault="001B41B0" w:rsidP="001B41B0">
      <w:pPr>
        <w:rPr>
          <w:bCs/>
          <w:sz w:val="22"/>
        </w:rPr>
      </w:pPr>
    </w:p>
    <w:p w:rsidR="001B41B0" w:rsidRPr="004E6412" w:rsidRDefault="001B41B0" w:rsidP="001B41B0">
      <w:pPr>
        <w:rPr>
          <w:sz w:val="22"/>
        </w:rPr>
      </w:pPr>
      <w:r w:rsidRPr="004E6412">
        <w:rPr>
          <w:sz w:val="22"/>
        </w:rPr>
        <w:t>Promatrana djelatnost uključuje proizvodnju proizvoda koji generiraju, distribuiraju i koriste se električnom energijom. Također uključuje proizvodnju električne rasvjete, signalne opreme i električnih uređaja za kućanstvo.</w:t>
      </w:r>
    </w:p>
    <w:p w:rsidR="001B41B0" w:rsidRPr="004E6412" w:rsidRDefault="001B41B0" w:rsidP="001B41B0">
      <w:pPr>
        <w:rPr>
          <w:bCs/>
        </w:rPr>
      </w:pPr>
    </w:p>
    <w:p w:rsidR="001B41B0" w:rsidRPr="004E6412" w:rsidRDefault="001B41B0" w:rsidP="00D001B9">
      <w:pPr>
        <w:pStyle w:val="Heading3"/>
        <w:rPr>
          <w:lang w:eastAsia="hr-HR"/>
        </w:rPr>
      </w:pPr>
      <w:bookmarkStart w:id="829" w:name="_Toc365992559"/>
      <w:bookmarkStart w:id="830" w:name="_Toc366154317"/>
      <w:bookmarkStart w:id="831" w:name="_Toc366154437"/>
      <w:bookmarkStart w:id="832" w:name="_Toc366409984"/>
      <w:bookmarkStart w:id="833" w:name="_Toc372088053"/>
      <w:bookmarkStart w:id="834" w:name="_Toc378069114"/>
      <w:r w:rsidRPr="004E6412">
        <w:rPr>
          <w:lang w:eastAsia="hr-HR"/>
        </w:rPr>
        <w:t>Globalni trendovi razvoja</w:t>
      </w:r>
      <w:bookmarkEnd w:id="829"/>
      <w:bookmarkEnd w:id="830"/>
      <w:bookmarkEnd w:id="831"/>
      <w:bookmarkEnd w:id="832"/>
      <w:bookmarkEnd w:id="833"/>
      <w:bookmarkEnd w:id="834"/>
    </w:p>
    <w:p w:rsidR="001B41B0" w:rsidRPr="004E6412" w:rsidRDefault="001B41B0" w:rsidP="001B41B0">
      <w:pPr>
        <w:pStyle w:val="ListParagraph"/>
        <w:numPr>
          <w:ilvl w:val="0"/>
          <w:numId w:val="46"/>
        </w:numPr>
        <w:spacing w:after="0"/>
        <w:jc w:val="both"/>
        <w:rPr>
          <w:rFonts w:ascii="Times New Roman" w:hAnsi="Times New Roman"/>
          <w:bCs/>
        </w:rPr>
      </w:pPr>
      <w:r w:rsidRPr="004E6412">
        <w:rPr>
          <w:rFonts w:ascii="Times New Roman" w:hAnsi="Times New Roman"/>
        </w:rPr>
        <w:t xml:space="preserve">Djelatnost Proizvodnja električne opreme čvrsto je povezana i ovisi o kretanjima u  proizvodnji i potrošnji električne energije. </w:t>
      </w:r>
    </w:p>
    <w:p w:rsidR="001B41B0" w:rsidRPr="004E6412" w:rsidRDefault="001B41B0" w:rsidP="001B41B0">
      <w:pPr>
        <w:rPr>
          <w:sz w:val="22"/>
          <w:lang w:eastAsia="hr-HR"/>
        </w:rPr>
      </w:pPr>
    </w:p>
    <w:p w:rsidR="001B41B0" w:rsidRPr="004E6412" w:rsidRDefault="001B41B0" w:rsidP="001B41B0">
      <w:pPr>
        <w:pStyle w:val="ListParagraph"/>
        <w:numPr>
          <w:ilvl w:val="0"/>
          <w:numId w:val="46"/>
        </w:numPr>
        <w:spacing w:after="0"/>
        <w:jc w:val="both"/>
        <w:rPr>
          <w:rFonts w:ascii="Times New Roman" w:hAnsi="Times New Roman"/>
        </w:rPr>
      </w:pPr>
      <w:r w:rsidRPr="004E6412">
        <w:rPr>
          <w:rFonts w:ascii="Times New Roman" w:hAnsi="Times New Roman"/>
        </w:rPr>
        <w:t>Svjetsko tržište električne opreme dijeli se i prati prema dva</w:t>
      </w:r>
      <w:r w:rsidR="00F25BDA" w:rsidRPr="004E6412">
        <w:rPr>
          <w:rFonts w:ascii="Times New Roman" w:hAnsi="Times New Roman"/>
        </w:rPr>
        <w:t>ma</w:t>
      </w:r>
      <w:r w:rsidRPr="004E6412">
        <w:rPr>
          <w:rFonts w:ascii="Times New Roman" w:hAnsi="Times New Roman"/>
        </w:rPr>
        <w:t xml:space="preserve"> segment</w:t>
      </w:r>
      <w:r w:rsidR="00F25BDA" w:rsidRPr="004E6412">
        <w:rPr>
          <w:rFonts w:ascii="Times New Roman" w:hAnsi="Times New Roman"/>
        </w:rPr>
        <w:t>im</w:t>
      </w:r>
      <w:r w:rsidRPr="004E6412">
        <w:rPr>
          <w:rFonts w:ascii="Times New Roman" w:hAnsi="Times New Roman"/>
        </w:rPr>
        <w:t>a: svjetsko</w:t>
      </w:r>
      <w:r w:rsidR="00F25BDA" w:rsidRPr="004E6412">
        <w:rPr>
          <w:rFonts w:ascii="Times New Roman" w:hAnsi="Times New Roman"/>
        </w:rPr>
        <w:t xml:space="preserve"> tržište električnih sastavnica </w:t>
      </w:r>
      <w:r w:rsidRPr="004E6412">
        <w:rPr>
          <w:rFonts w:ascii="Times New Roman" w:hAnsi="Times New Roman"/>
        </w:rPr>
        <w:t>i opreme, k</w:t>
      </w:r>
      <w:r w:rsidR="00F25BDA" w:rsidRPr="004E6412">
        <w:rPr>
          <w:rFonts w:ascii="Times New Roman" w:hAnsi="Times New Roman"/>
        </w:rPr>
        <w:t xml:space="preserve">oje uključuje elektro </w:t>
      </w:r>
      <w:r w:rsidRPr="004E6412">
        <w:rPr>
          <w:rFonts w:ascii="Times New Roman" w:hAnsi="Times New Roman"/>
        </w:rPr>
        <w:t>kablove, žice, prekidače i s</w:t>
      </w:r>
      <w:r w:rsidR="0036608E" w:rsidRPr="004E6412">
        <w:rPr>
          <w:rFonts w:ascii="Times New Roman" w:hAnsi="Times New Roman"/>
        </w:rPr>
        <w:t>lično, te svjetsko tržište primarne</w:t>
      </w:r>
      <w:r w:rsidRPr="004E6412">
        <w:rPr>
          <w:rFonts w:ascii="Times New Roman" w:hAnsi="Times New Roman"/>
        </w:rPr>
        <w:t xml:space="preserve"> električne opreme koje uključuje robusne elektro sustave za proizvodnju energije. </w:t>
      </w:r>
    </w:p>
    <w:p w:rsidR="001B41B0" w:rsidRPr="004E6412" w:rsidRDefault="001B41B0" w:rsidP="001B41B0">
      <w:pPr>
        <w:rPr>
          <w:sz w:val="22"/>
        </w:rPr>
      </w:pPr>
    </w:p>
    <w:p w:rsidR="001B41B0" w:rsidRPr="004E6412" w:rsidRDefault="001B41B0"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Segment energetskih kablova predstavljao je vodeći segment tržišta u 2011., dok najveće tvrtke promatrane djelatnosti proizvode energetske i distributivne transformatore, generatore, e</w:t>
      </w:r>
      <w:r w:rsidR="00F25BDA" w:rsidRPr="004E6412">
        <w:rPr>
          <w:rFonts w:ascii="Times New Roman" w:hAnsi="Times New Roman"/>
        </w:rPr>
        <w:t>lektromotore, prekidače, releje</w:t>
      </w:r>
      <w:r w:rsidRPr="004E6412">
        <w:rPr>
          <w:rFonts w:ascii="Times New Roman" w:hAnsi="Times New Roman"/>
        </w:rPr>
        <w:t xml:space="preserve"> i drugo. </w:t>
      </w:r>
    </w:p>
    <w:p w:rsidR="001B41B0" w:rsidRPr="004E6412" w:rsidRDefault="001B41B0" w:rsidP="001B41B0">
      <w:pPr>
        <w:rPr>
          <w:sz w:val="22"/>
          <w:lang w:eastAsia="hr-HR"/>
        </w:rPr>
      </w:pPr>
    </w:p>
    <w:p w:rsidR="001B41B0" w:rsidRPr="004E6412" w:rsidRDefault="00F25BDA"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 xml:space="preserve">Zahtjevi za opremom za učinkovito </w:t>
      </w:r>
      <w:r w:rsidR="0036608E" w:rsidRPr="004E6412">
        <w:rPr>
          <w:rFonts w:ascii="Times New Roman" w:hAnsi="Times New Roman"/>
        </w:rPr>
        <w:t>korištenje</w:t>
      </w:r>
      <w:r w:rsidRPr="004E6412">
        <w:rPr>
          <w:rFonts w:ascii="Times New Roman" w:hAnsi="Times New Roman"/>
        </w:rPr>
        <w:t xml:space="preserve"> energije rast će </w:t>
      </w:r>
      <w:r w:rsidR="001B41B0" w:rsidRPr="004E6412">
        <w:rPr>
          <w:rFonts w:ascii="Times New Roman" w:hAnsi="Times New Roman"/>
        </w:rPr>
        <w:t>sukladno energetskim</w:t>
      </w:r>
      <w:r w:rsidRPr="004E6412">
        <w:rPr>
          <w:rFonts w:ascii="Times New Roman" w:hAnsi="Times New Roman"/>
        </w:rPr>
        <w:t xml:space="preserve"> zahtjevima, što će se dodatno poticati </w:t>
      </w:r>
      <w:r w:rsidR="001B41B0" w:rsidRPr="004E6412">
        <w:rPr>
          <w:rFonts w:ascii="Times New Roman" w:hAnsi="Times New Roman"/>
        </w:rPr>
        <w:t>rastom cijena električne energije i zastarijevanjem infras</w:t>
      </w:r>
      <w:r w:rsidRPr="004E6412">
        <w:rPr>
          <w:rFonts w:ascii="Times New Roman" w:hAnsi="Times New Roman"/>
        </w:rPr>
        <w:t>trukture. Tvrtke koje ulaž</w:t>
      </w:r>
      <w:r w:rsidR="001B41B0" w:rsidRPr="004E6412">
        <w:rPr>
          <w:rFonts w:ascii="Times New Roman" w:hAnsi="Times New Roman"/>
        </w:rPr>
        <w:t>u u istraživanje i razvoj i koje su usmjerene prema tehnološkim inovacijam</w:t>
      </w:r>
      <w:r w:rsidRPr="004E6412">
        <w:rPr>
          <w:rFonts w:ascii="Times New Roman" w:hAnsi="Times New Roman"/>
        </w:rPr>
        <w:t>a moći će ponuditi najdjelotvornija</w:t>
      </w:r>
      <w:r w:rsidR="001B41B0" w:rsidRPr="004E6412">
        <w:rPr>
          <w:rFonts w:ascii="Times New Roman" w:hAnsi="Times New Roman"/>
        </w:rPr>
        <w:t xml:space="preserve"> rje</w:t>
      </w:r>
      <w:r w:rsidR="00BC7FA2" w:rsidRPr="004E6412">
        <w:rPr>
          <w:rFonts w:ascii="Times New Roman" w:hAnsi="Times New Roman"/>
        </w:rPr>
        <w:t>šenja i opremu za korištenje</w:t>
      </w:r>
      <w:r w:rsidR="001B41B0" w:rsidRPr="004E6412">
        <w:rPr>
          <w:rFonts w:ascii="Times New Roman" w:hAnsi="Times New Roman"/>
        </w:rPr>
        <w:t xml:space="preserve"> električne energije </w:t>
      </w:r>
      <w:r w:rsidRPr="004E6412">
        <w:rPr>
          <w:rFonts w:ascii="Times New Roman" w:hAnsi="Times New Roman"/>
        </w:rPr>
        <w:t>i na taj način ostvariti premoć</w:t>
      </w:r>
      <w:r w:rsidR="001B41B0" w:rsidRPr="004E6412">
        <w:rPr>
          <w:rFonts w:ascii="Times New Roman" w:hAnsi="Times New Roman"/>
        </w:rPr>
        <w:t xml:space="preserve"> nad konkurencijom.</w:t>
      </w:r>
    </w:p>
    <w:p w:rsidR="001B41B0" w:rsidRPr="004E6412" w:rsidRDefault="001B41B0" w:rsidP="001B41B0"/>
    <w:p w:rsidR="001B41B0" w:rsidRPr="004E6412" w:rsidRDefault="001B41B0" w:rsidP="00D001B9">
      <w:pPr>
        <w:pStyle w:val="Heading3"/>
        <w:rPr>
          <w:rFonts w:eastAsia="Calibri"/>
        </w:rPr>
      </w:pPr>
      <w:bookmarkStart w:id="835" w:name="_Toc365992560"/>
      <w:bookmarkStart w:id="836" w:name="_Toc366154318"/>
      <w:bookmarkStart w:id="837" w:name="_Toc366154438"/>
      <w:bookmarkStart w:id="838" w:name="_Toc366409985"/>
      <w:bookmarkStart w:id="839" w:name="_Toc372088054"/>
      <w:bookmarkStart w:id="840" w:name="_Toc378069115"/>
      <w:r w:rsidRPr="004E6412">
        <w:rPr>
          <w:rFonts w:eastAsia="Calibri"/>
        </w:rPr>
        <w:t>Trendovi razvoja u Europskoj uniji</w:t>
      </w:r>
      <w:bookmarkEnd w:id="835"/>
      <w:bookmarkEnd w:id="836"/>
      <w:bookmarkEnd w:id="837"/>
      <w:bookmarkEnd w:id="838"/>
      <w:bookmarkEnd w:id="839"/>
      <w:bookmarkEnd w:id="840"/>
    </w:p>
    <w:p w:rsidR="001B41B0" w:rsidRPr="004E6412" w:rsidRDefault="00F25BDA" w:rsidP="001B41B0">
      <w:pPr>
        <w:pStyle w:val="ListParagraph"/>
        <w:numPr>
          <w:ilvl w:val="0"/>
          <w:numId w:val="47"/>
        </w:numPr>
        <w:spacing w:after="0"/>
        <w:jc w:val="both"/>
        <w:rPr>
          <w:rFonts w:ascii="Times New Roman" w:hAnsi="Times New Roman"/>
        </w:rPr>
      </w:pPr>
      <w:r w:rsidRPr="004E6412">
        <w:rPr>
          <w:rFonts w:ascii="Times New Roman" w:hAnsi="Times New Roman"/>
        </w:rPr>
        <w:t>U EU27 2010. godine</w:t>
      </w:r>
      <w:r w:rsidR="001B41B0" w:rsidRPr="004E6412">
        <w:rPr>
          <w:rFonts w:ascii="Times New Roman" w:hAnsi="Times New Roman"/>
        </w:rPr>
        <w:t xml:space="preserve"> produktivnost rada u ovoj djelatnosti</w:t>
      </w:r>
      <w:r w:rsidRPr="004E6412">
        <w:rPr>
          <w:rFonts w:ascii="Times New Roman" w:hAnsi="Times New Roman"/>
        </w:rPr>
        <w:t xml:space="preserve"> oborila je rekord i iznosila 58.200 eura</w:t>
      </w:r>
      <w:r w:rsidR="001B41B0" w:rsidRPr="004E6412">
        <w:rPr>
          <w:rFonts w:ascii="Times New Roman" w:hAnsi="Times New Roman"/>
        </w:rPr>
        <w:t xml:space="preserve"> po zaposleniku, a troškovi ra</w:t>
      </w:r>
      <w:r w:rsidRPr="004E6412">
        <w:rPr>
          <w:rFonts w:ascii="Times New Roman" w:hAnsi="Times New Roman"/>
        </w:rPr>
        <w:t>dne snage iznosili su 41.500 eura,</w:t>
      </w:r>
      <w:r w:rsidR="001B41B0" w:rsidRPr="004E6412">
        <w:rPr>
          <w:rFonts w:ascii="Times New Roman" w:hAnsi="Times New Roman"/>
        </w:rPr>
        <w:t xml:space="preserve"> š</w:t>
      </w:r>
      <w:r w:rsidRPr="004E6412">
        <w:rPr>
          <w:rFonts w:ascii="Times New Roman" w:hAnsi="Times New Roman"/>
        </w:rPr>
        <w:t>to je za 5.000 eura</w:t>
      </w:r>
      <w:r w:rsidR="001B41B0" w:rsidRPr="004E6412">
        <w:rPr>
          <w:rFonts w:ascii="Times New Roman" w:hAnsi="Times New Roman"/>
        </w:rPr>
        <w:t xml:space="preserve"> iznad prosjeka prerađivačke industrije. Operativna profitabilnost mjerena bruto operativnim viškom bila je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rPr>
        <w:t xml:space="preserve">Najveći udio u prihodima djelatnosti C27 imala je poddjelatnost </w:t>
      </w:r>
      <w:r w:rsidRPr="004E6412">
        <w:rPr>
          <w:rFonts w:ascii="Times New Roman" w:hAnsi="Times New Roman"/>
          <w:bCs/>
        </w:rPr>
        <w:t xml:space="preserve">Proizvodnja </w:t>
      </w:r>
      <w:r w:rsidRPr="004E6412">
        <w:rPr>
          <w:rFonts w:ascii="Times New Roman" w:hAnsi="Times New Roman"/>
        </w:rPr>
        <w:t xml:space="preserve">elektromotora, generatora, transformatora te uređaja za distribuciju i kontrolu električne energije. </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Prema kriteriju dodane vrijednosti i zapošljavanja, djelatnos</w:t>
      </w:r>
      <w:r w:rsidR="00F25BDA" w:rsidRPr="004E6412">
        <w:rPr>
          <w:rFonts w:ascii="Times New Roman" w:hAnsi="Times New Roman"/>
          <w:bCs/>
        </w:rPr>
        <w:t>t proizvodnje električne opreme u EU27</w:t>
      </w:r>
      <w:r w:rsidR="009D0576" w:rsidRPr="004E6412">
        <w:rPr>
          <w:rFonts w:ascii="Times New Roman" w:hAnsi="Times New Roman"/>
          <w:bCs/>
        </w:rPr>
        <w:t xml:space="preserve"> sastavljena</w:t>
      </w:r>
      <w:r w:rsidRPr="004E6412">
        <w:rPr>
          <w:rFonts w:ascii="Times New Roman" w:hAnsi="Times New Roman"/>
          <w:bCs/>
        </w:rPr>
        <w:t xml:space="preserve"> je od </w:t>
      </w:r>
      <w:r w:rsidR="00F25BDA" w:rsidRPr="004E6412">
        <w:rPr>
          <w:rFonts w:ascii="Times New Roman" w:hAnsi="Times New Roman"/>
          <w:bCs/>
        </w:rPr>
        <w:t>jednog velikog, jednog malog i četiri</w:t>
      </w:r>
      <w:r w:rsidRPr="004E6412">
        <w:rPr>
          <w:rFonts w:ascii="Times New Roman" w:hAnsi="Times New Roman"/>
          <w:bCs/>
        </w:rPr>
        <w:t xml:space="preserve"> segmen</w:t>
      </w:r>
      <w:r w:rsidR="00F25BDA" w:rsidRPr="004E6412">
        <w:rPr>
          <w:rFonts w:ascii="Times New Roman" w:hAnsi="Times New Roman"/>
          <w:bCs/>
        </w:rPr>
        <w:t>ta koji se nalaze između navedena</w:t>
      </w:r>
      <w:r w:rsidRPr="004E6412">
        <w:rPr>
          <w:rFonts w:ascii="Times New Roman" w:hAnsi="Times New Roman"/>
          <w:bCs/>
        </w:rPr>
        <w:t xml:space="preserve"> dva ekstrema. Najveći segment promatrane grane je proizvodnja elektromotora, generatora, transformatora te uređaja za distribuciju i kontrolu električne energije, koji je 2010. </w:t>
      </w:r>
      <w:r w:rsidR="00F25BDA" w:rsidRPr="004E6412">
        <w:rPr>
          <w:rFonts w:ascii="Times New Roman" w:hAnsi="Times New Roman"/>
          <w:bCs/>
        </w:rPr>
        <w:t xml:space="preserve">godine </w:t>
      </w:r>
      <w:r w:rsidRPr="004E6412">
        <w:rPr>
          <w:rFonts w:ascii="Times New Roman" w:hAnsi="Times New Roman"/>
          <w:bCs/>
        </w:rPr>
        <w:t xml:space="preserve">u ukupnoj dodanoj vrijednosti analizirane djelatnosti </w:t>
      </w:r>
      <w:r w:rsidR="009D0576" w:rsidRPr="004E6412">
        <w:rPr>
          <w:rFonts w:ascii="Times New Roman" w:hAnsi="Times New Roman"/>
          <w:bCs/>
        </w:rPr>
        <w:t xml:space="preserve">imao udio </w:t>
      </w:r>
      <w:r w:rsidRPr="004E6412">
        <w:rPr>
          <w:rFonts w:ascii="Times New Roman" w:hAnsi="Times New Roman"/>
          <w:bCs/>
        </w:rPr>
        <w:t xml:space="preserve">od 50,2% te je </w:t>
      </w:r>
      <w:r w:rsidRPr="004E6412">
        <w:rPr>
          <w:rFonts w:ascii="Times New Roman" w:hAnsi="Times New Roman"/>
          <w:bCs/>
        </w:rPr>
        <w:lastRenderedPageBreak/>
        <w:t>zapošljavao 44,3% radne snage. Proizvodnja baterija i akumulatora predstavlja,</w:t>
      </w:r>
      <w:r w:rsidR="009D0576" w:rsidRPr="004E6412">
        <w:rPr>
          <w:rFonts w:ascii="Times New Roman" w:hAnsi="Times New Roman"/>
          <w:bCs/>
        </w:rPr>
        <w:t xml:space="preserve"> u prethodno navedenim okvirima</w:t>
      </w:r>
      <w:r w:rsidRPr="004E6412">
        <w:rPr>
          <w:rFonts w:ascii="Times New Roman" w:hAnsi="Times New Roman"/>
          <w:bCs/>
        </w:rPr>
        <w:t>, najmanji segment odjeljka C27 u EU27.</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Od zemalja članica EU</w:t>
      </w:r>
      <w:r w:rsidR="009D0576" w:rsidRPr="004E6412">
        <w:rPr>
          <w:rFonts w:ascii="Times New Roman" w:hAnsi="Times New Roman"/>
          <w:bCs/>
        </w:rPr>
        <w:t>-a</w:t>
      </w:r>
      <w:r w:rsidRPr="004E6412">
        <w:rPr>
          <w:rFonts w:ascii="Times New Roman" w:hAnsi="Times New Roman"/>
          <w:bCs/>
        </w:rPr>
        <w:t>, daleko najveću razinu dodane vrijednosti u sektoru proizvodnje električne opreme 2010.</w:t>
      </w:r>
      <w:r w:rsidR="009D0576" w:rsidRPr="004E6412">
        <w:rPr>
          <w:rFonts w:ascii="Times New Roman" w:hAnsi="Times New Roman"/>
          <w:bCs/>
        </w:rPr>
        <w:t xml:space="preserve"> godine</w:t>
      </w:r>
      <w:r w:rsidRPr="004E6412">
        <w:rPr>
          <w:rFonts w:ascii="Times New Roman" w:hAnsi="Times New Roman"/>
          <w:bCs/>
        </w:rPr>
        <w:t xml:space="preserve"> imala je Njemačka, dok je u Sloveniji navedeni sektor imao relativno najveću važnost. Njemačka je osobito specijalizirana u segmentu proizvodnje opreme za proizvodnju i distribuciju električne energije i proizvodnji žice i elektroinstalacijskog materijala, dok je pozicija Slovenije kao najspecijaliziranije zemlje EU</w:t>
      </w:r>
      <w:r w:rsidR="009D0576" w:rsidRPr="004E6412">
        <w:rPr>
          <w:rFonts w:ascii="Times New Roman" w:hAnsi="Times New Roman"/>
          <w:bCs/>
        </w:rPr>
        <w:t>-a</w:t>
      </w:r>
      <w:r w:rsidRPr="004E6412">
        <w:rPr>
          <w:rFonts w:ascii="Times New Roman" w:hAnsi="Times New Roman"/>
          <w:bCs/>
        </w:rPr>
        <w:t xml:space="preserve"> u ovoj djelatnosti uvelike potpomognuta vrlo visokom specijalizacijom u segmentu proizvodnje aparata za kućanstvo te visokom specijalizacijom u segmentu  proizvodnje baterija i akumulatora u kojem je na drugom mjestu, </w:t>
      </w:r>
      <w:r w:rsidR="009D0576" w:rsidRPr="004E6412">
        <w:rPr>
          <w:rFonts w:ascii="Times New Roman" w:hAnsi="Times New Roman"/>
          <w:bCs/>
        </w:rPr>
        <w:t xml:space="preserve">odmah </w:t>
      </w:r>
      <w:r w:rsidRPr="004E6412">
        <w:rPr>
          <w:rFonts w:ascii="Times New Roman" w:hAnsi="Times New Roman"/>
          <w:bCs/>
        </w:rPr>
        <w:t>iza Bugarske).</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rPr>
      </w:pPr>
      <w:r w:rsidRPr="004E6412">
        <w:rPr>
          <w:rFonts w:ascii="Times New Roman" w:hAnsi="Times New Roman"/>
        </w:rPr>
        <w:t xml:space="preserve">Trend povećanja potrošnje električne </w:t>
      </w:r>
      <w:r w:rsidR="009D0576" w:rsidRPr="004E6412">
        <w:rPr>
          <w:rFonts w:ascii="Times New Roman" w:hAnsi="Times New Roman"/>
        </w:rPr>
        <w:t>energije, prelazak na djelotvornija</w:t>
      </w:r>
      <w:r w:rsidRPr="004E6412">
        <w:rPr>
          <w:rFonts w:ascii="Times New Roman" w:hAnsi="Times New Roman"/>
        </w:rPr>
        <w:t xml:space="preserve"> tehnološka rješenja za proizvodnju električne energije, zastarijevanje infrastrukture te sve veće korištenje obnovljivih izvora energije za proizvodnju električne energije, trendovi su koji obilježavaju kako svjetsko, tako i europsko tržište. Sve navedeno predstavlja i čimbenike rasta i razvoja djelatnosti proizvodnje električne opreme koja, sudeći prema uzlaznom trend</w:t>
      </w:r>
      <w:r w:rsidR="009D0576" w:rsidRPr="004E6412">
        <w:rPr>
          <w:rFonts w:ascii="Times New Roman" w:hAnsi="Times New Roman"/>
        </w:rPr>
        <w:t>u navedenih čimbenika, ima velik</w:t>
      </w:r>
      <w:r w:rsidRPr="004E6412">
        <w:rPr>
          <w:rFonts w:ascii="Times New Roman" w:hAnsi="Times New Roman"/>
        </w:rPr>
        <w:t xml:space="preserve"> potencijal za budući rast. </w:t>
      </w:r>
    </w:p>
    <w:p w:rsidR="001B41B0" w:rsidRPr="004E6412" w:rsidRDefault="001B41B0" w:rsidP="001B41B0"/>
    <w:p w:rsidR="001B41B0" w:rsidRPr="004E6412" w:rsidRDefault="001B41B0" w:rsidP="00D001B9">
      <w:pPr>
        <w:pStyle w:val="Heading3"/>
      </w:pPr>
      <w:bookmarkStart w:id="841" w:name="_Toc365992561"/>
      <w:bookmarkStart w:id="842" w:name="_Toc366154319"/>
      <w:bookmarkStart w:id="843" w:name="_Toc366154439"/>
      <w:bookmarkStart w:id="844" w:name="_Toc366409986"/>
      <w:bookmarkStart w:id="845" w:name="_Toc372088055"/>
      <w:bookmarkStart w:id="846" w:name="_Toc378069116"/>
      <w:r w:rsidRPr="004E6412">
        <w:t>Stanje i perspektive razvoja u Republici Hrvatskoj</w:t>
      </w:r>
      <w:bookmarkEnd w:id="841"/>
      <w:bookmarkEnd w:id="842"/>
      <w:bookmarkEnd w:id="843"/>
      <w:bookmarkEnd w:id="844"/>
      <w:bookmarkEnd w:id="845"/>
      <w:bookmarkEnd w:id="846"/>
    </w:p>
    <w:p w:rsidR="001B41B0" w:rsidRPr="004E6412" w:rsidRDefault="001B41B0" w:rsidP="001B41B0">
      <w:pPr>
        <w:pStyle w:val="ListParagraph"/>
        <w:numPr>
          <w:ilvl w:val="0"/>
          <w:numId w:val="48"/>
        </w:numPr>
        <w:spacing w:after="0"/>
        <w:jc w:val="both"/>
        <w:rPr>
          <w:rFonts w:ascii="Times New Roman" w:hAnsi="Times New Roman"/>
          <w:bCs/>
        </w:rPr>
      </w:pPr>
      <w:r w:rsidRPr="004E6412">
        <w:rPr>
          <w:rFonts w:ascii="Times New Roman" w:hAnsi="Times New Roman"/>
          <w:bCs/>
        </w:rPr>
        <w:t>Proizvodnja električne opreme u Hrvatskoj je 2011. u odnosu na 2010. pala za 10,5%, a 2012. u odnosu na 2010. za 23,7%. Uspoređujući 2012. s 2011.</w:t>
      </w:r>
      <w:r w:rsidR="009D0576" w:rsidRPr="004E6412">
        <w:rPr>
          <w:rFonts w:ascii="Times New Roman" w:hAnsi="Times New Roman"/>
          <w:bCs/>
        </w:rPr>
        <w:t xml:space="preserve"> godinom</w:t>
      </w:r>
      <w:r w:rsidRPr="004E6412">
        <w:rPr>
          <w:rFonts w:ascii="Times New Roman" w:hAnsi="Times New Roman"/>
          <w:bCs/>
        </w:rPr>
        <w:t xml:space="preserve">, u 2012. </w:t>
      </w:r>
      <w:r w:rsidR="009D0576" w:rsidRPr="004E6412">
        <w:rPr>
          <w:rFonts w:ascii="Times New Roman" w:hAnsi="Times New Roman"/>
          <w:bCs/>
        </w:rPr>
        <w:t xml:space="preserve">je ostvaren </w:t>
      </w:r>
      <w:r w:rsidRPr="004E6412">
        <w:rPr>
          <w:rFonts w:ascii="Times New Roman" w:hAnsi="Times New Roman"/>
          <w:bCs/>
        </w:rPr>
        <w:t xml:space="preserve">pad proizvodnje od 14,7%. </w:t>
      </w:r>
      <w:r w:rsidR="009D0576" w:rsidRPr="004E6412">
        <w:rPr>
          <w:rFonts w:ascii="Times New Roman" w:hAnsi="Times New Roman"/>
          <w:bCs/>
        </w:rPr>
        <w:t>U p</w:t>
      </w:r>
      <w:r w:rsidRPr="004E6412">
        <w:rPr>
          <w:rFonts w:ascii="Times New Roman" w:hAnsi="Times New Roman"/>
          <w:bCs/>
        </w:rPr>
        <w:t>rvih pet mjeseci 2013. ostvaren je pad od 2,3% u odnosu na prvih pet mjeseci 2012. Proizvođačke cijene 2012. u odnosu na 2010. ostale su na istoj razini, a u svibnju 2013. pale su za 1,1% u odnosu na 2010.</w:t>
      </w:r>
    </w:p>
    <w:p w:rsidR="001B41B0" w:rsidRPr="004E6412" w:rsidRDefault="001B41B0" w:rsidP="001B41B0">
      <w:pPr>
        <w:rPr>
          <w:bCs/>
          <w:sz w:val="22"/>
        </w:rPr>
      </w:pPr>
    </w:p>
    <w:p w:rsidR="001B41B0" w:rsidRPr="004E6412" w:rsidRDefault="009D0576" w:rsidP="001B41B0">
      <w:pPr>
        <w:pStyle w:val="ListParagraph"/>
        <w:numPr>
          <w:ilvl w:val="0"/>
          <w:numId w:val="48"/>
        </w:numPr>
        <w:spacing w:after="0"/>
        <w:jc w:val="both"/>
        <w:rPr>
          <w:rFonts w:ascii="Times New Roman" w:hAnsi="Times New Roman"/>
        </w:rPr>
      </w:pPr>
      <w:r w:rsidRPr="004E6412">
        <w:rPr>
          <w:rFonts w:ascii="Times New Roman" w:hAnsi="Times New Roman"/>
        </w:rPr>
        <w:t>U djelatnosti C27</w:t>
      </w:r>
      <w:r w:rsidR="001B41B0" w:rsidRPr="004E6412">
        <w:rPr>
          <w:rFonts w:ascii="Times New Roman" w:hAnsi="Times New Roman"/>
        </w:rPr>
        <w:t xml:space="preserve"> u razdoblju 2010.</w:t>
      </w:r>
      <w:r w:rsidRPr="004E6412">
        <w:rPr>
          <w:rFonts w:ascii="Times New Roman" w:hAnsi="Times New Roman"/>
        </w:rPr>
        <w:t xml:space="preserve"> – 2</w:t>
      </w:r>
      <w:r w:rsidR="00F92D5D" w:rsidRPr="004E6412">
        <w:rPr>
          <w:rFonts w:ascii="Times New Roman" w:hAnsi="Times New Roman"/>
        </w:rPr>
        <w:t>012. prema satima rada radila su</w:t>
      </w:r>
      <w:r w:rsidR="001B41B0" w:rsidRPr="004E6412">
        <w:rPr>
          <w:rFonts w:ascii="Times New Roman" w:hAnsi="Times New Roman"/>
        </w:rPr>
        <w:t xml:space="preserve"> 9,652</w:t>
      </w:r>
      <w:r w:rsidR="00F92D5D" w:rsidRPr="004E6412">
        <w:rPr>
          <w:rFonts w:ascii="Times New Roman" w:hAnsi="Times New Roman"/>
        </w:rPr>
        <w:t>, 8.902 odnosno 8.973 zaposlenika</w:t>
      </w:r>
      <w:r w:rsidR="001B41B0" w:rsidRPr="004E6412">
        <w:rPr>
          <w:rFonts w:ascii="Times New Roman" w:hAnsi="Times New Roman"/>
        </w:rPr>
        <w:t>. U 2011. a</w:t>
      </w:r>
      <w:r w:rsidR="00F92D5D" w:rsidRPr="004E6412">
        <w:rPr>
          <w:rFonts w:ascii="Times New Roman" w:hAnsi="Times New Roman"/>
        </w:rPr>
        <w:t xml:space="preserve">ktivno je poslovalo 301 poduzeće, a već sljedeće godine </w:t>
      </w:r>
      <w:r w:rsidR="001B41B0" w:rsidRPr="004E6412">
        <w:rPr>
          <w:rFonts w:ascii="Times New Roman" w:hAnsi="Times New Roman"/>
        </w:rPr>
        <w:t xml:space="preserve">taj </w:t>
      </w:r>
      <w:r w:rsidR="00F92D5D" w:rsidRPr="004E6412">
        <w:rPr>
          <w:rFonts w:ascii="Times New Roman" w:hAnsi="Times New Roman"/>
        </w:rPr>
        <w:t xml:space="preserve">je </w:t>
      </w:r>
      <w:r w:rsidR="001B41B0" w:rsidRPr="004E6412">
        <w:rPr>
          <w:rFonts w:ascii="Times New Roman" w:hAnsi="Times New Roman"/>
        </w:rPr>
        <w:t xml:space="preserve">broj smanjen na 280 poduzeća. Djelatnost C27 Proizvodnja električne opreme obuhvaća 6 djelatnosti. U 2012. poddjelatnost C27.1 Proizvodnja elektromotora, generatora, transformatora te uređaja za distribuciju i </w:t>
      </w:r>
      <w:r w:rsidR="00F92D5D" w:rsidRPr="004E6412">
        <w:rPr>
          <w:rFonts w:ascii="Times New Roman" w:hAnsi="Times New Roman"/>
        </w:rPr>
        <w:t xml:space="preserve">kontrolu električne energije </w:t>
      </w:r>
      <w:r w:rsidR="001B41B0" w:rsidRPr="004E6412">
        <w:rPr>
          <w:rFonts w:ascii="Times New Roman" w:hAnsi="Times New Roman"/>
        </w:rPr>
        <w:t xml:space="preserve">zapošljavala </w:t>
      </w:r>
      <w:r w:rsidR="00F92D5D" w:rsidRPr="004E6412">
        <w:rPr>
          <w:rFonts w:ascii="Times New Roman" w:hAnsi="Times New Roman"/>
        </w:rPr>
        <w:t xml:space="preserve">je </w:t>
      </w:r>
      <w:r w:rsidR="001B41B0" w:rsidRPr="004E6412">
        <w:rPr>
          <w:rFonts w:ascii="Times New Roman" w:hAnsi="Times New Roman"/>
        </w:rPr>
        <w:t xml:space="preserve">preko 50% ukupne radne snage ove djelatnosti. </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Prema analizi vlasništva, 36,36% udjela u djela</w:t>
      </w:r>
      <w:r w:rsidR="00F92D5D" w:rsidRPr="004E6412">
        <w:rPr>
          <w:rFonts w:ascii="Times New Roman" w:hAnsi="Times New Roman"/>
        </w:rPr>
        <w:t>tnosti činio je inozemni</w:t>
      </w:r>
      <w:r w:rsidRPr="004E6412">
        <w:rPr>
          <w:rFonts w:ascii="Times New Roman" w:hAnsi="Times New Roman"/>
        </w:rPr>
        <w:t>, a 61,84% domaći kapital. Metoda izračuna temelji se na ponderiranoj vri</w:t>
      </w:r>
      <w:r w:rsidR="00F92D5D" w:rsidRPr="004E6412">
        <w:rPr>
          <w:rFonts w:ascii="Times New Roman" w:hAnsi="Times New Roman"/>
        </w:rPr>
        <w:t>jednosti kapitala (ponder je uključivao</w:t>
      </w:r>
      <w:r w:rsidRPr="004E6412">
        <w:rPr>
          <w:rFonts w:ascii="Times New Roman" w:hAnsi="Times New Roman"/>
        </w:rPr>
        <w:t xml:space="preserve"> prihod) na 100 najvećih poduzeća u 2012. (veličina prema ukupnom prihodu). 20 poduzeća stvara 80% ukupnih prihoda djelatnosti, što je pokazatelj visoke koncent</w:t>
      </w:r>
      <w:r w:rsidR="00F92D5D" w:rsidRPr="004E6412">
        <w:rPr>
          <w:rFonts w:ascii="Times New Roman" w:hAnsi="Times New Roman"/>
        </w:rPr>
        <w:t xml:space="preserve">racije. Visoka koncentracija </w:t>
      </w:r>
      <w:r w:rsidRPr="004E6412">
        <w:rPr>
          <w:rFonts w:ascii="Times New Roman" w:hAnsi="Times New Roman"/>
        </w:rPr>
        <w:t xml:space="preserve">zabilježena </w:t>
      </w:r>
      <w:r w:rsidR="00F92D5D" w:rsidRPr="004E6412">
        <w:rPr>
          <w:rFonts w:ascii="Times New Roman" w:hAnsi="Times New Roman"/>
        </w:rPr>
        <w:t xml:space="preserve">je </w:t>
      </w:r>
      <w:r w:rsidRPr="004E6412">
        <w:rPr>
          <w:rFonts w:ascii="Times New Roman" w:hAnsi="Times New Roman"/>
        </w:rPr>
        <w:t>po aktivi, izvozu, uvozu i broju zaposlenih.</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promatranom</w:t>
      </w:r>
      <w:r w:rsidR="00F92D5D" w:rsidRPr="004E6412">
        <w:rPr>
          <w:rFonts w:ascii="Times New Roman" w:hAnsi="Times New Roman"/>
        </w:rPr>
        <w:t>e</w:t>
      </w:r>
      <w:r w:rsidRPr="004E6412">
        <w:rPr>
          <w:rFonts w:ascii="Times New Roman" w:hAnsi="Times New Roman"/>
        </w:rPr>
        <w:t xml:space="preserve"> razdoblju ukupna vrijednost aktive (pasive) djelatnosti varira. Ukupno je ostvarila p</w:t>
      </w:r>
      <w:r w:rsidR="00F92D5D" w:rsidRPr="004E6412">
        <w:rPr>
          <w:rFonts w:ascii="Times New Roman" w:hAnsi="Times New Roman"/>
        </w:rPr>
        <w:t>ad od 4,97%. Isti trend pokazuje</w:t>
      </w:r>
      <w:r w:rsidRPr="004E6412">
        <w:rPr>
          <w:rFonts w:ascii="Times New Roman" w:hAnsi="Times New Roman"/>
        </w:rPr>
        <w:t xml:space="preserve"> i dugotrajna i kratkotrajna imovina. U strukturi aktive, najveći udio ima kratkotrajna imovina, od čega najveći dio otpada na potraživanja od kupaca (30,32%), dok u dugotrajnoj imovini najveći udio ima dugotrajna materijalna imovina, čak 70%. U strukturi pasive najveći udio zauzimaju kapital i rezerve (49,57% u 2012.), od čega skoro trećinu čini zadržana dobit. Dugoročne obveze u 2012. čine mali udio od 9,06%. Poddjelatnost C27.1 Proizvodnja elektromotora, generatora, transformatora te uređaja za distribuciju i kontrolu električne energije ima najveći udio u ukupnoj aktivi djelatnosti </w:t>
      </w:r>
      <w:r w:rsidRPr="004E6412">
        <w:rPr>
          <w:rFonts w:ascii="Times New Roman" w:hAnsi="Times New Roman"/>
        </w:rPr>
        <w:lastRenderedPageBreak/>
        <w:t xml:space="preserve">(61,41%), kao i u kratkoročnim obvezama (59,23%), dok </w:t>
      </w:r>
      <w:r w:rsidR="00F92D5D" w:rsidRPr="004E6412">
        <w:rPr>
          <w:rFonts w:ascii="Times New Roman" w:hAnsi="Times New Roman"/>
        </w:rPr>
        <w:t xml:space="preserve">je u dugoročnim obvezama na samome vrhu </w:t>
      </w:r>
      <w:r w:rsidRPr="004E6412">
        <w:rPr>
          <w:rFonts w:ascii="Times New Roman" w:hAnsi="Times New Roman"/>
        </w:rPr>
        <w:t>poddjelatnost C27.3 Proizvodnja žice i elektroinstalacijskog materijala (35,11%).</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ukupnoj strukturi prihod</w:t>
      </w:r>
      <w:r w:rsidR="00F92D5D" w:rsidRPr="004E6412">
        <w:rPr>
          <w:rFonts w:ascii="Times New Roman" w:hAnsi="Times New Roman"/>
        </w:rPr>
        <w:t>a i rashoda očekivano prevladavaju</w:t>
      </w:r>
      <w:r w:rsidRPr="004E6412">
        <w:rPr>
          <w:rFonts w:ascii="Times New Roman" w:hAnsi="Times New Roman"/>
        </w:rPr>
        <w:t xml:space="preserve"> poslovni priho</w:t>
      </w:r>
      <w:r w:rsidR="00F92D5D" w:rsidRPr="004E6412">
        <w:rPr>
          <w:rFonts w:ascii="Times New Roman" w:hAnsi="Times New Roman"/>
        </w:rPr>
        <w:t xml:space="preserve">di i rashodi. Ukupni prihodi </w:t>
      </w:r>
      <w:r w:rsidRPr="004E6412">
        <w:rPr>
          <w:rFonts w:ascii="Times New Roman" w:hAnsi="Times New Roman"/>
        </w:rPr>
        <w:t>smanjeni</w:t>
      </w:r>
      <w:r w:rsidR="00F92D5D" w:rsidRPr="004E6412">
        <w:rPr>
          <w:rFonts w:ascii="Times New Roman" w:hAnsi="Times New Roman"/>
        </w:rPr>
        <w:t xml:space="preserve"> su u razdoblju</w:t>
      </w:r>
      <w:r w:rsidRPr="004E6412">
        <w:rPr>
          <w:rFonts w:ascii="Times New Roman" w:hAnsi="Times New Roman"/>
        </w:rPr>
        <w:t xml:space="preserve"> 2010.</w:t>
      </w:r>
      <w:r w:rsidR="00F92D5D" w:rsidRPr="004E6412">
        <w:rPr>
          <w:rFonts w:ascii="Times New Roman" w:hAnsi="Times New Roman"/>
        </w:rPr>
        <w:t xml:space="preserve"> – </w:t>
      </w:r>
      <w:r w:rsidRPr="004E6412">
        <w:rPr>
          <w:rFonts w:ascii="Times New Roman" w:hAnsi="Times New Roman"/>
        </w:rPr>
        <w:t>2012. za 2,0%, dok su ukupni rashodi smanjeni za 2,31%. Obujam poslovanja djelatnosti je dakle smanjen. Ova djelatnost posluje s dobiti koja je u ukupnom razdoblju 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povećana s 327.356.183 kune na 376.973.706 kuna</w:t>
      </w:r>
      <w:r w:rsidRPr="004E6412">
        <w:rPr>
          <w:rFonts w:ascii="Times New Roman" w:hAnsi="Times New Roman"/>
        </w:rPr>
        <w:t xml:space="preserve">, dakle za 15,16%. Najvećim udjelom u </w:t>
      </w:r>
      <w:r w:rsidR="00F92D5D" w:rsidRPr="004E6412">
        <w:rPr>
          <w:rFonts w:ascii="Times New Roman" w:hAnsi="Times New Roman"/>
        </w:rPr>
        <w:t>ukupnim prihodima i rashodima s</w:t>
      </w:r>
      <w:r w:rsidRPr="004E6412">
        <w:rPr>
          <w:rFonts w:ascii="Times New Roman" w:hAnsi="Times New Roman"/>
        </w:rPr>
        <w:t xml:space="preserve"> 51,89%</w:t>
      </w:r>
      <w:r w:rsidR="00F92D5D" w:rsidRPr="004E6412">
        <w:rPr>
          <w:rFonts w:ascii="Times New Roman" w:hAnsi="Times New Roman"/>
        </w:rPr>
        <w:t>,</w:t>
      </w:r>
      <w:r w:rsidRPr="004E6412">
        <w:rPr>
          <w:rFonts w:ascii="Times New Roman" w:hAnsi="Times New Roman"/>
        </w:rPr>
        <w:t xml:space="preserve"> odnosno 49,74%</w:t>
      </w:r>
      <w:r w:rsidR="00F92D5D" w:rsidRPr="004E6412">
        <w:rPr>
          <w:rFonts w:ascii="Times New Roman" w:hAnsi="Times New Roman"/>
        </w:rPr>
        <w:t>,</w:t>
      </w:r>
      <w:r w:rsidRPr="004E6412">
        <w:rPr>
          <w:rFonts w:ascii="Times New Roman" w:hAnsi="Times New Roman"/>
        </w:rPr>
        <w:t xml:space="preserve"> sudjeluje poddjelatnost C27.1 Proizvodnja elektromotora, generatora, transformatora te uređaja za distribuciju i kontrolu električne energije. Također, poduzeća iz te poddjelatnosti najviše doprinose dobiti razdoblja djelatnosti s udjelom od 71,85%. </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Ova je djelatnost profitabilna, dok je </w:t>
      </w:r>
      <w:r w:rsidR="001B41B0" w:rsidRPr="004E6412">
        <w:rPr>
          <w:rFonts w:ascii="Times New Roman" w:hAnsi="Times New Roman"/>
        </w:rPr>
        <w:t>tr</w:t>
      </w:r>
      <w:r w:rsidRPr="004E6412">
        <w:rPr>
          <w:rFonts w:ascii="Times New Roman" w:hAnsi="Times New Roman"/>
        </w:rPr>
        <w:t xml:space="preserve">end promjene profitabilnosti </w:t>
      </w:r>
      <w:r w:rsidR="001B41B0" w:rsidRPr="004E6412">
        <w:rPr>
          <w:rFonts w:ascii="Times New Roman" w:hAnsi="Times New Roman"/>
        </w:rPr>
        <w:t>pozitivan. Ističe se poveća</w:t>
      </w:r>
      <w:r w:rsidRPr="004E6412">
        <w:rPr>
          <w:rFonts w:ascii="Times New Roman" w:hAnsi="Times New Roman"/>
        </w:rPr>
        <w:t>nje EBITDA s 506,23 milijuna kuna (2010.) na 658,65 milijuna kuna</w:t>
      </w:r>
      <w:r w:rsidR="001B41B0" w:rsidRPr="004E6412">
        <w:rPr>
          <w:rFonts w:ascii="Times New Roman" w:hAnsi="Times New Roman"/>
        </w:rPr>
        <w:t xml:space="preserve"> (2012.) i povećanje stvorene dodane v</w:t>
      </w:r>
      <w:r w:rsidRPr="004E6412">
        <w:rPr>
          <w:rFonts w:ascii="Times New Roman" w:hAnsi="Times New Roman"/>
        </w:rPr>
        <w:t>rijednosti s 530,84 milijuna kuna (2010.) na 579,95 milijuna kuna</w:t>
      </w:r>
      <w:r w:rsidR="001B41B0" w:rsidRPr="004E6412">
        <w:rPr>
          <w:rFonts w:ascii="Times New Roman" w:hAnsi="Times New Roman"/>
        </w:rPr>
        <w:t xml:space="preserve"> (2012.). Dobit po zaposlenom</w:t>
      </w:r>
      <w:r w:rsidRPr="004E6412">
        <w:rPr>
          <w:rFonts w:ascii="Times New Roman" w:hAnsi="Times New Roman"/>
        </w:rPr>
        <w:t>e</w:t>
      </w:r>
      <w:r w:rsidR="001B41B0" w:rsidRPr="004E6412">
        <w:rPr>
          <w:rFonts w:ascii="Times New Roman" w:hAnsi="Times New Roman"/>
        </w:rPr>
        <w:t xml:space="preserve"> je povećan</w:t>
      </w:r>
      <w:r w:rsidRPr="004E6412">
        <w:rPr>
          <w:rFonts w:ascii="Times New Roman" w:hAnsi="Times New Roman"/>
        </w:rPr>
        <w:t>a</w:t>
      </w:r>
      <w:r w:rsidR="001B41B0" w:rsidRPr="004E6412">
        <w:rPr>
          <w:rFonts w:ascii="Times New Roman" w:hAnsi="Times New Roman"/>
        </w:rPr>
        <w:t>, a gubitak po zaposlenom</w:t>
      </w:r>
      <w:r w:rsidRPr="004E6412">
        <w:rPr>
          <w:rFonts w:ascii="Times New Roman" w:hAnsi="Times New Roman"/>
        </w:rPr>
        <w:t>e je</w:t>
      </w:r>
      <w:r w:rsidR="001B41B0" w:rsidRPr="004E6412">
        <w:rPr>
          <w:rFonts w:ascii="Times New Roman" w:hAnsi="Times New Roman"/>
        </w:rPr>
        <w:t xml:space="preserve"> smanjen. Prema pokazateljima profitabilnosti ističe se poddjelatnost C27.1 Proizvodnja elektromotora, generatora, transformatora te uređaja za distribuciju i kontrolu električne energije.</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Vanjskotrgovinska bilanca djelatnosti je </w:t>
      </w:r>
      <w:r w:rsidR="00F92D5D" w:rsidRPr="004E6412">
        <w:rPr>
          <w:rFonts w:ascii="Times New Roman" w:hAnsi="Times New Roman"/>
        </w:rPr>
        <w:t xml:space="preserve">u razdoblju </w:t>
      </w:r>
      <w:r w:rsidRPr="004E6412">
        <w:rPr>
          <w:rFonts w:ascii="Times New Roman" w:hAnsi="Times New Roman"/>
        </w:rPr>
        <w:t>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varirala oko 2 milijarde kuna</w:t>
      </w:r>
      <w:r w:rsidRPr="004E6412">
        <w:rPr>
          <w:rFonts w:ascii="Times New Roman" w:hAnsi="Times New Roman"/>
        </w:rPr>
        <w:t xml:space="preserve">. Međutim, iako im je razlika ostala </w:t>
      </w:r>
      <w:r w:rsidR="00F92D5D" w:rsidRPr="004E6412">
        <w:rPr>
          <w:rFonts w:ascii="Times New Roman" w:hAnsi="Times New Roman"/>
        </w:rPr>
        <w:t>približno ista, izvoz i uvoz smanjivali su se</w:t>
      </w:r>
      <w:r w:rsidRPr="004E6412">
        <w:rPr>
          <w:rFonts w:ascii="Times New Roman" w:hAnsi="Times New Roman"/>
        </w:rPr>
        <w:t xml:space="preserve"> iz godine u godinu</w:t>
      </w:r>
      <w:r w:rsidR="00F92D5D" w:rsidRPr="004E6412">
        <w:rPr>
          <w:rFonts w:ascii="Times New Roman" w:hAnsi="Times New Roman"/>
        </w:rPr>
        <w:t>,</w:t>
      </w:r>
      <w:r w:rsidRPr="004E6412">
        <w:rPr>
          <w:rFonts w:ascii="Times New Roman" w:hAnsi="Times New Roman"/>
        </w:rPr>
        <w:t xml:space="preserve"> što ukazuje na trend smanjivanja vanjskotrgovinske razmjene ove poddjelatnosti.</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Bruto dodan</w:t>
      </w:r>
      <w:r w:rsidR="00F92D5D" w:rsidRPr="004E6412">
        <w:rPr>
          <w:rFonts w:ascii="Times New Roman" w:hAnsi="Times New Roman"/>
        </w:rPr>
        <w:t xml:space="preserve">a vrijednost ove djelatnosti </w:t>
      </w:r>
      <w:r w:rsidRPr="004E6412">
        <w:rPr>
          <w:rFonts w:ascii="Times New Roman" w:hAnsi="Times New Roman"/>
        </w:rPr>
        <w:t>u promatranom</w:t>
      </w:r>
      <w:r w:rsidR="00F92D5D" w:rsidRPr="004E6412">
        <w:rPr>
          <w:rFonts w:ascii="Times New Roman" w:hAnsi="Times New Roman"/>
        </w:rPr>
        <w:t xml:space="preserve">e je razdoblju blago smanjena s 2,13 milijardi kuna (2010.) na 2,16 milijardi kuna (2012.),  a </w:t>
      </w:r>
      <w:r w:rsidRPr="004E6412">
        <w:rPr>
          <w:rFonts w:ascii="Times New Roman" w:hAnsi="Times New Roman"/>
        </w:rPr>
        <w:t xml:space="preserve">smanjen </w:t>
      </w:r>
      <w:r w:rsidR="00F92D5D" w:rsidRPr="004E6412">
        <w:rPr>
          <w:rFonts w:ascii="Times New Roman" w:hAnsi="Times New Roman"/>
        </w:rPr>
        <w:t xml:space="preserve">je i </w:t>
      </w:r>
      <w:r w:rsidRPr="004E6412">
        <w:rPr>
          <w:rFonts w:ascii="Times New Roman" w:hAnsi="Times New Roman"/>
        </w:rPr>
        <w:t>nje</w:t>
      </w:r>
      <w:r w:rsidR="00F92D5D" w:rsidRPr="004E6412">
        <w:rPr>
          <w:rFonts w:ascii="Times New Roman" w:hAnsi="Times New Roman"/>
        </w:rPr>
        <w:t>zi</w:t>
      </w:r>
      <w:r w:rsidRPr="004E6412">
        <w:rPr>
          <w:rFonts w:ascii="Times New Roman" w:hAnsi="Times New Roman"/>
        </w:rPr>
        <w:t>n udio u bruto dodanoj vrijednosti gospodarstva na 0,73% u 2011. (za 2012. u vrijem</w:t>
      </w:r>
      <w:r w:rsidR="00F92D5D" w:rsidRPr="004E6412">
        <w:rPr>
          <w:rFonts w:ascii="Times New Roman" w:hAnsi="Times New Roman"/>
        </w:rPr>
        <w:t>e provođenja</w:t>
      </w:r>
      <w:r w:rsidRPr="004E6412">
        <w:rPr>
          <w:rFonts w:ascii="Times New Roman" w:hAnsi="Times New Roman"/>
        </w:rPr>
        <w:t xml:space="preserve"> ove analize nije bilo podataka za BDV gospodarstva)</w:t>
      </w:r>
      <w:r w:rsidR="00F92D5D" w:rsidRPr="004E6412">
        <w:rPr>
          <w:rFonts w:ascii="Times New Roman" w:hAnsi="Times New Roman"/>
        </w:rPr>
        <w:t>, te</w:t>
      </w:r>
      <w:r w:rsidRPr="004E6412">
        <w:rPr>
          <w:rFonts w:ascii="Times New Roman" w:hAnsi="Times New Roman"/>
        </w:rPr>
        <w:t xml:space="preserve"> u bruto dodanoj vrijednosti prerađivačke industrije na 4,62% (2012.). Najveći doprinos bruto dodanoj vrijednosti djelatnosti ima poddjelatnost C27.1 s udjelom od 63% u 2012., dok je najmanju bruto dodanu vrijednost ostvarila poddjelatnost C2</w:t>
      </w:r>
      <w:r w:rsidR="00F92D5D" w:rsidRPr="004E6412">
        <w:rPr>
          <w:rFonts w:ascii="Times New Roman" w:hAnsi="Times New Roman"/>
        </w:rPr>
        <w:t>7.2 u iznosu od 2,7 milijuna kuna</w:t>
      </w:r>
      <w:r w:rsidRPr="004E6412">
        <w:rPr>
          <w:rFonts w:ascii="Times New Roman" w:hAnsi="Times New Roman"/>
        </w:rPr>
        <w:t>. Poddjelatnost C27.5 ostvarila je pad bruto dodane vrijednosti za promatrano razdoblje u visini od 56%, a izniman relativni rast primjetan je u C27.4 (rast od 70%) i C27.3 (rast od 69%). Pokazatelj specijalizacije u promatranom</w:t>
      </w:r>
      <w:r w:rsidR="00F92D5D" w:rsidRPr="004E6412">
        <w:rPr>
          <w:rFonts w:ascii="Times New Roman" w:hAnsi="Times New Roman"/>
        </w:rPr>
        <w:t>e</w:t>
      </w:r>
      <w:r w:rsidRPr="004E6412">
        <w:rPr>
          <w:rFonts w:ascii="Times New Roman" w:hAnsi="Times New Roman"/>
        </w:rPr>
        <w:t xml:space="preserve"> razdoblju ukazuje na umjereno visoku intraindustrijsku razmjenu. Udio državnih potpora i subvencija u ukupnim prihodima iznosio je niskih 0,05% u 2012.</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Proizvodnost rada i kapitala povećana je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i to na </w:t>
      </w:r>
      <w:r w:rsidR="001152C0" w:rsidRPr="004E6412">
        <w:rPr>
          <w:rFonts w:ascii="Times New Roman" w:hAnsi="Times New Roman"/>
        </w:rPr>
        <w:t>235.816</w:t>
      </w:r>
      <w:r w:rsidRPr="004E6412">
        <w:rPr>
          <w:rFonts w:ascii="Times New Roman" w:hAnsi="Times New Roman"/>
        </w:rPr>
        <w:t xml:space="preserve"> tisuća kuna</w:t>
      </w:r>
      <w:r w:rsidR="001152C0" w:rsidRPr="004E6412">
        <w:rPr>
          <w:rFonts w:ascii="Times New Roman" w:hAnsi="Times New Roman"/>
        </w:rPr>
        <w:t xml:space="preserve"> (6,68%)</w:t>
      </w:r>
      <w:r w:rsidRPr="004E6412">
        <w:rPr>
          <w:rFonts w:ascii="Times New Roman" w:hAnsi="Times New Roman"/>
        </w:rPr>
        <w:t>,</w:t>
      </w:r>
      <w:r w:rsidR="001B41B0" w:rsidRPr="004E6412">
        <w:rPr>
          <w:rFonts w:ascii="Times New Roman" w:hAnsi="Times New Roman"/>
        </w:rPr>
        <w:t xml:space="preserve"> odnosno</w:t>
      </w:r>
      <w:r w:rsidR="001152C0" w:rsidRPr="004E6412">
        <w:rPr>
          <w:rFonts w:ascii="Times New Roman" w:hAnsi="Times New Roman"/>
        </w:rPr>
        <w:t xml:space="preserve"> na</w:t>
      </w:r>
      <w:r w:rsidR="001B41B0" w:rsidRPr="004E6412">
        <w:rPr>
          <w:rFonts w:ascii="Times New Roman" w:hAnsi="Times New Roman"/>
        </w:rPr>
        <w:t xml:space="preserve"> </w:t>
      </w:r>
      <w:r w:rsidR="001152C0" w:rsidRPr="004E6412">
        <w:rPr>
          <w:rFonts w:ascii="Times New Roman" w:hAnsi="Times New Roman"/>
        </w:rPr>
        <w:t>0,92</w:t>
      </w:r>
      <w:r w:rsidRPr="004E6412">
        <w:rPr>
          <w:rFonts w:ascii="Times New Roman" w:hAnsi="Times New Roman"/>
        </w:rPr>
        <w:t xml:space="preserve"> kune</w:t>
      </w:r>
      <w:r w:rsidR="001152C0" w:rsidRPr="004E6412">
        <w:rPr>
          <w:rFonts w:ascii="Times New Roman" w:hAnsi="Times New Roman"/>
        </w:rPr>
        <w:t xml:space="preserve"> (4,42%), što čini jednu od viših vrijednosti proizvodnosti kapitala u prerađivačkoj industriji</w:t>
      </w:r>
      <w:r w:rsidR="001B41B0" w:rsidRPr="004E6412">
        <w:rPr>
          <w:rFonts w:ascii="Times New Roman" w:hAnsi="Times New Roman"/>
        </w:rPr>
        <w:t>.</w:t>
      </w:r>
      <w:r w:rsidRPr="004E6412">
        <w:rPr>
          <w:rFonts w:ascii="Times New Roman" w:hAnsi="Times New Roman"/>
        </w:rPr>
        <w:t xml:space="preserve"> Opremljenost rada kapitalom </w:t>
      </w:r>
      <w:r w:rsidR="001B41B0" w:rsidRPr="004E6412">
        <w:rPr>
          <w:rFonts w:ascii="Times New Roman" w:hAnsi="Times New Roman"/>
        </w:rPr>
        <w:t xml:space="preserve">također </w:t>
      </w:r>
      <w:r w:rsidRPr="004E6412">
        <w:rPr>
          <w:rFonts w:ascii="Times New Roman" w:hAnsi="Times New Roman"/>
        </w:rPr>
        <w:t xml:space="preserve">je </w:t>
      </w:r>
      <w:r w:rsidR="001B41B0" w:rsidRPr="004E6412">
        <w:rPr>
          <w:rFonts w:ascii="Times New Roman" w:hAnsi="Times New Roman"/>
        </w:rPr>
        <w:t xml:space="preserve">blago povećana, a jedinični troškovi rada u proizvodnji </w:t>
      </w:r>
      <w:r w:rsidRPr="004E6412">
        <w:rPr>
          <w:rFonts w:ascii="Times New Roman" w:hAnsi="Times New Roman"/>
        </w:rPr>
        <w:t xml:space="preserve">su </w:t>
      </w:r>
      <w:r w:rsidR="001B41B0" w:rsidRPr="004E6412">
        <w:rPr>
          <w:rFonts w:ascii="Times New Roman" w:hAnsi="Times New Roman"/>
        </w:rPr>
        <w:t xml:space="preserve">smanjeni. </w:t>
      </w:r>
      <w:r w:rsidRPr="004E6412">
        <w:rPr>
          <w:rFonts w:ascii="Times New Roman" w:hAnsi="Times New Roman"/>
        </w:rPr>
        <w:t>Zaključuje se kako je učinkovitost</w:t>
      </w:r>
      <w:r w:rsidR="001B41B0" w:rsidRPr="004E6412">
        <w:rPr>
          <w:rFonts w:ascii="Times New Roman" w:hAnsi="Times New Roman"/>
        </w:rPr>
        <w:t xml:space="preserve"> upotrebe rada i kapitala u svrhu proizvodnje povećana.</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Likvidnost ove djelatnosti</w:t>
      </w:r>
      <w:r w:rsidR="001B41B0" w:rsidRPr="004E6412">
        <w:rPr>
          <w:rFonts w:ascii="Times New Roman" w:hAnsi="Times New Roman"/>
        </w:rPr>
        <w:t xml:space="preserve"> vrlo </w:t>
      </w:r>
      <w:r w:rsidRPr="004E6412">
        <w:rPr>
          <w:rFonts w:ascii="Times New Roman" w:hAnsi="Times New Roman"/>
        </w:rPr>
        <w:t xml:space="preserve">je </w:t>
      </w:r>
      <w:r w:rsidR="001B41B0" w:rsidRPr="004E6412">
        <w:rPr>
          <w:rFonts w:ascii="Times New Roman" w:hAnsi="Times New Roman"/>
        </w:rPr>
        <w:t>dobra. Na svaku kunu kratkoročnog</w:t>
      </w:r>
      <w:r w:rsidRPr="004E6412">
        <w:rPr>
          <w:rFonts w:ascii="Times New Roman" w:hAnsi="Times New Roman"/>
        </w:rPr>
        <w:t>a duga otpadalo je 1,38 kuna</w:t>
      </w:r>
      <w:r w:rsidR="001B41B0" w:rsidRPr="004E6412">
        <w:rPr>
          <w:rFonts w:ascii="Times New Roman" w:hAnsi="Times New Roman"/>
        </w:rPr>
        <w:t xml:space="preserve"> likvidne imovine (umanjene za zalihe). U promatranom</w:t>
      </w:r>
      <w:r w:rsidRPr="004E6412">
        <w:rPr>
          <w:rFonts w:ascii="Times New Roman" w:hAnsi="Times New Roman"/>
        </w:rPr>
        <w:t>e</w:t>
      </w:r>
      <w:r w:rsidR="001B41B0" w:rsidRPr="004E6412">
        <w:rPr>
          <w:rFonts w:ascii="Times New Roman" w:hAnsi="Times New Roman"/>
        </w:rPr>
        <w:t xml:space="preserve"> razdoblju primijećen je blagi pad likvidnosti,</w:t>
      </w:r>
      <w:r w:rsidRPr="004E6412">
        <w:rPr>
          <w:rFonts w:ascii="Times New Roman" w:hAnsi="Times New Roman"/>
        </w:rPr>
        <w:t xml:space="preserve"> ali nije zabrinjavajući</w:t>
      </w:r>
      <w:r w:rsidR="001B41B0" w:rsidRPr="004E6412">
        <w:rPr>
          <w:rFonts w:ascii="Times New Roman" w:hAnsi="Times New Roman"/>
        </w:rPr>
        <w:t>. U</w:t>
      </w:r>
      <w:r w:rsidRPr="004E6412">
        <w:rPr>
          <w:rFonts w:ascii="Times New Roman" w:hAnsi="Times New Roman"/>
        </w:rPr>
        <w:t xml:space="preserve">kupna zaduženost djelatnosti </w:t>
      </w:r>
      <w:r w:rsidR="001B41B0" w:rsidRPr="004E6412">
        <w:rPr>
          <w:rFonts w:ascii="Times New Roman" w:hAnsi="Times New Roman"/>
        </w:rPr>
        <w:t xml:space="preserve">umjerena </w:t>
      </w:r>
      <w:r w:rsidRPr="004E6412">
        <w:rPr>
          <w:rFonts w:ascii="Times New Roman" w:hAnsi="Times New Roman"/>
        </w:rPr>
        <w:t xml:space="preserve">je, dok </w:t>
      </w:r>
      <w:r w:rsidR="001B41B0" w:rsidRPr="004E6412">
        <w:rPr>
          <w:rFonts w:ascii="Times New Roman" w:hAnsi="Times New Roman"/>
        </w:rPr>
        <w:t>otplata postojećih dugova nije upitna.</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lastRenderedPageBreak/>
        <w:t>Broj zaposlenih je u razdoblju 2010.</w:t>
      </w:r>
      <w:r w:rsidR="00F92D5D" w:rsidRPr="004E6412">
        <w:rPr>
          <w:rFonts w:ascii="Times New Roman" w:hAnsi="Times New Roman"/>
        </w:rPr>
        <w:t xml:space="preserve"> – </w:t>
      </w:r>
      <w:r w:rsidRPr="004E6412">
        <w:rPr>
          <w:rFonts w:ascii="Times New Roman" w:hAnsi="Times New Roman"/>
        </w:rPr>
        <w:t xml:space="preserve">2012. smanjen </w:t>
      </w:r>
      <w:r w:rsidR="00F92D5D" w:rsidRPr="004E6412">
        <w:rPr>
          <w:rFonts w:ascii="Times New Roman" w:hAnsi="Times New Roman"/>
        </w:rPr>
        <w:t xml:space="preserve">za </w:t>
      </w:r>
      <w:r w:rsidRPr="004E6412">
        <w:rPr>
          <w:rFonts w:ascii="Times New Roman" w:hAnsi="Times New Roman"/>
        </w:rPr>
        <w:t>7,03% (679 osoba). U prerađivačkoj industriji udio zaposlenih je stoga u blagom</w:t>
      </w:r>
      <w:r w:rsidR="00F92D5D" w:rsidRPr="004E6412">
        <w:rPr>
          <w:rFonts w:ascii="Times New Roman" w:hAnsi="Times New Roman"/>
        </w:rPr>
        <w:t>e</w:t>
      </w:r>
      <w:r w:rsidRPr="004E6412">
        <w:rPr>
          <w:rFonts w:ascii="Times New Roman" w:hAnsi="Times New Roman"/>
        </w:rPr>
        <w:t xml:space="preserve"> padu i na razini je od 4% u 2012. U ukupnom</w:t>
      </w:r>
      <w:r w:rsidR="00F92D5D" w:rsidRPr="004E6412">
        <w:rPr>
          <w:rFonts w:ascii="Times New Roman" w:hAnsi="Times New Roman"/>
        </w:rPr>
        <w:t>e</w:t>
      </w:r>
      <w:r w:rsidRPr="004E6412">
        <w:rPr>
          <w:rFonts w:ascii="Times New Roman" w:hAnsi="Times New Roman"/>
        </w:rPr>
        <w:t xml:space="preserve"> gospodarstvu udio zaposlenih je 0,62%. Pad broja zaposlenih ponajviše se odnosi na poddjelatnosti C27.9 (</w:t>
      </w:r>
      <w:r w:rsidR="00F92D5D" w:rsidRPr="004E6412">
        <w:rPr>
          <w:rFonts w:ascii="Times New Roman" w:hAnsi="Times New Roman"/>
        </w:rPr>
        <w:t xml:space="preserve">gdje je </w:t>
      </w:r>
      <w:r w:rsidRPr="004E6412">
        <w:rPr>
          <w:rFonts w:ascii="Times New Roman" w:hAnsi="Times New Roman"/>
        </w:rPr>
        <w:t>posao izgubilo 390 osoba</w:t>
      </w:r>
      <w:r w:rsidR="00F92D5D" w:rsidRPr="004E6412">
        <w:rPr>
          <w:rFonts w:ascii="Times New Roman" w:hAnsi="Times New Roman"/>
        </w:rPr>
        <w:t>,</w:t>
      </w:r>
      <w:r w:rsidRPr="004E6412">
        <w:rPr>
          <w:rFonts w:ascii="Times New Roman" w:hAnsi="Times New Roman"/>
        </w:rPr>
        <w:t xml:space="preserve"> odnosno 16,42%) i C27.5 (</w:t>
      </w:r>
      <w:r w:rsidR="00F92D5D" w:rsidRPr="004E6412">
        <w:rPr>
          <w:rFonts w:ascii="Times New Roman" w:hAnsi="Times New Roman"/>
        </w:rPr>
        <w:t xml:space="preserve">gdje su </w:t>
      </w:r>
      <w:r w:rsidRPr="004E6412">
        <w:rPr>
          <w:rFonts w:ascii="Times New Roman" w:hAnsi="Times New Roman"/>
        </w:rPr>
        <w:t xml:space="preserve">posao </w:t>
      </w:r>
      <w:r w:rsidR="00F92D5D" w:rsidRPr="004E6412">
        <w:rPr>
          <w:rFonts w:ascii="Times New Roman" w:hAnsi="Times New Roman"/>
        </w:rPr>
        <w:t>izgubile</w:t>
      </w:r>
      <w:r w:rsidRPr="004E6412">
        <w:rPr>
          <w:rFonts w:ascii="Times New Roman" w:hAnsi="Times New Roman"/>
        </w:rPr>
        <w:t xml:space="preserve"> 252 osobe</w:t>
      </w:r>
      <w:r w:rsidR="00F92D5D" w:rsidRPr="004E6412">
        <w:rPr>
          <w:rFonts w:ascii="Times New Roman" w:hAnsi="Times New Roman"/>
        </w:rPr>
        <w:t>,</w:t>
      </w:r>
      <w:r w:rsidRPr="004E6412">
        <w:rPr>
          <w:rFonts w:ascii="Times New Roman" w:hAnsi="Times New Roman"/>
        </w:rPr>
        <w:t xml:space="preserve"> odnosno 21,15%), dok je u poddjelatnostima C27.1 i C27.3 došlo do rasta zaposlenih od 5%</w:t>
      </w:r>
      <w:r w:rsidR="00F92D5D" w:rsidRPr="004E6412">
        <w:rPr>
          <w:rFonts w:ascii="Times New Roman" w:hAnsi="Times New Roman"/>
        </w:rPr>
        <w:t>,</w:t>
      </w:r>
      <w:r w:rsidRPr="004E6412">
        <w:rPr>
          <w:rFonts w:ascii="Times New Roman" w:hAnsi="Times New Roman"/>
        </w:rPr>
        <w:t xml:space="preserve"> odnosno 7%. Na razini djelatnosti u razdoblju 2010.</w:t>
      </w:r>
      <w:r w:rsidR="00F92D5D" w:rsidRPr="004E6412">
        <w:rPr>
          <w:rFonts w:ascii="Times New Roman" w:hAnsi="Times New Roman"/>
        </w:rPr>
        <w:t xml:space="preserve"> – </w:t>
      </w:r>
      <w:r w:rsidRPr="004E6412">
        <w:rPr>
          <w:rFonts w:ascii="Times New Roman" w:hAnsi="Times New Roman"/>
        </w:rPr>
        <w:t>2012. dolazi do rasta neto plaća od 7,19%, dok su u prosjeku bruto plaće porasle za 3,42%. Najveći udio zaposlenih ima srednju st</w:t>
      </w:r>
      <w:r w:rsidR="00F92D5D" w:rsidRPr="004E6412">
        <w:rPr>
          <w:rFonts w:ascii="Times New Roman" w:hAnsi="Times New Roman"/>
        </w:rPr>
        <w:t>ručnu spremu (47,61% u 2012.), a potom</w:t>
      </w:r>
      <w:r w:rsidRPr="004E6412">
        <w:rPr>
          <w:rFonts w:ascii="Times New Roman" w:hAnsi="Times New Roman"/>
        </w:rPr>
        <w:t xml:space="preserve"> slijede visokoobrazovane osobe s udjelom od 14,05%.</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Proizvodnju električne opreme u Hrvatskoj obilježava visok potencijal rasta zbog sve veće potrošnje ener</w:t>
      </w:r>
      <w:r w:rsidR="00F92D5D" w:rsidRPr="004E6412">
        <w:rPr>
          <w:rFonts w:ascii="Times New Roman" w:hAnsi="Times New Roman"/>
        </w:rPr>
        <w:t xml:space="preserve">gije u svijetu. </w:t>
      </w:r>
      <w:r w:rsidR="00022F40" w:rsidRPr="004E6412">
        <w:rPr>
          <w:rFonts w:ascii="Times New Roman" w:hAnsi="Times New Roman"/>
        </w:rPr>
        <w:t>Stoga je</w:t>
      </w:r>
      <w:r w:rsidR="00F92D5D" w:rsidRPr="004E6412">
        <w:rPr>
          <w:rFonts w:ascii="Times New Roman" w:hAnsi="Times New Roman"/>
        </w:rPr>
        <w:t xml:space="preserve"> </w:t>
      </w:r>
      <w:r w:rsidR="00022F40" w:rsidRPr="004E6412">
        <w:rPr>
          <w:rFonts w:ascii="Times New Roman" w:hAnsi="Times New Roman"/>
        </w:rPr>
        <w:t>rast</w:t>
      </w:r>
      <w:r w:rsidRPr="004E6412">
        <w:rPr>
          <w:rFonts w:ascii="Times New Roman" w:hAnsi="Times New Roman"/>
        </w:rPr>
        <w:t xml:space="preserve"> moguć</w:t>
      </w:r>
      <w:r w:rsidR="00F92D5D" w:rsidRPr="004E6412">
        <w:rPr>
          <w:rFonts w:ascii="Times New Roman" w:hAnsi="Times New Roman"/>
        </w:rPr>
        <w:t>e ostvariti jedino usmjerenošću</w:t>
      </w:r>
      <w:r w:rsidRPr="004E6412">
        <w:rPr>
          <w:rFonts w:ascii="Times New Roman" w:hAnsi="Times New Roman"/>
        </w:rPr>
        <w:t xml:space="preserve"> na inozemna tržišta budući</w:t>
      </w:r>
      <w:r w:rsidR="00F92D5D" w:rsidRPr="004E6412">
        <w:rPr>
          <w:rFonts w:ascii="Times New Roman" w:hAnsi="Times New Roman"/>
        </w:rPr>
        <w:t xml:space="preserve"> da</w:t>
      </w:r>
      <w:r w:rsidRPr="004E6412">
        <w:rPr>
          <w:rFonts w:ascii="Times New Roman" w:hAnsi="Times New Roman"/>
        </w:rPr>
        <w:t xml:space="preserve"> je domaće tržište za proizvode ove djel</w:t>
      </w:r>
      <w:r w:rsidR="00F92D5D" w:rsidRPr="004E6412">
        <w:rPr>
          <w:rFonts w:ascii="Times New Roman" w:hAnsi="Times New Roman"/>
        </w:rPr>
        <w:t>atnosti premalo</w:t>
      </w:r>
      <w:r w:rsidR="00022F40" w:rsidRPr="004E6412">
        <w:rPr>
          <w:rFonts w:ascii="Times New Roman" w:hAnsi="Times New Roman"/>
        </w:rPr>
        <w:t>, a i potrošnja električne energije u Hrvatskoj u posljednje tri godine se smanjila</w:t>
      </w:r>
      <w:r w:rsidR="00F92D5D" w:rsidRPr="004E6412">
        <w:rPr>
          <w:rFonts w:ascii="Times New Roman" w:hAnsi="Times New Roman"/>
        </w:rPr>
        <w:t>. Međutim, velik</w:t>
      </w:r>
      <w:r w:rsidRPr="004E6412">
        <w:rPr>
          <w:rFonts w:ascii="Times New Roman" w:hAnsi="Times New Roman"/>
        </w:rPr>
        <w:t xml:space="preserve"> problem u međunarodnoj razmjeni predstavljaju međunarodni javni natječaji kojima strane zemlje </w:t>
      </w:r>
      <w:r w:rsidR="00022F40" w:rsidRPr="004E6412">
        <w:rPr>
          <w:rFonts w:ascii="Times New Roman" w:hAnsi="Times New Roman"/>
        </w:rPr>
        <w:t xml:space="preserve">neformalno </w:t>
      </w:r>
      <w:r w:rsidRPr="004E6412">
        <w:rPr>
          <w:rFonts w:ascii="Times New Roman" w:hAnsi="Times New Roman"/>
        </w:rPr>
        <w:t>uvelike štite svoje proizvođače. Hrvatske tvrtke zbog maloserijske proizvodnje teško mogu konkurirati cijenom, a cijena predstavlja glavni kriterij javnih natječaja. Izlazak na inozemno tržište ostvar</w:t>
      </w:r>
      <w:r w:rsidR="00114C8A" w:rsidRPr="004E6412">
        <w:rPr>
          <w:rFonts w:ascii="Times New Roman" w:hAnsi="Times New Roman"/>
        </w:rPr>
        <w:t>uje se uglavnom putem izvoza</w:t>
      </w:r>
      <w:r w:rsidR="0036608E" w:rsidRPr="004E6412">
        <w:rPr>
          <w:rFonts w:ascii="Times New Roman" w:hAnsi="Times New Roman"/>
        </w:rPr>
        <w:t>.</w:t>
      </w:r>
    </w:p>
    <w:p w:rsidR="001B41B0" w:rsidRPr="004E6412" w:rsidRDefault="001B41B0" w:rsidP="001B41B0">
      <w:pPr>
        <w:rPr>
          <w:sz w:val="22"/>
        </w:rPr>
      </w:pPr>
    </w:p>
    <w:p w:rsidR="001B41B0" w:rsidRPr="004E6412" w:rsidRDefault="00114C8A" w:rsidP="001B41B0">
      <w:pPr>
        <w:pStyle w:val="ListParagraph"/>
        <w:numPr>
          <w:ilvl w:val="0"/>
          <w:numId w:val="48"/>
        </w:numPr>
        <w:spacing w:after="0"/>
        <w:jc w:val="both"/>
        <w:rPr>
          <w:rFonts w:ascii="Times New Roman" w:hAnsi="Times New Roman"/>
        </w:rPr>
      </w:pPr>
      <w:r w:rsidRPr="004E6412">
        <w:rPr>
          <w:rFonts w:ascii="Times New Roman" w:hAnsi="Times New Roman"/>
        </w:rPr>
        <w:t>Zbog posebnosti</w:t>
      </w:r>
      <w:r w:rsidR="001B41B0" w:rsidRPr="004E6412">
        <w:rPr>
          <w:rFonts w:ascii="Times New Roman" w:hAnsi="Times New Roman"/>
        </w:rPr>
        <w:t xml:space="preserve"> proizvodnog</w:t>
      </w:r>
      <w:r w:rsidRPr="004E6412">
        <w:rPr>
          <w:rFonts w:ascii="Times New Roman" w:hAnsi="Times New Roman"/>
        </w:rPr>
        <w:t>a procesa i proizvoda</w:t>
      </w:r>
      <w:r w:rsidR="001B41B0" w:rsidRPr="004E6412">
        <w:rPr>
          <w:rFonts w:ascii="Times New Roman" w:hAnsi="Times New Roman"/>
        </w:rPr>
        <w:t xml:space="preserve"> te velike tehnološke intenzivnosti, proizvodnja je uglavnom smještena u Hrvatskoj. U inozemstvu se uglavnom otvaraju uredi za praćenje tržišta i komunikaciju s kupcima. Najvažniju aktivnost za poboljšanje proizvodnje predstavljaju investicije u strojeve, opremu i informacijsku tehnologiju, a zastar</w:t>
      </w:r>
      <w:r w:rsidRPr="004E6412">
        <w:rPr>
          <w:rFonts w:ascii="Times New Roman" w:hAnsi="Times New Roman"/>
        </w:rPr>
        <w:t>jelost strojeva i opreme pokazala</w:t>
      </w:r>
      <w:r w:rsidR="001B41B0" w:rsidRPr="004E6412">
        <w:rPr>
          <w:rFonts w:ascii="Times New Roman" w:hAnsi="Times New Roman"/>
        </w:rPr>
        <w:t xml:space="preserve"> se kao glavni ograničavajući čimbenik proizvodnje. </w:t>
      </w:r>
    </w:p>
    <w:p w:rsidR="001B41B0" w:rsidRPr="004E6412" w:rsidRDefault="001B41B0" w:rsidP="001B41B0"/>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Većina sirovina za </w:t>
      </w:r>
      <w:r w:rsidR="00114C8A" w:rsidRPr="004E6412">
        <w:rPr>
          <w:rFonts w:ascii="Times New Roman" w:hAnsi="Times New Roman"/>
        </w:rPr>
        <w:t>proizvodnju u Hrvatskoj se uvozi</w:t>
      </w:r>
      <w:r w:rsidRPr="004E6412">
        <w:rPr>
          <w:rFonts w:ascii="Times New Roman" w:hAnsi="Times New Roman"/>
        </w:rPr>
        <w:t>, a među njima se is</w:t>
      </w:r>
      <w:r w:rsidR="00114C8A" w:rsidRPr="004E6412">
        <w:rPr>
          <w:rFonts w:ascii="Times New Roman" w:hAnsi="Times New Roman"/>
        </w:rPr>
        <w:t xml:space="preserve">tiču bakar, željezo i aluminij. </w:t>
      </w:r>
      <w:r w:rsidRPr="004E6412">
        <w:rPr>
          <w:rFonts w:ascii="Times New Roman" w:hAnsi="Times New Roman"/>
        </w:rPr>
        <w:t>Radi se o burzovnim robama (standardizirane kvalitete i cijene) pa njihova dostupnost i dob</w:t>
      </w:r>
      <w:r w:rsidR="00114C8A" w:rsidRPr="004E6412">
        <w:rPr>
          <w:rFonts w:ascii="Times New Roman" w:hAnsi="Times New Roman"/>
        </w:rPr>
        <w:t xml:space="preserve">ava ne predstavlja ograničavajući </w:t>
      </w:r>
      <w:r w:rsidRPr="004E6412">
        <w:rPr>
          <w:rFonts w:ascii="Times New Roman" w:hAnsi="Times New Roman"/>
        </w:rPr>
        <w:t xml:space="preserve">čimbenik proizvodnje. </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AD4AB0">
      <w:pPr>
        <w:pStyle w:val="Heading3"/>
        <w:rPr>
          <w:rFonts w:eastAsia="Calibri"/>
        </w:rPr>
      </w:pPr>
      <w:bookmarkStart w:id="847" w:name="_Toc372088056"/>
      <w:bookmarkStart w:id="848" w:name="_Toc378069117"/>
      <w:r w:rsidRPr="004E6412">
        <w:rPr>
          <w:rFonts w:eastAsia="Calibri"/>
        </w:rPr>
        <w:lastRenderedPageBreak/>
        <w:t>Zaključni prikaz pokazatelja</w:t>
      </w:r>
      <w:bookmarkEnd w:id="847"/>
      <w:bookmarkEnd w:id="848"/>
    </w:p>
    <w:p w:rsidR="00AD4AB0" w:rsidRPr="004E6412" w:rsidRDefault="00AD4AB0" w:rsidP="00AD4AB0"/>
    <w:p w:rsidR="001B41B0" w:rsidRPr="007D0CFD" w:rsidRDefault="001B41B0" w:rsidP="007D0CFD">
      <w:pPr>
        <w:pStyle w:val="Heading5"/>
        <w:rPr>
          <w:rStyle w:val="IntenseEmphasis"/>
          <w:b/>
          <w:bCs w:val="0"/>
          <w:iCs w:val="0"/>
          <w:color w:val="548DD4" w:themeColor="text2" w:themeTint="99"/>
          <w:sz w:val="20"/>
        </w:rPr>
      </w:pPr>
      <w:bookmarkStart w:id="849" w:name="_Toc372088167"/>
      <w:bookmarkStart w:id="850" w:name="_Toc377551102"/>
      <w:bookmarkStart w:id="851" w:name="_Toc37763529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90</w:t>
      </w:r>
      <w:r w:rsidRPr="007D0CFD">
        <w:rPr>
          <w:rStyle w:val="IntenseEmphasis"/>
          <w:b/>
          <w:bCs w:val="0"/>
          <w:iCs w:val="0"/>
          <w:color w:val="548DD4" w:themeColor="text2" w:themeTint="99"/>
          <w:sz w:val="20"/>
        </w:rPr>
        <w:t>. Kvantitativni pokazatelji (C27)</w:t>
      </w:r>
      <w:bookmarkEnd w:id="849"/>
      <w:bookmarkEnd w:id="850"/>
      <w:bookmarkEnd w:id="851"/>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103,20</w:t>
            </w:r>
          </w:p>
        </w:tc>
        <w:tc>
          <w:tcPr>
            <w:tcW w:w="968" w:type="pct"/>
            <w:shd w:val="clear" w:color="auto" w:fill="auto"/>
            <w:noWrap/>
          </w:tcPr>
          <w:p w:rsidR="001B41B0" w:rsidRPr="004E6412" w:rsidRDefault="001B41B0" w:rsidP="001B41B0">
            <w:pPr>
              <w:jc w:val="right"/>
            </w:pPr>
            <w:r w:rsidRPr="004E6412">
              <w:rPr>
                <w:sz w:val="22"/>
              </w:rPr>
              <w:t>102,20</w:t>
            </w:r>
          </w:p>
        </w:tc>
        <w:tc>
          <w:tcPr>
            <w:tcW w:w="1100" w:type="pct"/>
            <w:shd w:val="clear" w:color="auto" w:fill="auto"/>
            <w:noWrap/>
          </w:tcPr>
          <w:p w:rsidR="001B41B0" w:rsidRPr="004E6412" w:rsidRDefault="001B41B0" w:rsidP="001B41B0">
            <w:pPr>
              <w:jc w:val="right"/>
            </w:pPr>
            <w:r w:rsidRPr="004E6412">
              <w:rPr>
                <w:sz w:val="22"/>
              </w:rPr>
              <w:t>97,85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92,3</w:t>
            </w:r>
          </w:p>
        </w:tc>
        <w:tc>
          <w:tcPr>
            <w:tcW w:w="968" w:type="pct"/>
            <w:shd w:val="clear" w:color="auto" w:fill="auto"/>
            <w:noWrap/>
          </w:tcPr>
          <w:p w:rsidR="001B41B0" w:rsidRPr="004E6412" w:rsidRDefault="001B41B0" w:rsidP="001B41B0">
            <w:pPr>
              <w:jc w:val="right"/>
            </w:pPr>
            <w:r w:rsidRPr="004E6412">
              <w:rPr>
                <w:sz w:val="22"/>
              </w:rPr>
              <w:t>89,5</w:t>
            </w:r>
          </w:p>
        </w:tc>
        <w:tc>
          <w:tcPr>
            <w:tcW w:w="1100" w:type="pct"/>
            <w:shd w:val="clear" w:color="auto" w:fill="auto"/>
            <w:noWrap/>
          </w:tcPr>
          <w:p w:rsidR="001B41B0" w:rsidRPr="004E6412" w:rsidRDefault="00A61190" w:rsidP="001B41B0">
            <w:pPr>
              <w:jc w:val="right"/>
            </w:pPr>
            <w:r w:rsidRPr="004E6412">
              <w:rPr>
                <w:sz w:val="22"/>
              </w:rPr>
              <w:t>85,3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9.652</w:t>
            </w:r>
          </w:p>
        </w:tc>
        <w:tc>
          <w:tcPr>
            <w:tcW w:w="968" w:type="pct"/>
            <w:shd w:val="clear" w:color="auto" w:fill="auto"/>
            <w:noWrap/>
          </w:tcPr>
          <w:p w:rsidR="001B41B0" w:rsidRPr="004E6412" w:rsidRDefault="001B41B0" w:rsidP="001B41B0">
            <w:pPr>
              <w:jc w:val="right"/>
            </w:pPr>
            <w:r w:rsidRPr="004E6412">
              <w:rPr>
                <w:sz w:val="22"/>
              </w:rPr>
              <w:t>8.902</w:t>
            </w:r>
          </w:p>
        </w:tc>
        <w:tc>
          <w:tcPr>
            <w:tcW w:w="1100" w:type="pct"/>
            <w:shd w:val="clear" w:color="auto" w:fill="auto"/>
            <w:noWrap/>
          </w:tcPr>
          <w:p w:rsidR="001B41B0" w:rsidRPr="004E6412" w:rsidRDefault="001B41B0" w:rsidP="001B41B0">
            <w:pPr>
              <w:jc w:val="right"/>
            </w:pPr>
            <w:r w:rsidRPr="004E6412">
              <w:rPr>
                <w:sz w:val="22"/>
              </w:rPr>
              <w:t>8.973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7.989.568.980</w:t>
            </w:r>
          </w:p>
        </w:tc>
        <w:tc>
          <w:tcPr>
            <w:tcW w:w="968" w:type="pct"/>
            <w:shd w:val="clear" w:color="auto" w:fill="auto"/>
            <w:noWrap/>
          </w:tcPr>
          <w:p w:rsidR="001B41B0" w:rsidRPr="004E6412" w:rsidRDefault="001B41B0" w:rsidP="001B41B0">
            <w:pPr>
              <w:jc w:val="right"/>
            </w:pPr>
            <w:r w:rsidRPr="004E6412">
              <w:rPr>
                <w:sz w:val="22"/>
              </w:rPr>
              <w:t>7.899.693.834</w:t>
            </w:r>
          </w:p>
        </w:tc>
        <w:tc>
          <w:tcPr>
            <w:tcW w:w="1100" w:type="pct"/>
            <w:shd w:val="clear" w:color="auto" w:fill="auto"/>
            <w:noWrap/>
          </w:tcPr>
          <w:p w:rsidR="001B41B0" w:rsidRPr="004E6412" w:rsidRDefault="001B41B0" w:rsidP="001B41B0">
            <w:pPr>
              <w:jc w:val="right"/>
            </w:pPr>
            <w:r w:rsidRPr="004E6412">
              <w:rPr>
                <w:sz w:val="22"/>
              </w:rPr>
              <w:t>7.823.058.384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506.230.913</w:t>
            </w:r>
          </w:p>
        </w:tc>
        <w:tc>
          <w:tcPr>
            <w:tcW w:w="968" w:type="pct"/>
            <w:shd w:val="clear" w:color="auto" w:fill="auto"/>
            <w:noWrap/>
          </w:tcPr>
          <w:p w:rsidR="001B41B0" w:rsidRPr="004E6412" w:rsidRDefault="001B41B0" w:rsidP="001B41B0">
            <w:pPr>
              <w:jc w:val="right"/>
            </w:pPr>
            <w:r w:rsidRPr="004E6412">
              <w:rPr>
                <w:sz w:val="22"/>
              </w:rPr>
              <w:t>618.673.084</w:t>
            </w:r>
          </w:p>
        </w:tc>
        <w:tc>
          <w:tcPr>
            <w:tcW w:w="1100" w:type="pct"/>
            <w:shd w:val="clear" w:color="auto" w:fill="auto"/>
            <w:noWrap/>
          </w:tcPr>
          <w:p w:rsidR="001B41B0" w:rsidRPr="004E6412" w:rsidRDefault="001B41B0" w:rsidP="001B41B0">
            <w:pPr>
              <w:jc w:val="right"/>
            </w:pPr>
            <w:r w:rsidRPr="004E6412">
              <w:rPr>
                <w:sz w:val="22"/>
              </w:rPr>
              <w:t>658.654.089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4,10</w:t>
            </w:r>
          </w:p>
        </w:tc>
        <w:tc>
          <w:tcPr>
            <w:tcW w:w="968" w:type="pct"/>
            <w:shd w:val="clear" w:color="auto" w:fill="auto"/>
            <w:noWrap/>
          </w:tcPr>
          <w:p w:rsidR="001B41B0" w:rsidRPr="004E6412" w:rsidRDefault="001B41B0" w:rsidP="001B41B0">
            <w:pPr>
              <w:jc w:val="right"/>
            </w:pPr>
            <w:r w:rsidRPr="004E6412">
              <w:rPr>
                <w:sz w:val="22"/>
              </w:rPr>
              <w:t>5,69</w:t>
            </w:r>
          </w:p>
        </w:tc>
        <w:tc>
          <w:tcPr>
            <w:tcW w:w="1100" w:type="pct"/>
            <w:shd w:val="clear" w:color="auto" w:fill="auto"/>
            <w:noWrap/>
          </w:tcPr>
          <w:p w:rsidR="001B41B0" w:rsidRPr="004E6412" w:rsidRDefault="001B41B0" w:rsidP="001B41B0">
            <w:pPr>
              <w:jc w:val="right"/>
            </w:pPr>
            <w:r w:rsidRPr="004E6412">
              <w:rPr>
                <w:sz w:val="22"/>
              </w:rPr>
              <w:t>6,29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827.763</w:t>
            </w:r>
          </w:p>
        </w:tc>
        <w:tc>
          <w:tcPr>
            <w:tcW w:w="968" w:type="pct"/>
            <w:shd w:val="clear" w:color="auto" w:fill="auto"/>
            <w:noWrap/>
          </w:tcPr>
          <w:p w:rsidR="001B41B0" w:rsidRPr="004E6412" w:rsidRDefault="001B41B0" w:rsidP="001B41B0">
            <w:pPr>
              <w:jc w:val="right"/>
            </w:pPr>
            <w:r w:rsidRPr="004E6412">
              <w:rPr>
                <w:sz w:val="22"/>
              </w:rPr>
              <w:t>887.407</w:t>
            </w:r>
          </w:p>
        </w:tc>
        <w:tc>
          <w:tcPr>
            <w:tcW w:w="1100" w:type="pct"/>
            <w:shd w:val="clear" w:color="auto" w:fill="auto"/>
            <w:noWrap/>
          </w:tcPr>
          <w:p w:rsidR="001B41B0" w:rsidRPr="004E6412" w:rsidRDefault="001B41B0" w:rsidP="001B41B0">
            <w:pPr>
              <w:jc w:val="right"/>
            </w:pPr>
            <w:r w:rsidRPr="004E6412">
              <w:rPr>
                <w:sz w:val="22"/>
              </w:rPr>
              <w:t>871.844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2.133.678.259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2.163.298.375</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2.116.070.805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52.306</w:t>
            </w:r>
          </w:p>
        </w:tc>
        <w:tc>
          <w:tcPr>
            <w:tcW w:w="968" w:type="pct"/>
            <w:shd w:val="clear" w:color="auto" w:fill="auto"/>
            <w:noWrap/>
          </w:tcPr>
          <w:p w:rsidR="001B41B0" w:rsidRPr="004E6412" w:rsidRDefault="001B41B0" w:rsidP="001B41B0">
            <w:pPr>
              <w:jc w:val="right"/>
            </w:pPr>
            <w:r w:rsidRPr="004E6412">
              <w:rPr>
                <w:sz w:val="22"/>
              </w:rPr>
              <w:t>58.354</w:t>
            </w:r>
          </w:p>
        </w:tc>
        <w:tc>
          <w:tcPr>
            <w:tcW w:w="1100" w:type="pct"/>
            <w:shd w:val="clear" w:color="auto" w:fill="auto"/>
            <w:noWrap/>
          </w:tcPr>
          <w:p w:rsidR="001B41B0" w:rsidRPr="004E6412" w:rsidRDefault="001B41B0" w:rsidP="001B41B0">
            <w:pPr>
              <w:jc w:val="right"/>
            </w:pPr>
            <w:r w:rsidRPr="004E6412">
              <w:rPr>
                <w:sz w:val="22"/>
              </w:rPr>
              <w:t>57.263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18.390</w:t>
            </w:r>
          </w:p>
        </w:tc>
        <w:tc>
          <w:tcPr>
            <w:tcW w:w="968" w:type="pct"/>
            <w:shd w:val="clear" w:color="auto" w:fill="auto"/>
            <w:noWrap/>
          </w:tcPr>
          <w:p w:rsidR="001B41B0" w:rsidRPr="004E6412" w:rsidRDefault="001B41B0" w:rsidP="001B41B0">
            <w:pPr>
              <w:jc w:val="right"/>
            </w:pPr>
            <w:r w:rsidRPr="004E6412">
              <w:rPr>
                <w:sz w:val="22"/>
              </w:rPr>
              <w:t>13.685</w:t>
            </w:r>
          </w:p>
        </w:tc>
        <w:tc>
          <w:tcPr>
            <w:tcW w:w="1100" w:type="pct"/>
            <w:shd w:val="clear" w:color="auto" w:fill="auto"/>
            <w:noWrap/>
          </w:tcPr>
          <w:p w:rsidR="001B41B0" w:rsidRPr="004E6412" w:rsidRDefault="001B41B0" w:rsidP="001B41B0">
            <w:pPr>
              <w:jc w:val="right"/>
            </w:pPr>
            <w:r w:rsidRPr="004E6412">
              <w:rPr>
                <w:sz w:val="22"/>
              </w:rPr>
              <w:t>15.251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1,737</w:t>
            </w:r>
          </w:p>
        </w:tc>
        <w:tc>
          <w:tcPr>
            <w:tcW w:w="968" w:type="pct"/>
            <w:shd w:val="clear" w:color="auto" w:fill="auto"/>
            <w:noWrap/>
          </w:tcPr>
          <w:p w:rsidR="001B41B0" w:rsidRPr="004E6412" w:rsidRDefault="001B41B0" w:rsidP="001B41B0">
            <w:pPr>
              <w:jc w:val="right"/>
            </w:pPr>
            <w:r w:rsidRPr="004E6412">
              <w:rPr>
                <w:sz w:val="22"/>
              </w:rPr>
              <w:t>1,873</w:t>
            </w:r>
          </w:p>
        </w:tc>
        <w:tc>
          <w:tcPr>
            <w:tcW w:w="1100" w:type="pct"/>
            <w:shd w:val="clear" w:color="auto" w:fill="auto"/>
            <w:noWrap/>
          </w:tcPr>
          <w:p w:rsidR="001B41B0" w:rsidRPr="004E6412" w:rsidRDefault="001B41B0" w:rsidP="001B41B0">
            <w:pPr>
              <w:jc w:val="right"/>
            </w:pPr>
            <w:r w:rsidRPr="004E6412">
              <w:rPr>
                <w:sz w:val="22"/>
              </w:rPr>
              <w:t>1,886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1.983.600.146</w:t>
            </w:r>
          </w:p>
        </w:tc>
        <w:tc>
          <w:tcPr>
            <w:tcW w:w="968" w:type="pct"/>
            <w:shd w:val="clear" w:color="auto" w:fill="auto"/>
            <w:noWrap/>
          </w:tcPr>
          <w:p w:rsidR="001B41B0" w:rsidRPr="004E6412" w:rsidRDefault="001B41B0" w:rsidP="001B41B0">
            <w:pPr>
              <w:jc w:val="right"/>
            </w:pPr>
            <w:r w:rsidRPr="004E6412">
              <w:rPr>
                <w:sz w:val="22"/>
              </w:rPr>
              <w:t>2.051.704.432</w:t>
            </w:r>
          </w:p>
        </w:tc>
        <w:tc>
          <w:tcPr>
            <w:tcW w:w="1100" w:type="pct"/>
            <w:shd w:val="clear" w:color="auto" w:fill="auto"/>
            <w:noWrap/>
          </w:tcPr>
          <w:p w:rsidR="001B41B0" w:rsidRPr="004E6412" w:rsidRDefault="001B41B0" w:rsidP="001B41B0">
            <w:pPr>
              <w:jc w:val="right"/>
            </w:pPr>
            <w:r w:rsidRPr="004E6412">
              <w:rPr>
                <w:sz w:val="22"/>
              </w:rPr>
              <w:t>1.952.351.001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58,54</w:t>
            </w:r>
          </w:p>
        </w:tc>
        <w:tc>
          <w:tcPr>
            <w:tcW w:w="968" w:type="pct"/>
            <w:shd w:val="clear" w:color="auto" w:fill="auto"/>
            <w:noWrap/>
          </w:tcPr>
          <w:p w:rsidR="001B41B0" w:rsidRPr="004E6412" w:rsidRDefault="001B41B0" w:rsidP="001B41B0">
            <w:pPr>
              <w:jc w:val="right"/>
            </w:pPr>
            <w:r w:rsidRPr="004E6412">
              <w:rPr>
                <w:sz w:val="22"/>
              </w:rPr>
              <w:t>55,74</w:t>
            </w:r>
          </w:p>
        </w:tc>
        <w:tc>
          <w:tcPr>
            <w:tcW w:w="1100" w:type="pct"/>
            <w:shd w:val="clear" w:color="auto" w:fill="auto"/>
            <w:noWrap/>
          </w:tcPr>
          <w:p w:rsidR="001B41B0" w:rsidRPr="004E6412" w:rsidRDefault="001B41B0" w:rsidP="001B41B0">
            <w:pPr>
              <w:jc w:val="right"/>
            </w:pPr>
            <w:r w:rsidRPr="004E6412">
              <w:rPr>
                <w:sz w:val="22"/>
              </w:rPr>
              <w:t>53,14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1,10</w:t>
            </w:r>
          </w:p>
        </w:tc>
        <w:tc>
          <w:tcPr>
            <w:tcW w:w="1100" w:type="pct"/>
            <w:shd w:val="clear" w:color="auto" w:fill="auto"/>
            <w:noWrap/>
          </w:tcPr>
          <w:p w:rsidR="001B41B0" w:rsidRPr="004E6412" w:rsidRDefault="001B41B0" w:rsidP="001B41B0">
            <w:pPr>
              <w:jc w:val="right"/>
            </w:pPr>
            <w:r w:rsidRPr="004E6412">
              <w:rPr>
                <w:sz w:val="22"/>
              </w:rPr>
              <w:t>1,15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114C8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5,37</w:t>
            </w:r>
          </w:p>
        </w:tc>
        <w:tc>
          <w:tcPr>
            <w:tcW w:w="968" w:type="pct"/>
            <w:shd w:val="clear" w:color="auto" w:fill="auto"/>
            <w:noWrap/>
          </w:tcPr>
          <w:p w:rsidR="001B41B0" w:rsidRPr="004E6412" w:rsidRDefault="001B41B0" w:rsidP="001B41B0">
            <w:pPr>
              <w:jc w:val="right"/>
            </w:pPr>
            <w:r w:rsidRPr="004E6412">
              <w:rPr>
                <w:sz w:val="22"/>
              </w:rPr>
              <w:t>4,66</w:t>
            </w:r>
          </w:p>
        </w:tc>
        <w:tc>
          <w:tcPr>
            <w:tcW w:w="1100" w:type="pct"/>
            <w:shd w:val="clear" w:color="auto" w:fill="auto"/>
            <w:noWrap/>
          </w:tcPr>
          <w:p w:rsidR="001B41B0" w:rsidRPr="004E6412" w:rsidRDefault="001B41B0" w:rsidP="001B41B0">
            <w:pPr>
              <w:jc w:val="right"/>
            </w:pPr>
            <w:r w:rsidRPr="004E6412">
              <w:rPr>
                <w:sz w:val="22"/>
              </w:rPr>
              <w:t>4,62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0,731</w:t>
            </w:r>
          </w:p>
        </w:tc>
        <w:tc>
          <w:tcPr>
            <w:tcW w:w="968" w:type="pct"/>
            <w:shd w:val="clear" w:color="auto" w:fill="auto"/>
            <w:noWrap/>
          </w:tcPr>
          <w:p w:rsidR="001B41B0" w:rsidRPr="004E6412" w:rsidRDefault="001B41B0" w:rsidP="001B41B0">
            <w:pPr>
              <w:jc w:val="right"/>
            </w:pPr>
            <w:r w:rsidRPr="004E6412">
              <w:rPr>
                <w:sz w:val="22"/>
              </w:rPr>
              <w:t>0,696</w:t>
            </w:r>
          </w:p>
        </w:tc>
        <w:tc>
          <w:tcPr>
            <w:tcW w:w="1100" w:type="pct"/>
            <w:shd w:val="clear" w:color="auto" w:fill="auto"/>
            <w:noWrap/>
          </w:tcPr>
          <w:p w:rsidR="001B41B0" w:rsidRPr="004E6412" w:rsidRDefault="001B41B0" w:rsidP="001B41B0">
            <w:pPr>
              <w:jc w:val="right"/>
            </w:pPr>
            <w:r w:rsidRPr="004E6412">
              <w:rPr>
                <w:sz w:val="22"/>
              </w:rPr>
              <w:t>0,693</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221.061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243.013</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235.826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0,88</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0,97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0,92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0,56</w:t>
            </w:r>
          </w:p>
        </w:tc>
        <w:tc>
          <w:tcPr>
            <w:tcW w:w="968" w:type="pct"/>
            <w:shd w:val="clear" w:color="auto" w:fill="auto"/>
            <w:noWrap/>
          </w:tcPr>
          <w:p w:rsidR="001B41B0" w:rsidRPr="004E6412" w:rsidRDefault="001B41B0" w:rsidP="001B41B0">
            <w:pPr>
              <w:jc w:val="right"/>
            </w:pPr>
            <w:r w:rsidRPr="004E6412">
              <w:rPr>
                <w:sz w:val="22"/>
              </w:rPr>
              <w:t>0,53</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0,41</w:t>
            </w:r>
          </w:p>
        </w:tc>
        <w:tc>
          <w:tcPr>
            <w:tcW w:w="968" w:type="pct"/>
            <w:shd w:val="clear" w:color="auto" w:fill="auto"/>
            <w:noWrap/>
          </w:tcPr>
          <w:p w:rsidR="001B41B0" w:rsidRPr="004E6412" w:rsidRDefault="001B41B0" w:rsidP="001B41B0">
            <w:pPr>
              <w:jc w:val="right"/>
            </w:pPr>
            <w:r w:rsidRPr="004E6412">
              <w:rPr>
                <w:sz w:val="22"/>
              </w:rPr>
              <w:t>0,37</w:t>
            </w:r>
          </w:p>
        </w:tc>
        <w:tc>
          <w:tcPr>
            <w:tcW w:w="1100" w:type="pct"/>
            <w:shd w:val="clear" w:color="auto" w:fill="auto"/>
            <w:noWrap/>
          </w:tcPr>
          <w:p w:rsidR="001B41B0" w:rsidRPr="004E6412" w:rsidRDefault="001B41B0" w:rsidP="001B41B0">
            <w:pPr>
              <w:jc w:val="right"/>
            </w:pPr>
            <w:r w:rsidRPr="004E6412">
              <w:rPr>
                <w:sz w:val="22"/>
              </w:rPr>
              <w:t>0,41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52" w:name="_Toc372088168"/>
      <w:bookmarkStart w:id="853" w:name="_Toc377551103"/>
      <w:bookmarkStart w:id="854" w:name="_Toc377635292"/>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91</w:t>
      </w:r>
      <w:r w:rsidRPr="007D0CFD">
        <w:rPr>
          <w:rStyle w:val="IntenseEmphasis"/>
          <w:b/>
          <w:bCs w:val="0"/>
          <w:iCs w:val="0"/>
          <w:color w:val="548DD4" w:themeColor="text2" w:themeTint="99"/>
          <w:sz w:val="20"/>
        </w:rPr>
        <w:t>. Kvalitativni pokazatelji (C27)</w:t>
      </w:r>
      <w:bookmarkEnd w:id="852"/>
      <w:bookmarkEnd w:id="853"/>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114C8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Nešto manje od 2/3 domaćeg kapitala, dostupna kvalitetna radna snaga svih stupnjeva obrazovanja, ostali resur</w:t>
            </w:r>
            <w:r w:rsidR="00114C8A" w:rsidRPr="004E6412">
              <w:rPr>
                <w:sz w:val="22"/>
              </w:rPr>
              <w:t>si ne predstavljaju ograničavajući</w:t>
            </w:r>
            <w:r w:rsidRPr="004E6412">
              <w:rPr>
                <w:sz w:val="22"/>
              </w:rPr>
              <w:t xml:space="preserve"> čimbenik proizvodnje jer se uglavnom radi o lako dostupnim burzovnim robama.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Intermedijarna i investicijska dobra. Po</w:t>
            </w:r>
            <w:r w:rsidR="00114C8A" w:rsidRPr="004E6412">
              <w:rPr>
                <w:sz w:val="22"/>
              </w:rPr>
              <w:t>tražnja postoji uz stalan razvoj i poboljšanje</w:t>
            </w:r>
            <w:r w:rsidRPr="004E6412">
              <w:rPr>
                <w:sz w:val="22"/>
              </w:rPr>
              <w:t xml:space="preserve">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Donekle prati svjetske trendove, ali nužno </w:t>
            </w:r>
            <w:r w:rsidR="00114C8A" w:rsidRPr="004E6412">
              <w:rPr>
                <w:sz w:val="22"/>
              </w:rPr>
              <w:t>je dodatno ulaganje</w:t>
            </w:r>
            <w:r w:rsidRPr="004E6412">
              <w:rPr>
                <w:sz w:val="22"/>
              </w:rPr>
              <w:t xml:space="preserve"> u opremu. Zastarjelost strojeva i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Visoki izdaci za opremu koja bi omogućila razvoj proizvoda vrhunske kvalitete i konkurentnosti.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20 od 280 poduzeća stvara 80% ukupnih prihoda djelatnosti, što je pokazatelj visoke koncent</w:t>
            </w:r>
            <w:r w:rsidR="00114C8A" w:rsidRPr="004E6412">
              <w:rPr>
                <w:sz w:val="22"/>
              </w:rPr>
              <w:t xml:space="preserve">racije. Visoka koncentracija </w:t>
            </w:r>
            <w:r w:rsidRPr="004E6412">
              <w:rPr>
                <w:sz w:val="22"/>
              </w:rPr>
              <w:t xml:space="preserve">zabilježena </w:t>
            </w:r>
            <w:r w:rsidR="00114C8A" w:rsidRPr="004E6412">
              <w:rPr>
                <w:sz w:val="22"/>
              </w:rPr>
              <w:t xml:space="preserve">je </w:t>
            </w:r>
            <w:r w:rsidRPr="004E6412">
              <w:rPr>
                <w:sz w:val="22"/>
              </w:rPr>
              <w:t xml:space="preserve">po aktivi, izvozu, uvozu i broju zaposlenih. Po kriteriju ukupnih prihoda, prvih 5 tvrtki 2012. godine ostvarilo je 49% ukupnog prihoda analizirane industrijske djelatnosti (Končar energetski transformatori, </w:t>
            </w:r>
            <w:r w:rsidR="00114C8A" w:rsidRPr="004E6412">
              <w:rPr>
                <w:sz w:val="22"/>
              </w:rPr>
              <w:t>Siemens, Eurocable group i druge</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Vrlo 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naročito u poddjelatnostima C27.1 Proizvodnja elektromotora, generatora, transformatora te uređaja za distribuciju i kontrolu električne energije, C27.3 Proizvodnja žice i elektroinstalacijskog materijala, C27.9 Proizvodnja ostale električne opreme. Samo poddjelatnosti 27.2 (Proizvodnja baterija i akumulatora) i 27.5 (Proizvodnja aparata za kućanstvo) nemaju potencijala ni za rast ni</w:t>
            </w:r>
            <w:r w:rsidR="00114C8A" w:rsidRPr="004E6412">
              <w:rPr>
                <w:sz w:val="22"/>
              </w:rPr>
              <w:t>ti</w:t>
            </w:r>
            <w:r w:rsidRPr="004E6412">
              <w:rPr>
                <w:sz w:val="22"/>
              </w:rPr>
              <w:t xml:space="preserve"> za zapošljavanje. Najveći gubitaš djelatnosti je poddjelatnost 27.5, dok je poddjelatnost 27.2 ostvarila najveći deficit na trgovinskoj bilanci zbog višestruko većeg uvoza od izvoza.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Velik udio vlastite proizvodnje i uz primjenu sirovina koje ne predstavljaju ograničavajući čimbenik proizvodnje.</w:t>
            </w:r>
          </w:p>
        </w:tc>
      </w:tr>
    </w:tbl>
    <w:p w:rsidR="001B41B0" w:rsidRPr="004E6412" w:rsidRDefault="001B41B0" w:rsidP="001B41B0">
      <w:p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55" w:name="_Toc365992562"/>
      <w:bookmarkStart w:id="856" w:name="_Toc366152993"/>
      <w:bookmarkStart w:id="857" w:name="_Toc366154320"/>
      <w:bookmarkStart w:id="858" w:name="_Toc366154440"/>
      <w:bookmarkStart w:id="859" w:name="_Toc366409987"/>
      <w:bookmarkStart w:id="860" w:name="_Toc372088057"/>
      <w:bookmarkStart w:id="861" w:name="_Toc378069118"/>
      <w:r w:rsidRPr="004E6412">
        <w:lastRenderedPageBreak/>
        <w:t>C28 Pro</w:t>
      </w:r>
      <w:r w:rsidR="00114C8A" w:rsidRPr="004E6412">
        <w:t>izvodnja strojeva i uređaja, d.</w:t>
      </w:r>
      <w:r w:rsidRPr="004E6412">
        <w:t>n.</w:t>
      </w:r>
      <w:bookmarkEnd w:id="855"/>
      <w:bookmarkEnd w:id="856"/>
      <w:bookmarkEnd w:id="857"/>
      <w:bookmarkEnd w:id="858"/>
      <w:bookmarkEnd w:id="859"/>
      <w:bookmarkEnd w:id="860"/>
      <w:bookmarkEnd w:id="861"/>
    </w:p>
    <w:p w:rsidR="001B41B0" w:rsidRPr="004E6412" w:rsidRDefault="001B41B0" w:rsidP="001B41B0">
      <w:pPr>
        <w:rPr>
          <w:sz w:val="22"/>
          <w:lang w:eastAsia="hr-HR"/>
        </w:rPr>
      </w:pPr>
    </w:p>
    <w:p w:rsidR="001B41B0" w:rsidRPr="004E6412" w:rsidRDefault="00311706" w:rsidP="001B41B0">
      <w:pPr>
        <w:rPr>
          <w:bCs/>
          <w:sz w:val="22"/>
        </w:rPr>
      </w:pPr>
      <w:r w:rsidRPr="004E6412">
        <w:rPr>
          <w:sz w:val="22"/>
        </w:rPr>
        <w:t>Djelatnost Proizvodnje</w:t>
      </w:r>
      <w:r w:rsidR="001B41B0" w:rsidRPr="004E6412">
        <w:rPr>
          <w:sz w:val="22"/>
        </w:rPr>
        <w:t xml:space="preserve"> strojeva i uređaja, d.n. (C28) obuhvaća sljedeće poddjelatnosti: P</w:t>
      </w:r>
      <w:r w:rsidR="001B41B0" w:rsidRPr="004E6412">
        <w:rPr>
          <w:bCs/>
          <w:sz w:val="22"/>
        </w:rPr>
        <w:t>roizvodnja strojeva za opće namjene (C28.1), Proizvodnja ostalih strojeva za opće namjene (C28.2), Proizvodnja strojeva za poljoprivredu i šumarstvo (C28.3), Proizvodnja strojeva za obradu metala i alatnih strojeva (C28.4) i  Proizvodnja ostalih strojeva za posebne namjene (C28.9).</w:t>
      </w:r>
    </w:p>
    <w:p w:rsidR="001B41B0" w:rsidRPr="004E6412" w:rsidRDefault="001B41B0" w:rsidP="001B41B0">
      <w:pPr>
        <w:rPr>
          <w:lang w:eastAsia="hr-HR"/>
        </w:rPr>
      </w:pPr>
    </w:p>
    <w:p w:rsidR="001B41B0" w:rsidRPr="004E6412" w:rsidRDefault="001B41B0" w:rsidP="00D001B9">
      <w:pPr>
        <w:pStyle w:val="Heading3"/>
        <w:rPr>
          <w:lang w:eastAsia="hr-HR"/>
        </w:rPr>
      </w:pPr>
      <w:bookmarkStart w:id="862" w:name="_Toc365992563"/>
      <w:bookmarkStart w:id="863" w:name="_Toc366154321"/>
      <w:bookmarkStart w:id="864" w:name="_Toc366154441"/>
      <w:bookmarkStart w:id="865" w:name="_Toc366409988"/>
      <w:bookmarkStart w:id="866" w:name="_Toc372088058"/>
      <w:bookmarkStart w:id="867" w:name="_Toc378069119"/>
      <w:r w:rsidRPr="004E6412">
        <w:rPr>
          <w:lang w:eastAsia="hr-HR"/>
        </w:rPr>
        <w:t>Globalni trendovi razvoja</w:t>
      </w:r>
      <w:bookmarkEnd w:id="862"/>
      <w:bookmarkEnd w:id="863"/>
      <w:bookmarkEnd w:id="864"/>
      <w:bookmarkEnd w:id="865"/>
      <w:bookmarkEnd w:id="866"/>
      <w:bookmarkEnd w:id="867"/>
    </w:p>
    <w:p w:rsidR="001B41B0" w:rsidRPr="004E6412" w:rsidRDefault="001B41B0" w:rsidP="001B41B0">
      <w:pPr>
        <w:pStyle w:val="ListParagraph"/>
        <w:numPr>
          <w:ilvl w:val="0"/>
          <w:numId w:val="49"/>
        </w:numPr>
        <w:spacing w:after="0"/>
        <w:jc w:val="both"/>
        <w:rPr>
          <w:rFonts w:ascii="Times New Roman" w:hAnsi="Times New Roman"/>
          <w:lang w:eastAsia="hr-HR"/>
        </w:rPr>
      </w:pPr>
      <w:r w:rsidRPr="004E6412">
        <w:rPr>
          <w:rFonts w:ascii="Times New Roman" w:hAnsi="Times New Roman"/>
        </w:rPr>
        <w:t xml:space="preserve">Potreba za strojevima i opremom ovisi o ukupnoj industrijskoj aktivnosti kao i o stanju poljoprivrede, graditeljstva, proizvodnje, istraživanja i eksploatacije nafte i plina, te o proizvodnji električne energije. Profitabilnost pojedine tvrtke ovisi </w:t>
      </w:r>
      <w:r w:rsidR="00114C8A" w:rsidRPr="004E6412">
        <w:rPr>
          <w:rFonts w:ascii="Times New Roman" w:hAnsi="Times New Roman"/>
        </w:rPr>
        <w:t>o stupnju inženjerske stručnosti te o učinkovitosti</w:t>
      </w:r>
      <w:r w:rsidRPr="004E6412">
        <w:rPr>
          <w:rFonts w:ascii="Times New Roman" w:hAnsi="Times New Roman"/>
        </w:rPr>
        <w:t xml:space="preserve"> proizvodnje. Velike tvrtke postižu ekonomije obujma proporcionalne zahtjevima tržišta dok se manje mogu nametnuti isključivo specijalizacijom.</w:t>
      </w:r>
    </w:p>
    <w:p w:rsidR="001B41B0" w:rsidRPr="004E6412" w:rsidRDefault="001B41B0" w:rsidP="001B41B0">
      <w:pPr>
        <w:rPr>
          <w:sz w:val="22"/>
        </w:rPr>
      </w:pPr>
    </w:p>
    <w:p w:rsidR="001B41B0" w:rsidRPr="004E6412" w:rsidRDefault="00114C8A" w:rsidP="001B41B0">
      <w:pPr>
        <w:pStyle w:val="ListParagraph"/>
        <w:numPr>
          <w:ilvl w:val="0"/>
          <w:numId w:val="49"/>
        </w:numPr>
        <w:spacing w:after="0"/>
        <w:jc w:val="both"/>
        <w:rPr>
          <w:rFonts w:ascii="Times New Roman" w:hAnsi="Times New Roman"/>
        </w:rPr>
      </w:pPr>
      <w:r w:rsidRPr="004E6412">
        <w:rPr>
          <w:rFonts w:ascii="Times New Roman" w:hAnsi="Times New Roman"/>
        </w:rPr>
        <w:t>U SAD-u</w:t>
      </w:r>
      <w:r w:rsidR="001B41B0" w:rsidRPr="004E6412">
        <w:rPr>
          <w:rFonts w:ascii="Times New Roman" w:hAnsi="Times New Roman"/>
        </w:rPr>
        <w:t xml:space="preserve"> sektor proizvodnje strojeva najveći </w:t>
      </w:r>
      <w:r w:rsidRPr="004E6412">
        <w:rPr>
          <w:rFonts w:ascii="Times New Roman" w:hAnsi="Times New Roman"/>
        </w:rPr>
        <w:t xml:space="preserve">je </w:t>
      </w:r>
      <w:r w:rsidR="001B41B0" w:rsidRPr="004E6412">
        <w:rPr>
          <w:rFonts w:ascii="Times New Roman" w:hAnsi="Times New Roman"/>
        </w:rPr>
        <w:t>i najkonkurentniji sektor prerađivačke industrije. SAD je najveće tržište za strojeve i treći najveći svjetski dobavljač kapitalne opreme, s vrijednošću izvoza preko 160 milijardi dolara u 2011. Američki proizvođači drže oko 60% udjela u domaćem</w:t>
      </w:r>
      <w:r w:rsidRPr="004E6412">
        <w:rPr>
          <w:rFonts w:ascii="Times New Roman" w:hAnsi="Times New Roman"/>
        </w:rPr>
        <w:t xml:space="preserve"> tržištu, </w:t>
      </w:r>
      <w:r w:rsidR="001B41B0" w:rsidRPr="004E6412">
        <w:rPr>
          <w:rFonts w:ascii="Times New Roman" w:hAnsi="Times New Roman"/>
        </w:rPr>
        <w:t>najvećem tržištu na svijetu. Usmjerenost američkih proizvođ</w:t>
      </w:r>
      <w:r w:rsidRPr="004E6412">
        <w:rPr>
          <w:rFonts w:ascii="Times New Roman" w:hAnsi="Times New Roman"/>
        </w:rPr>
        <w:t>ača na tehnološke inovacije bila je ključna za njihovo stalno mjesto na vrhu visoko konkurentnog globalnog tržišta</w:t>
      </w:r>
      <w:r w:rsidR="001B41B0" w:rsidRPr="004E6412">
        <w:rPr>
          <w:rFonts w:ascii="Times New Roman" w:hAnsi="Times New Roman"/>
        </w:rPr>
        <w:t xml:space="preserve">. Primjena informacijske tehnologije na strojeve, kako bi se postigla </w:t>
      </w:r>
      <w:r w:rsidRPr="004E6412">
        <w:rPr>
          <w:rFonts w:ascii="Times New Roman" w:hAnsi="Times New Roman"/>
        </w:rPr>
        <w:t>veća produktivnost, učinkovitost</w:t>
      </w:r>
      <w:r w:rsidR="001B41B0" w:rsidRPr="004E6412">
        <w:rPr>
          <w:rFonts w:ascii="Times New Roman" w:hAnsi="Times New Roman"/>
        </w:rPr>
        <w:t xml:space="preserve"> i održivost, je presudna. Nadalje, brojna američka sveučilišta bave se naprednim istraživanjima u području povezanih inženjerskih i drugih znanstvenih disciplina koje pridonose konkurentnoj industriji proizvodnje strojeva u SAD-u.</w:t>
      </w:r>
    </w:p>
    <w:p w:rsidR="001B41B0" w:rsidRPr="004E6412" w:rsidRDefault="001B41B0" w:rsidP="001B41B0">
      <w:pPr>
        <w:rPr>
          <w:sz w:val="22"/>
        </w:rPr>
      </w:pPr>
    </w:p>
    <w:p w:rsidR="001B41B0" w:rsidRPr="004E6412" w:rsidRDefault="001B41B0" w:rsidP="001B41B0">
      <w:pPr>
        <w:pStyle w:val="ListParagraph"/>
        <w:numPr>
          <w:ilvl w:val="0"/>
          <w:numId w:val="49"/>
        </w:numPr>
        <w:spacing w:after="0"/>
        <w:jc w:val="both"/>
        <w:rPr>
          <w:rFonts w:ascii="Times New Roman" w:hAnsi="Times New Roman"/>
        </w:rPr>
      </w:pPr>
      <w:r w:rsidRPr="004E6412">
        <w:rPr>
          <w:rFonts w:ascii="Times New Roman" w:hAnsi="Times New Roman"/>
        </w:rPr>
        <w:t>Očekuje se da će globalno tržište potražnje za građevinskim strojevima i opremom do 2015. rasti po godišnjoj stopi od 6,5%. Predviđanja su kako će prodaja opreme EU</w:t>
      </w:r>
      <w:r w:rsidR="00061545" w:rsidRPr="004E6412">
        <w:rPr>
          <w:rFonts w:ascii="Times New Roman" w:hAnsi="Times New Roman"/>
        </w:rPr>
        <w:t>-a</w:t>
      </w:r>
      <w:r w:rsidRPr="004E6412">
        <w:rPr>
          <w:rFonts w:ascii="Times New Roman" w:hAnsi="Times New Roman"/>
        </w:rPr>
        <w:t xml:space="preserve"> i SAD-a rasti nakon neprofitabilnog razdoblja 2008.</w:t>
      </w:r>
      <w:r w:rsidR="00061545" w:rsidRPr="004E6412">
        <w:rPr>
          <w:rFonts w:ascii="Times New Roman" w:hAnsi="Times New Roman"/>
        </w:rPr>
        <w:t xml:space="preserve"> – </w:t>
      </w:r>
      <w:r w:rsidRPr="004E6412">
        <w:rPr>
          <w:rFonts w:ascii="Times New Roman" w:hAnsi="Times New Roman"/>
        </w:rPr>
        <w:t>2010. Također se očekuje kako će se rast na drugim tržištima kao što su Azija-Pacifik i Afrika-Bliski Istok usporiti tijekom 2015., sukladno građevinskoj i rudarskoj aktivnosti. Proizvodnja građevinske opreme i strojeva bila je pogođena sporim ekonomskim rastom i globalnom financijskom krizom koja je najviše pogodila građevinski sektor</w:t>
      </w:r>
      <w:r w:rsidR="00061545" w:rsidRPr="004E6412">
        <w:rPr>
          <w:rFonts w:ascii="Times New Roman" w:hAnsi="Times New Roman"/>
        </w:rPr>
        <w:t>, a</w:t>
      </w:r>
      <w:r w:rsidRPr="004E6412">
        <w:rPr>
          <w:rFonts w:ascii="Times New Roman" w:hAnsi="Times New Roman"/>
        </w:rPr>
        <w:t xml:space="preserve"> s kojim je proizvodnja strojeva i opreme zapravo najviše i povezana.</w:t>
      </w:r>
    </w:p>
    <w:p w:rsidR="001B41B0" w:rsidRPr="004E6412" w:rsidRDefault="001B41B0" w:rsidP="001B41B0"/>
    <w:p w:rsidR="001B41B0" w:rsidRPr="004E6412" w:rsidRDefault="001B41B0" w:rsidP="00D001B9">
      <w:pPr>
        <w:pStyle w:val="Heading3"/>
        <w:rPr>
          <w:rFonts w:eastAsia="Calibri"/>
        </w:rPr>
      </w:pPr>
      <w:bookmarkStart w:id="868" w:name="_Toc365992564"/>
      <w:bookmarkStart w:id="869" w:name="_Toc366154322"/>
      <w:bookmarkStart w:id="870" w:name="_Toc366154442"/>
      <w:bookmarkStart w:id="871" w:name="_Toc366409989"/>
      <w:bookmarkStart w:id="872" w:name="_Toc372088059"/>
      <w:bookmarkStart w:id="873" w:name="_Toc378069120"/>
      <w:r w:rsidRPr="004E6412">
        <w:rPr>
          <w:rFonts w:eastAsia="Calibri"/>
        </w:rPr>
        <w:t>Trendovi razvoja u Europskoj uniji</w:t>
      </w:r>
      <w:bookmarkEnd w:id="868"/>
      <w:bookmarkEnd w:id="869"/>
      <w:bookmarkEnd w:id="870"/>
      <w:bookmarkEnd w:id="871"/>
      <w:bookmarkEnd w:id="872"/>
      <w:bookmarkEnd w:id="873"/>
    </w:p>
    <w:p w:rsidR="001B41B0" w:rsidRPr="004E6412" w:rsidRDefault="00061545" w:rsidP="001B41B0">
      <w:pPr>
        <w:pStyle w:val="ListParagraph"/>
        <w:numPr>
          <w:ilvl w:val="0"/>
          <w:numId w:val="50"/>
        </w:numPr>
        <w:spacing w:after="0"/>
        <w:jc w:val="both"/>
        <w:rPr>
          <w:rFonts w:ascii="Times New Roman" w:hAnsi="Times New Roman"/>
        </w:rPr>
      </w:pPr>
      <w:r w:rsidRPr="004E6412">
        <w:rPr>
          <w:rFonts w:ascii="Times New Roman" w:hAnsi="Times New Roman"/>
        </w:rPr>
        <w:t>Prema broju zaposlenih djelatnost C28 u EU27</w:t>
      </w:r>
      <w:r w:rsidR="001B41B0" w:rsidRPr="004E6412">
        <w:rPr>
          <w:rFonts w:ascii="Times New Roman" w:hAnsi="Times New Roman"/>
        </w:rPr>
        <w:t xml:space="preserve"> nalazi se na trećem mjestu, iza proizvodnje prehrambenih proizvoda i proizvodnje proizvoda od metala. U 2010. produktiv</w:t>
      </w:r>
      <w:r w:rsidRPr="004E6412">
        <w:rPr>
          <w:rFonts w:ascii="Times New Roman" w:hAnsi="Times New Roman"/>
        </w:rPr>
        <w:t>nost rada iznosila je 60.900 eura</w:t>
      </w:r>
      <w:r w:rsidR="001B41B0" w:rsidRPr="004E6412">
        <w:rPr>
          <w:rFonts w:ascii="Times New Roman" w:hAnsi="Times New Roman"/>
        </w:rPr>
        <w:t xml:space="preserve"> po zaposleniku, što je bilo iznad prosjeka prerađivačke industrije. Troškovi radne snage po za</w:t>
      </w:r>
      <w:r w:rsidRPr="004E6412">
        <w:rPr>
          <w:rFonts w:ascii="Times New Roman" w:hAnsi="Times New Roman"/>
        </w:rPr>
        <w:t>posleniku iznosili su 43.900 eura</w:t>
      </w:r>
      <w:r w:rsidR="001B41B0" w:rsidRPr="004E6412">
        <w:rPr>
          <w:rFonts w:ascii="Times New Roman" w:hAnsi="Times New Roman"/>
        </w:rPr>
        <w:t xml:space="preserve"> što je također bilo iznad prosjeka prerađivačke industrije.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rPr>
        <w:t>Najveći udio u prihodima djelatnosti C28 ima poddjelatnost C28.1 P</w:t>
      </w:r>
      <w:r w:rsidRPr="004E6412">
        <w:rPr>
          <w:rFonts w:ascii="Times New Roman" w:hAnsi="Times New Roman"/>
          <w:bCs/>
        </w:rPr>
        <w:t xml:space="preserve">roizvodnja </w:t>
      </w:r>
      <w:r w:rsidRPr="004E6412">
        <w:rPr>
          <w:rFonts w:ascii="Times New Roman" w:hAnsi="Times New Roman"/>
        </w:rPr>
        <w:t xml:space="preserve">strojeva za opće namjene. </w:t>
      </w:r>
      <w:r w:rsidRPr="004E6412">
        <w:rPr>
          <w:rFonts w:ascii="Times New Roman" w:hAnsi="Times New Roman"/>
          <w:bCs/>
        </w:rPr>
        <w:t xml:space="preserve">Strojevi opće namjene obično se koriste u širokom spektru drugih aktivnosti – razlikuju se </w:t>
      </w:r>
      <w:r w:rsidR="00061545" w:rsidRPr="004E6412">
        <w:rPr>
          <w:rFonts w:ascii="Times New Roman" w:hAnsi="Times New Roman"/>
          <w:bCs/>
        </w:rPr>
        <w:t>strojevi povezani s energetikom</w:t>
      </w:r>
      <w:r w:rsidRPr="004E6412">
        <w:rPr>
          <w:rFonts w:ascii="Times New Roman" w:hAnsi="Times New Roman"/>
          <w:bCs/>
        </w:rPr>
        <w:t xml:space="preserve"> s jedn</w:t>
      </w:r>
      <w:r w:rsidR="00061545" w:rsidRPr="004E6412">
        <w:rPr>
          <w:rFonts w:ascii="Times New Roman" w:hAnsi="Times New Roman"/>
          <w:bCs/>
        </w:rPr>
        <w:t>e strane, i oprema opće namjene s druge strane. Na t</w:t>
      </w:r>
      <w:r w:rsidRPr="004E6412">
        <w:rPr>
          <w:rFonts w:ascii="Times New Roman" w:hAnsi="Times New Roman"/>
          <w:bCs/>
        </w:rPr>
        <w:t xml:space="preserve">e dvije poddjelatnosti u 2010. otpadale </w:t>
      </w:r>
      <w:r w:rsidR="00A47789" w:rsidRPr="004E6412">
        <w:rPr>
          <w:rFonts w:ascii="Times New Roman" w:hAnsi="Times New Roman"/>
          <w:bCs/>
        </w:rPr>
        <w:t>su 3/5 dodane vrijednosti cjelokupne</w:t>
      </w:r>
      <w:r w:rsidRPr="004E6412">
        <w:rPr>
          <w:rFonts w:ascii="Times New Roman" w:hAnsi="Times New Roman"/>
          <w:bCs/>
        </w:rPr>
        <w:t xml:space="preserve"> djelatnosti pro</w:t>
      </w:r>
      <w:r w:rsidR="00A47789" w:rsidRPr="004E6412">
        <w:rPr>
          <w:rFonts w:ascii="Times New Roman" w:hAnsi="Times New Roman"/>
          <w:bCs/>
        </w:rPr>
        <w:t>izvodnje strojeva i opreme te</w:t>
      </w:r>
      <w:r w:rsidRPr="004E6412">
        <w:rPr>
          <w:rFonts w:ascii="Times New Roman" w:hAnsi="Times New Roman"/>
          <w:bCs/>
        </w:rPr>
        <w:t xml:space="preserve"> 60,8% ukupne radne snage.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bCs/>
        </w:rPr>
        <w:lastRenderedPageBreak/>
        <w:t xml:space="preserve">Zemlja s najvećom razinom dodane vrijednosti u analiziranoj djelatnosti EU27 </w:t>
      </w:r>
      <w:r w:rsidR="00A47789" w:rsidRPr="004E6412">
        <w:rPr>
          <w:rFonts w:ascii="Times New Roman" w:hAnsi="Times New Roman"/>
          <w:bCs/>
        </w:rPr>
        <w:t xml:space="preserve">u </w:t>
      </w:r>
      <w:r w:rsidRPr="004E6412">
        <w:rPr>
          <w:rFonts w:ascii="Times New Roman" w:hAnsi="Times New Roman"/>
          <w:bCs/>
        </w:rPr>
        <w:t xml:space="preserve">2010. </w:t>
      </w:r>
      <w:r w:rsidR="00A47789" w:rsidRPr="004E6412">
        <w:rPr>
          <w:rFonts w:ascii="Times New Roman" w:hAnsi="Times New Roman"/>
          <w:bCs/>
        </w:rPr>
        <w:t xml:space="preserve">godini </w:t>
      </w:r>
      <w:r w:rsidRPr="004E6412">
        <w:rPr>
          <w:rFonts w:ascii="Times New Roman" w:hAnsi="Times New Roman"/>
          <w:bCs/>
        </w:rPr>
        <w:t xml:space="preserve">bila je Njemačka. Njemačka je imala najveći udio </w:t>
      </w:r>
      <w:r w:rsidR="00A47789" w:rsidRPr="004E6412">
        <w:rPr>
          <w:rFonts w:ascii="Times New Roman" w:hAnsi="Times New Roman"/>
          <w:bCs/>
        </w:rPr>
        <w:t>dodane vrijednosti u svakoj od pet</w:t>
      </w:r>
      <w:r w:rsidRPr="004E6412">
        <w:rPr>
          <w:rFonts w:ascii="Times New Roman" w:hAnsi="Times New Roman"/>
          <w:bCs/>
        </w:rPr>
        <w:t xml:space="preserve"> poddjelatnosti proizvodnje strojeva i opreme. Iako je Njemačka imala daleko najveći sekto</w:t>
      </w:r>
      <w:r w:rsidR="00A47789" w:rsidRPr="004E6412">
        <w:rPr>
          <w:rFonts w:ascii="Times New Roman" w:hAnsi="Times New Roman"/>
          <w:bCs/>
        </w:rPr>
        <w:t>r proizvodnje strojeva i opreme</w:t>
      </w:r>
      <w:r w:rsidRPr="004E6412">
        <w:rPr>
          <w:rFonts w:ascii="Times New Roman" w:hAnsi="Times New Roman"/>
          <w:bCs/>
        </w:rPr>
        <w:t xml:space="preserve"> te je bila najspecijaliziranija zemlja članica EU</w:t>
      </w:r>
      <w:r w:rsidR="00A47789" w:rsidRPr="004E6412">
        <w:rPr>
          <w:rFonts w:ascii="Times New Roman" w:hAnsi="Times New Roman"/>
          <w:bCs/>
        </w:rPr>
        <w:t>-a</w:t>
      </w:r>
      <w:r w:rsidRPr="004E6412">
        <w:rPr>
          <w:rFonts w:ascii="Times New Roman" w:hAnsi="Times New Roman"/>
          <w:bCs/>
        </w:rPr>
        <w:t>, imala je najniži pokazatelj produktivnosti rada prilagođen troškovima rada od svih zemalja EU27.</w:t>
      </w:r>
    </w:p>
    <w:p w:rsidR="001B41B0" w:rsidRPr="004E6412" w:rsidRDefault="001B41B0" w:rsidP="001B41B0"/>
    <w:p w:rsidR="001B41B0" w:rsidRPr="004E6412" w:rsidRDefault="001B41B0" w:rsidP="00D001B9">
      <w:pPr>
        <w:pStyle w:val="Heading3"/>
      </w:pPr>
      <w:bookmarkStart w:id="874" w:name="_Toc365992565"/>
      <w:bookmarkStart w:id="875" w:name="_Toc366154323"/>
      <w:bookmarkStart w:id="876" w:name="_Toc366154443"/>
      <w:bookmarkStart w:id="877" w:name="_Toc366409990"/>
      <w:bookmarkStart w:id="878" w:name="_Toc372088060"/>
      <w:bookmarkStart w:id="879" w:name="_Toc378069121"/>
      <w:r w:rsidRPr="004E6412">
        <w:t>Stanje i perspektive razvoja u Republici Hrvatskoj</w:t>
      </w:r>
      <w:bookmarkEnd w:id="874"/>
      <w:bookmarkEnd w:id="875"/>
      <w:bookmarkEnd w:id="876"/>
      <w:bookmarkEnd w:id="877"/>
      <w:bookmarkEnd w:id="878"/>
      <w:bookmarkEnd w:id="879"/>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bCs/>
        </w:rPr>
        <w:t>Proizvodnja strojeva i uređaja, d. n. u Hrvatskoj je 2011. u odnosu na 2010. porasla za 30,3%, a 2012. u odnosu na 2010. pala za 7,9%. Uspoređujući 2012. s 2011.</w:t>
      </w:r>
      <w:r w:rsidR="00A47789" w:rsidRPr="004E6412">
        <w:rPr>
          <w:rFonts w:ascii="Times New Roman" w:hAnsi="Times New Roman"/>
          <w:bCs/>
        </w:rPr>
        <w:t xml:space="preserve"> godinom</w:t>
      </w:r>
      <w:r w:rsidRPr="004E6412">
        <w:rPr>
          <w:rFonts w:ascii="Times New Roman" w:hAnsi="Times New Roman"/>
          <w:bCs/>
        </w:rPr>
        <w:t xml:space="preserve">, u 2012. </w:t>
      </w:r>
      <w:r w:rsidR="00A47789" w:rsidRPr="004E6412">
        <w:rPr>
          <w:rFonts w:ascii="Times New Roman" w:hAnsi="Times New Roman"/>
          <w:bCs/>
        </w:rPr>
        <w:t>je ostvaren</w:t>
      </w:r>
      <w:r w:rsidRPr="004E6412">
        <w:rPr>
          <w:rFonts w:ascii="Times New Roman" w:hAnsi="Times New Roman"/>
          <w:bCs/>
        </w:rPr>
        <w:t xml:space="preserve"> pad proizvodnje od 29,4%. </w:t>
      </w:r>
      <w:r w:rsidR="00A47789" w:rsidRPr="004E6412">
        <w:rPr>
          <w:rFonts w:ascii="Times New Roman" w:hAnsi="Times New Roman"/>
          <w:bCs/>
        </w:rPr>
        <w:t>U p</w:t>
      </w:r>
      <w:r w:rsidRPr="004E6412">
        <w:rPr>
          <w:rFonts w:ascii="Times New Roman" w:hAnsi="Times New Roman"/>
          <w:bCs/>
        </w:rPr>
        <w:t>rva četiri mjeseca 2013. ostvaren je rast od 13,7% u odno</w:t>
      </w:r>
      <w:r w:rsidR="00A47789" w:rsidRPr="004E6412">
        <w:rPr>
          <w:rFonts w:ascii="Times New Roman" w:hAnsi="Times New Roman"/>
          <w:bCs/>
        </w:rPr>
        <w:t xml:space="preserve">su na prva četiri mjeseca 2012. Proizvođačke cijene </w:t>
      </w:r>
      <w:r w:rsidRPr="004E6412">
        <w:rPr>
          <w:rFonts w:ascii="Times New Roman" w:hAnsi="Times New Roman"/>
          <w:bCs/>
        </w:rPr>
        <w:t xml:space="preserve">porasle </w:t>
      </w:r>
      <w:r w:rsidR="00A47789" w:rsidRPr="004E6412">
        <w:rPr>
          <w:rFonts w:ascii="Times New Roman" w:hAnsi="Times New Roman"/>
          <w:bCs/>
        </w:rPr>
        <w:t xml:space="preserve">su </w:t>
      </w:r>
      <w:r w:rsidRPr="004E6412">
        <w:rPr>
          <w:rFonts w:ascii="Times New Roman" w:hAnsi="Times New Roman"/>
          <w:bCs/>
        </w:rPr>
        <w:t>za 1,9% 2012. u odnosu na 2010., a u travnju 2013. za 4,4% u odnosu na 2010.</w:t>
      </w:r>
    </w:p>
    <w:p w:rsidR="001B41B0" w:rsidRPr="004E6412" w:rsidRDefault="001B41B0" w:rsidP="001B41B0">
      <w:pPr>
        <w:rPr>
          <w:sz w:val="22"/>
          <w:lang w:eastAsia="hr-HR"/>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Ukupna djelatnost u promatranom</w:t>
      </w:r>
      <w:r w:rsidR="00A47789" w:rsidRPr="004E6412">
        <w:rPr>
          <w:rFonts w:ascii="Times New Roman" w:hAnsi="Times New Roman"/>
        </w:rPr>
        <w:t>e</w:t>
      </w:r>
      <w:r w:rsidRPr="004E6412">
        <w:rPr>
          <w:rFonts w:ascii="Times New Roman" w:hAnsi="Times New Roman"/>
        </w:rPr>
        <w:t xml:space="preserve"> razdoblju bilježi pad broja poduzeća s 599 u 2011. na 589 poduzeća u 2012. U razdoblju 2010.</w:t>
      </w:r>
      <w:r w:rsidR="00A47789" w:rsidRPr="004E6412">
        <w:rPr>
          <w:rFonts w:ascii="Times New Roman" w:hAnsi="Times New Roman"/>
        </w:rPr>
        <w:t xml:space="preserve"> – </w:t>
      </w:r>
      <w:r w:rsidRPr="004E6412">
        <w:rPr>
          <w:rFonts w:ascii="Times New Roman" w:hAnsi="Times New Roman"/>
        </w:rPr>
        <w:t>2012</w:t>
      </w:r>
      <w:r w:rsidR="00A47789" w:rsidRPr="004E6412">
        <w:rPr>
          <w:rFonts w:ascii="Times New Roman" w:hAnsi="Times New Roman"/>
        </w:rPr>
        <w:t xml:space="preserve">. ova djelatnost </w:t>
      </w:r>
      <w:r w:rsidRPr="004E6412">
        <w:rPr>
          <w:rFonts w:ascii="Times New Roman" w:hAnsi="Times New Roman"/>
        </w:rPr>
        <w:t xml:space="preserve">zapošljavala </w:t>
      </w:r>
      <w:r w:rsidR="00A47789" w:rsidRPr="004E6412">
        <w:rPr>
          <w:rFonts w:ascii="Times New Roman" w:hAnsi="Times New Roman"/>
        </w:rPr>
        <w:t xml:space="preserve">je </w:t>
      </w:r>
      <w:r w:rsidRPr="004E6412">
        <w:rPr>
          <w:rFonts w:ascii="Times New Roman" w:hAnsi="Times New Roman"/>
        </w:rPr>
        <w:t>redom 10.168, 10.50</w:t>
      </w:r>
      <w:r w:rsidR="00A47789" w:rsidRPr="004E6412">
        <w:rPr>
          <w:rFonts w:ascii="Times New Roman" w:hAnsi="Times New Roman"/>
        </w:rPr>
        <w:t xml:space="preserve">2 odnosno 10.699 osoba, </w:t>
      </w:r>
      <w:r w:rsidRPr="004E6412">
        <w:rPr>
          <w:rFonts w:ascii="Times New Roman" w:hAnsi="Times New Roman"/>
        </w:rPr>
        <w:t xml:space="preserve">prema satima rada. Najviše zaposlenika radi u poduzećima iz poddjelatnosti C28.1. Proizvodnja strojeva za opće namjene (36,70%), zatim u C28.2. Proizvodnja ostalih strojeva za opće namjene(25,74).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Prema kriteriju ponderiranog vlasništva kapitala (ponder je ukupni prihod), vidljivo je kako je najveći dio, 52,49%</w:t>
      </w:r>
      <w:r w:rsidR="00A47789" w:rsidRPr="004E6412">
        <w:rPr>
          <w:rFonts w:ascii="Times New Roman" w:hAnsi="Times New Roman"/>
        </w:rPr>
        <w:t>,</w:t>
      </w:r>
      <w:r w:rsidRPr="004E6412">
        <w:rPr>
          <w:rFonts w:ascii="Times New Roman" w:hAnsi="Times New Roman"/>
        </w:rPr>
        <w:t xml:space="preserve"> kapitala promatranih poduzeća iz ove djelatnosti domaćeg</w:t>
      </w:r>
      <w:r w:rsidR="00A47789" w:rsidRPr="004E6412">
        <w:rPr>
          <w:rFonts w:ascii="Times New Roman" w:hAnsi="Times New Roman"/>
        </w:rPr>
        <w:t xml:space="preserve">a porijekla.  </w:t>
      </w:r>
      <w:r w:rsidRPr="004E6412">
        <w:rPr>
          <w:rFonts w:ascii="Times New Roman" w:hAnsi="Times New Roman"/>
        </w:rPr>
        <w:t>Od 589 pod</w:t>
      </w:r>
      <w:r w:rsidR="00A47789" w:rsidRPr="004E6412">
        <w:rPr>
          <w:rFonts w:ascii="Times New Roman" w:hAnsi="Times New Roman"/>
        </w:rPr>
        <w:t>uzeća njih 62 (10,52%) stvara</w:t>
      </w:r>
      <w:r w:rsidRPr="004E6412">
        <w:rPr>
          <w:rFonts w:ascii="Times New Roman" w:hAnsi="Times New Roman"/>
        </w:rPr>
        <w:t xml:space="preserve"> više od 80% prihoda ove djelatnosti što ukazuj</w:t>
      </w:r>
      <w:r w:rsidR="00A47789" w:rsidRPr="004E6412">
        <w:rPr>
          <w:rFonts w:ascii="Times New Roman" w:hAnsi="Times New Roman"/>
        </w:rPr>
        <w:t xml:space="preserve">e na visoku koncentriranost. </w:t>
      </w:r>
      <w:r w:rsidRPr="004E6412">
        <w:rPr>
          <w:rFonts w:ascii="Times New Roman" w:hAnsi="Times New Roman"/>
        </w:rPr>
        <w:t xml:space="preserve">Visoka </w:t>
      </w:r>
      <w:r w:rsidR="00A47789" w:rsidRPr="004E6412">
        <w:rPr>
          <w:rFonts w:ascii="Times New Roman" w:hAnsi="Times New Roman"/>
        </w:rPr>
        <w:t>je koncentriranost zabilježena</w:t>
      </w:r>
      <w:r w:rsidRPr="004E6412">
        <w:rPr>
          <w:rFonts w:ascii="Times New Roman" w:hAnsi="Times New Roman"/>
        </w:rPr>
        <w:t xml:space="preserve"> i po ostalim promatranim kriterijima (aktiva, izvoz, uvoz, broj zaposlenih).</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trogodišnjem razdoblju 2010.</w:t>
      </w:r>
      <w:r w:rsidR="00A47789" w:rsidRPr="004E6412">
        <w:rPr>
          <w:rFonts w:ascii="Times New Roman" w:hAnsi="Times New Roman"/>
        </w:rPr>
        <w:t xml:space="preserve"> – </w:t>
      </w:r>
      <w:r w:rsidRPr="004E6412">
        <w:rPr>
          <w:rFonts w:ascii="Times New Roman" w:hAnsi="Times New Roman"/>
        </w:rPr>
        <w:t>2012. primjetan je trend rasta ukupne aktive (pasive) koji iznosi 13</w:t>
      </w:r>
      <w:r w:rsidR="00A47789" w:rsidRPr="004E6412">
        <w:rPr>
          <w:rFonts w:ascii="Times New Roman" w:hAnsi="Times New Roman"/>
        </w:rPr>
        <w:t>,77%. Radi se o stalnome</w:t>
      </w:r>
      <w:r w:rsidRPr="004E6412">
        <w:rPr>
          <w:rFonts w:ascii="Times New Roman" w:hAnsi="Times New Roman"/>
        </w:rPr>
        <w:t xml:space="preserve"> rastu akti</w:t>
      </w:r>
      <w:r w:rsidR="00A47789" w:rsidRPr="004E6412">
        <w:rPr>
          <w:rFonts w:ascii="Times New Roman" w:hAnsi="Times New Roman"/>
        </w:rPr>
        <w:t>ve, ali i svih njezinih sastavnica. U strukturi aktive</w:t>
      </w:r>
      <w:r w:rsidRPr="004E6412">
        <w:rPr>
          <w:rFonts w:ascii="Times New Roman" w:hAnsi="Times New Roman"/>
        </w:rPr>
        <w:t xml:space="preserve"> nešto je veći udio kratkotrajne imovine, i to kroz sve tri promatrane godine. U strukturi pasive najveći udio zauzimaju kratkoročne obveze (48,65% u 2012.), od čega skoro trećinu čine obveze prema dobavljačima, dok dugoročne obveze čine 22,84% pasive u 2012. u kojima najveći udio drže obveze prema bankama i drugim financijskim institucijama (66,</w:t>
      </w:r>
      <w:r w:rsidR="00A47789" w:rsidRPr="004E6412">
        <w:rPr>
          <w:rFonts w:ascii="Times New Roman" w:hAnsi="Times New Roman"/>
        </w:rPr>
        <w:t>81% u 2012.). Od poddjelatnosti</w:t>
      </w:r>
      <w:r w:rsidRPr="004E6412">
        <w:rPr>
          <w:rFonts w:ascii="Times New Roman" w:hAnsi="Times New Roman"/>
        </w:rPr>
        <w:t xml:space="preserve"> u 2012. </w:t>
      </w:r>
      <w:r w:rsidR="00A47789" w:rsidRPr="004E6412">
        <w:rPr>
          <w:rFonts w:ascii="Times New Roman" w:hAnsi="Times New Roman"/>
        </w:rPr>
        <w:t xml:space="preserve">godini, </w:t>
      </w:r>
      <w:r w:rsidRPr="004E6412">
        <w:rPr>
          <w:rFonts w:ascii="Times New Roman" w:hAnsi="Times New Roman"/>
        </w:rPr>
        <w:t>C28.1. Proizvodnja strojeva za opće namjene</w:t>
      </w:r>
      <w:r w:rsidR="00920E29" w:rsidRPr="004E6412">
        <w:rPr>
          <w:rFonts w:ascii="Times New Roman" w:hAnsi="Times New Roman"/>
        </w:rPr>
        <w:t xml:space="preserve"> (npr. proizvodnja dijelova turbina, pumpi, ventila)</w:t>
      </w:r>
      <w:r w:rsidRPr="004E6412">
        <w:rPr>
          <w:rFonts w:ascii="Times New Roman" w:hAnsi="Times New Roman"/>
        </w:rPr>
        <w:t xml:space="preserve"> ima najveći udio u aktivi djelatnosti (31,46%), nakon koje slijedi C28.2. Proizvodnja ostalih strojeva za opće namjene (26,41%).</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Ukupni prihodi djelatnosti povećani su u promatrane tri godine (2010.</w:t>
      </w:r>
      <w:r w:rsidR="00A47789" w:rsidRPr="004E6412">
        <w:rPr>
          <w:rFonts w:ascii="Times New Roman" w:hAnsi="Times New Roman"/>
        </w:rPr>
        <w:t xml:space="preserve"> – </w:t>
      </w:r>
      <w:r w:rsidRPr="004E6412">
        <w:rPr>
          <w:rFonts w:ascii="Times New Roman" w:hAnsi="Times New Roman"/>
        </w:rPr>
        <w:t>2012.) za visokih 25,96% na 5,76 milijardi</w:t>
      </w:r>
      <w:r w:rsidR="00A47789" w:rsidRPr="004E6412">
        <w:rPr>
          <w:rFonts w:ascii="Times New Roman" w:hAnsi="Times New Roman"/>
        </w:rPr>
        <w:t xml:space="preserve"> kuna. Ukupni rashodi </w:t>
      </w:r>
      <w:r w:rsidRPr="004E6412">
        <w:rPr>
          <w:rFonts w:ascii="Times New Roman" w:hAnsi="Times New Roman"/>
        </w:rPr>
        <w:t xml:space="preserve">također </w:t>
      </w:r>
      <w:r w:rsidR="00A47789" w:rsidRPr="004E6412">
        <w:rPr>
          <w:rFonts w:ascii="Times New Roman" w:hAnsi="Times New Roman"/>
        </w:rPr>
        <w:t xml:space="preserve">su </w:t>
      </w:r>
      <w:r w:rsidRPr="004E6412">
        <w:rPr>
          <w:rFonts w:ascii="Times New Roman" w:hAnsi="Times New Roman"/>
        </w:rPr>
        <w:t>povećani</w:t>
      </w:r>
      <w:r w:rsidR="00A47789" w:rsidRPr="004E6412">
        <w:rPr>
          <w:rFonts w:ascii="Times New Roman" w:hAnsi="Times New Roman"/>
        </w:rPr>
        <w:t xml:space="preserve"> za 23,22% na 5,54 milijarde kuna</w:t>
      </w:r>
      <w:r w:rsidRPr="004E6412">
        <w:rPr>
          <w:rFonts w:ascii="Times New Roman" w:hAnsi="Times New Roman"/>
        </w:rPr>
        <w:t>. Financij</w:t>
      </w:r>
      <w:r w:rsidR="00A47789" w:rsidRPr="004E6412">
        <w:rPr>
          <w:rFonts w:ascii="Times New Roman" w:hAnsi="Times New Roman"/>
        </w:rPr>
        <w:t xml:space="preserve">ski rezultat ove djelatnosti </w:t>
      </w:r>
      <w:r w:rsidRPr="004E6412">
        <w:rPr>
          <w:rFonts w:ascii="Times New Roman" w:hAnsi="Times New Roman"/>
        </w:rPr>
        <w:t xml:space="preserve">u sve </w:t>
      </w:r>
      <w:r w:rsidR="00A47789" w:rsidRPr="004E6412">
        <w:rPr>
          <w:rFonts w:ascii="Times New Roman" w:hAnsi="Times New Roman"/>
        </w:rPr>
        <w:t xml:space="preserve">je </w:t>
      </w:r>
      <w:r w:rsidRPr="004E6412">
        <w:rPr>
          <w:rFonts w:ascii="Times New Roman" w:hAnsi="Times New Roman"/>
        </w:rPr>
        <w:t>tri godine bio pozitivan. Za povećanje prihoda najviše je odgovorno povećanje izvoza i to</w:t>
      </w:r>
      <w:r w:rsidR="00A47789" w:rsidRPr="004E6412">
        <w:rPr>
          <w:rFonts w:ascii="Times New Roman" w:hAnsi="Times New Roman"/>
        </w:rPr>
        <w:t xml:space="preserve"> za 40,08% na 3,02 milijarde kuna</w:t>
      </w:r>
      <w:r w:rsidRPr="004E6412">
        <w:rPr>
          <w:rFonts w:ascii="Times New Roman" w:hAnsi="Times New Roman"/>
        </w:rPr>
        <w:t>. Dakle izvoz je činio više od 3/5 ukupnih</w:t>
      </w:r>
      <w:r w:rsidR="00742812" w:rsidRPr="004E6412">
        <w:rPr>
          <w:rFonts w:ascii="Times New Roman" w:hAnsi="Times New Roman"/>
        </w:rPr>
        <w:t xml:space="preserve"> prihoda. Uvozna sastavnica </w:t>
      </w:r>
      <w:r w:rsidR="00A47789" w:rsidRPr="004E6412">
        <w:rPr>
          <w:rFonts w:ascii="Times New Roman" w:hAnsi="Times New Roman"/>
        </w:rPr>
        <w:t>iznosila je 1,14 milijarde kuna</w:t>
      </w:r>
      <w:r w:rsidRPr="004E6412">
        <w:rPr>
          <w:rFonts w:ascii="Times New Roman" w:hAnsi="Times New Roman"/>
        </w:rPr>
        <w:t xml:space="preserve"> u 2012. i činila je nešto manje od 1/5 ukupnih rashoda. U stvaranju ukupnih prihoda i rashoda u 2012. najviše doprinosi poddjelatnost C28.1. Proizvodnja strojeva za opće namjene (oko 31%), dok u dobiti djelatnosti najveći udio ima C28.9. Proizvodnja ostalih strojeva za posebne namjene (38,18%).</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Profi</w:t>
      </w:r>
      <w:r w:rsidR="00A47789" w:rsidRPr="004E6412">
        <w:rPr>
          <w:rFonts w:ascii="Times New Roman" w:hAnsi="Times New Roman"/>
        </w:rPr>
        <w:t xml:space="preserve">tabilnost ove poddjelatnosti </w:t>
      </w:r>
      <w:r w:rsidRPr="004E6412">
        <w:rPr>
          <w:rFonts w:ascii="Times New Roman" w:hAnsi="Times New Roman"/>
        </w:rPr>
        <w:t xml:space="preserve">bila </w:t>
      </w:r>
      <w:r w:rsidR="00A47789" w:rsidRPr="004E6412">
        <w:rPr>
          <w:rFonts w:ascii="Times New Roman" w:hAnsi="Times New Roman"/>
        </w:rPr>
        <w:t xml:space="preserve">je </w:t>
      </w:r>
      <w:r w:rsidRPr="004E6412">
        <w:rPr>
          <w:rFonts w:ascii="Times New Roman" w:hAnsi="Times New Roman"/>
        </w:rPr>
        <w:t>pozitivna u sve tri promatrane godine (2010.</w:t>
      </w:r>
      <w:r w:rsidR="00A47789" w:rsidRPr="004E6412">
        <w:rPr>
          <w:rFonts w:ascii="Times New Roman" w:hAnsi="Times New Roman"/>
        </w:rPr>
        <w:t xml:space="preserve"> – </w:t>
      </w:r>
      <w:r w:rsidRPr="004E6412">
        <w:rPr>
          <w:rFonts w:ascii="Times New Roman" w:hAnsi="Times New Roman"/>
        </w:rPr>
        <w:t>2012.) po svim pokazateljima, te je znatno</w:t>
      </w:r>
      <w:r w:rsidR="00A47789" w:rsidRPr="004E6412">
        <w:rPr>
          <w:rFonts w:ascii="Times New Roman" w:hAnsi="Times New Roman"/>
        </w:rPr>
        <w:t xml:space="preserve"> povećana. EBIDTA je povećana s 375,27 milijuna kuna</w:t>
      </w:r>
      <w:r w:rsidRPr="004E6412">
        <w:rPr>
          <w:rFonts w:ascii="Times New Roman" w:hAnsi="Times New Roman"/>
        </w:rPr>
        <w:t xml:space="preserve"> </w:t>
      </w:r>
      <w:r w:rsidR="00A47789" w:rsidRPr="004E6412">
        <w:rPr>
          <w:rFonts w:ascii="Times New Roman" w:hAnsi="Times New Roman"/>
        </w:rPr>
        <w:lastRenderedPageBreak/>
        <w:t>(2010.) na 581,95 milijuna kuna</w:t>
      </w:r>
      <w:r w:rsidRPr="004E6412">
        <w:rPr>
          <w:rFonts w:ascii="Times New Roman" w:hAnsi="Times New Roman"/>
        </w:rPr>
        <w:t xml:space="preserve"> (2012.),</w:t>
      </w:r>
      <w:r w:rsidR="00A47789" w:rsidRPr="004E6412">
        <w:rPr>
          <w:rFonts w:ascii="Times New Roman" w:hAnsi="Times New Roman"/>
        </w:rPr>
        <w:t xml:space="preserve"> a stvorena dodana vrijednost s 258,04 milijuna kuna (2010.) na 403,21 milijun kuna (2012.). Prethodno</w:t>
      </w:r>
      <w:r w:rsidRPr="004E6412">
        <w:rPr>
          <w:rFonts w:ascii="Times New Roman" w:hAnsi="Times New Roman"/>
        </w:rPr>
        <w:t xml:space="preserve"> je već spomenuto da je za rast profitabilnosti i poslovni rezultat ove djelatnosti ponajviše odgovoran rast izvoza</w:t>
      </w:r>
      <w:r w:rsidR="00A47789" w:rsidRPr="004E6412">
        <w:rPr>
          <w:rFonts w:ascii="Times New Roman" w:hAnsi="Times New Roman"/>
        </w:rPr>
        <w:t>. Poduzeća iz ove djelatnosti</w:t>
      </w:r>
      <w:r w:rsidRPr="004E6412">
        <w:rPr>
          <w:rFonts w:ascii="Times New Roman" w:hAnsi="Times New Roman"/>
        </w:rPr>
        <w:t xml:space="preserve"> intenzivno </w:t>
      </w:r>
      <w:r w:rsidR="00A47789" w:rsidRPr="004E6412">
        <w:rPr>
          <w:rFonts w:ascii="Times New Roman" w:hAnsi="Times New Roman"/>
        </w:rPr>
        <w:t xml:space="preserve">su </w:t>
      </w:r>
      <w:r w:rsidRPr="004E6412">
        <w:rPr>
          <w:rFonts w:ascii="Times New Roman" w:hAnsi="Times New Roman"/>
        </w:rPr>
        <w:t>okrenuta prema vanjskim tržištima.</w:t>
      </w:r>
    </w:p>
    <w:p w:rsidR="001B41B0" w:rsidRPr="004E6412" w:rsidRDefault="001B41B0" w:rsidP="001B41B0">
      <w:pPr>
        <w:rPr>
          <w:sz w:val="22"/>
        </w:rPr>
      </w:pPr>
    </w:p>
    <w:p w:rsidR="001B41B0" w:rsidRPr="004E6412" w:rsidRDefault="00A47789"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Neto izvoz djelatnosti </w:t>
      </w:r>
      <w:r w:rsidR="001B41B0" w:rsidRPr="004E6412">
        <w:rPr>
          <w:rFonts w:ascii="Times New Roman" w:hAnsi="Times New Roman"/>
        </w:rPr>
        <w:t>povećava</w:t>
      </w:r>
      <w:r w:rsidRPr="004E6412">
        <w:rPr>
          <w:rFonts w:ascii="Times New Roman" w:hAnsi="Times New Roman"/>
        </w:rPr>
        <w:t xml:space="preserve"> se</w:t>
      </w:r>
      <w:r w:rsidR="001B41B0" w:rsidRPr="004E6412">
        <w:rPr>
          <w:rFonts w:ascii="Times New Roman" w:hAnsi="Times New Roman"/>
        </w:rPr>
        <w:t xml:space="preserve"> iz godine u godinu uz znatno veću stopu rasta izvoza od uvoza. Doprinos trgovinskoj bilanci prerađivačke industrije u promatranom</w:t>
      </w:r>
      <w:r w:rsidRPr="004E6412">
        <w:rPr>
          <w:rFonts w:ascii="Times New Roman" w:hAnsi="Times New Roman"/>
        </w:rPr>
        <w:t>e</w:t>
      </w:r>
      <w:r w:rsidR="001B41B0" w:rsidRPr="004E6412">
        <w:rPr>
          <w:rFonts w:ascii="Times New Roman" w:hAnsi="Times New Roman"/>
        </w:rPr>
        <w:t xml:space="preserve"> razdoblju kontinuirano raste te je na razini od visokih 7,33% u 2012. Na razini poddjelatnosti odnos izvoza i uvoza najveći je u C28.3 (vrijednost od 7,79 u 2012., uz primjetan rast u godinama analize) i C28.9 (vrijednost od 5,24 u 2012.)</w:t>
      </w:r>
      <w:r w:rsidRPr="004E6412">
        <w:rPr>
          <w:rFonts w:ascii="Times New Roman" w:hAnsi="Times New Roman"/>
        </w:rPr>
        <w:t>,</w:t>
      </w:r>
      <w:r w:rsidR="001B41B0" w:rsidRPr="004E6412">
        <w:rPr>
          <w:rFonts w:ascii="Times New Roman" w:hAnsi="Times New Roman"/>
        </w:rPr>
        <w:t xml:space="preserve"> a najmanji u poddjelatnosti C28.2 (vrijednost od 1,29 u 2012.). Na razini djelatnosti u promatranom</w:t>
      </w:r>
      <w:r w:rsidRPr="004E6412">
        <w:rPr>
          <w:rFonts w:ascii="Times New Roman" w:hAnsi="Times New Roman"/>
        </w:rPr>
        <w:t>e</w:t>
      </w:r>
      <w:r w:rsidR="001B41B0" w:rsidRPr="004E6412">
        <w:rPr>
          <w:rFonts w:ascii="Times New Roman" w:hAnsi="Times New Roman"/>
        </w:rPr>
        <w:t xml:space="preserve"> je razdoblju došlo do</w:t>
      </w:r>
      <w:r w:rsidRPr="004E6412">
        <w:rPr>
          <w:rFonts w:ascii="Times New Roman" w:hAnsi="Times New Roman"/>
        </w:rPr>
        <w:t xml:space="preserve"> povećanja ukupnih usporednih</w:t>
      </w:r>
      <w:r w:rsidR="001B41B0" w:rsidRPr="004E6412">
        <w:rPr>
          <w:rFonts w:ascii="Times New Roman" w:hAnsi="Times New Roman"/>
        </w:rPr>
        <w:t xml:space="preserve"> prednosti. Sve poddj</w:t>
      </w:r>
      <w:r w:rsidRPr="004E6412">
        <w:rPr>
          <w:rFonts w:ascii="Times New Roman" w:hAnsi="Times New Roman"/>
        </w:rPr>
        <w:t>elatnosti posjeduju usporedne</w:t>
      </w:r>
      <w:r w:rsidR="001B41B0" w:rsidRPr="004E6412">
        <w:rPr>
          <w:rFonts w:ascii="Times New Roman" w:hAnsi="Times New Roman"/>
        </w:rPr>
        <w:t xml:space="preserve"> prednosti, dok se po pokaza</w:t>
      </w:r>
      <w:r w:rsidRPr="004E6412">
        <w:rPr>
          <w:rFonts w:ascii="Times New Roman" w:hAnsi="Times New Roman"/>
        </w:rPr>
        <w:t>telju RCA ovdje kao najmoćnije</w:t>
      </w:r>
      <w:r w:rsidR="001B41B0" w:rsidRPr="004E6412">
        <w:rPr>
          <w:rFonts w:ascii="Times New Roman" w:hAnsi="Times New Roman"/>
        </w:rPr>
        <w:t xml:space="preserve"> ističu poddjelatnosti C28.3 i C28.9.</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Bruto dodana vrijednost djelatnosti u promatranom</w:t>
      </w:r>
      <w:r w:rsidR="00A47789" w:rsidRPr="004E6412">
        <w:rPr>
          <w:rFonts w:ascii="Times New Roman" w:hAnsi="Times New Roman"/>
        </w:rPr>
        <w:t>e</w:t>
      </w:r>
      <w:r w:rsidRPr="004E6412">
        <w:rPr>
          <w:rFonts w:ascii="Times New Roman" w:hAnsi="Times New Roman"/>
        </w:rPr>
        <w:t xml:space="preserve"> razdoblju 2010.</w:t>
      </w:r>
      <w:r w:rsidR="00A47789" w:rsidRPr="004E6412">
        <w:rPr>
          <w:rFonts w:ascii="Times New Roman" w:hAnsi="Times New Roman"/>
        </w:rPr>
        <w:t xml:space="preserve"> – </w:t>
      </w:r>
      <w:r w:rsidRPr="004E6412">
        <w:rPr>
          <w:rFonts w:ascii="Times New Roman" w:hAnsi="Times New Roman"/>
        </w:rPr>
        <w:t>2012. porasla je za 17,04% i n</w:t>
      </w:r>
      <w:r w:rsidR="00A47789" w:rsidRPr="004E6412">
        <w:rPr>
          <w:rFonts w:ascii="Times New Roman" w:hAnsi="Times New Roman"/>
        </w:rPr>
        <w:t>a razini je od 1,7 milijardi kuna</w:t>
      </w:r>
      <w:r w:rsidRPr="004E6412">
        <w:rPr>
          <w:rFonts w:ascii="Times New Roman" w:hAnsi="Times New Roman"/>
        </w:rPr>
        <w:t xml:space="preserve"> u 2012. Najveći doprinos bruto dodanoj vrijednosti djelatnosti ima poddjelatnost C28.1 s udjelom od 34% u 2012. (uz blagi pad u promatranom</w:t>
      </w:r>
      <w:r w:rsidR="00A47789" w:rsidRPr="004E6412">
        <w:rPr>
          <w:rFonts w:ascii="Times New Roman" w:hAnsi="Times New Roman"/>
        </w:rPr>
        <w:t>e</w:t>
      </w:r>
      <w:r w:rsidRPr="004E6412">
        <w:rPr>
          <w:rFonts w:ascii="Times New Roman" w:hAnsi="Times New Roman"/>
        </w:rPr>
        <w:t xml:space="preserve"> razdoblju), dok je najmanju bruto dodanu vrijednost ostvarila poddjelatnost C2</w:t>
      </w:r>
      <w:r w:rsidR="00A47789" w:rsidRPr="004E6412">
        <w:rPr>
          <w:rFonts w:ascii="Times New Roman" w:hAnsi="Times New Roman"/>
        </w:rPr>
        <w:t>8.4 u iznosu od 130 milijuna kuna</w:t>
      </w:r>
      <w:r w:rsidRPr="004E6412">
        <w:rPr>
          <w:rFonts w:ascii="Times New Roman" w:hAnsi="Times New Roman"/>
        </w:rPr>
        <w:t>. Analizom specijalizacije utvrđena je umjerena intraindustrijska razmjena u promatranoj djelatnosti. G-L pokazatelj na razini poddjelatnosti ukazuje na visoku i vrlo visoku intraindustrijsku razmjenu u poddjelatnostima C28.1 i C28.2, dok se u ostalim pripadajućim poddjelatnostima više roba i usluga razmjenjuje u interindustrijskoj razmjeni. Državne potpore i subvencije ne predstavljaju značajan udio u ukupnim prihodima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Proizvodnost rada </w:t>
      </w:r>
      <w:r w:rsidR="001152C0" w:rsidRPr="004E6412">
        <w:rPr>
          <w:rFonts w:ascii="Times New Roman" w:hAnsi="Times New Roman"/>
        </w:rPr>
        <w:t xml:space="preserve">djelatnosti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raste visokom stopom od </w:t>
      </w:r>
      <w:r w:rsidR="001152C0" w:rsidRPr="004E6412">
        <w:rPr>
          <w:rFonts w:ascii="Times New Roman" w:hAnsi="Times New Roman"/>
        </w:rPr>
        <w:t>11,23</w:t>
      </w:r>
      <w:r w:rsidR="00A47789" w:rsidRPr="004E6412">
        <w:rPr>
          <w:rFonts w:ascii="Times New Roman" w:hAnsi="Times New Roman"/>
        </w:rPr>
        <w:t xml:space="preserve">%. Produktivnost kapitala </w:t>
      </w:r>
      <w:r w:rsidRPr="004E6412">
        <w:rPr>
          <w:rFonts w:ascii="Times New Roman" w:hAnsi="Times New Roman"/>
        </w:rPr>
        <w:t>također</w:t>
      </w:r>
      <w:r w:rsidR="00A47789" w:rsidRPr="004E6412">
        <w:rPr>
          <w:rFonts w:ascii="Times New Roman" w:hAnsi="Times New Roman"/>
        </w:rPr>
        <w:t xml:space="preserve"> je</w:t>
      </w:r>
      <w:r w:rsidRPr="004E6412">
        <w:rPr>
          <w:rFonts w:ascii="Times New Roman" w:hAnsi="Times New Roman"/>
        </w:rPr>
        <w:t xml:space="preserve"> povećana (omjer od </w:t>
      </w:r>
      <w:r w:rsidR="001152C0" w:rsidRPr="004E6412">
        <w:rPr>
          <w:rFonts w:ascii="Times New Roman" w:hAnsi="Times New Roman"/>
        </w:rPr>
        <w:t>0,82</w:t>
      </w:r>
      <w:r w:rsidRPr="004E6412">
        <w:rPr>
          <w:rFonts w:ascii="Times New Roman" w:hAnsi="Times New Roman"/>
        </w:rPr>
        <w:t xml:space="preserve"> u 2012.</w:t>
      </w:r>
      <w:r w:rsidR="001152C0" w:rsidRPr="004E6412">
        <w:rPr>
          <w:rFonts w:ascii="Times New Roman" w:hAnsi="Times New Roman"/>
        </w:rPr>
        <w:t xml:space="preserve">, povećanje </w:t>
      </w:r>
      <w:r w:rsidR="00A47789" w:rsidRPr="004E6412">
        <w:rPr>
          <w:rFonts w:ascii="Times New Roman" w:hAnsi="Times New Roman"/>
        </w:rPr>
        <w:t xml:space="preserve">u iznosu od </w:t>
      </w:r>
      <w:r w:rsidR="001152C0" w:rsidRPr="004E6412">
        <w:rPr>
          <w:rFonts w:ascii="Times New Roman" w:hAnsi="Times New Roman"/>
        </w:rPr>
        <w:t>13,04% od 2010. do 2012.</w:t>
      </w:r>
      <w:r w:rsidRPr="004E6412">
        <w:rPr>
          <w:rFonts w:ascii="Times New Roman" w:hAnsi="Times New Roman"/>
        </w:rPr>
        <w:t>), dok se istovremeno jedinični trošak rada u</w:t>
      </w:r>
      <w:r w:rsidR="00A47789" w:rsidRPr="004E6412">
        <w:rPr>
          <w:rFonts w:ascii="Times New Roman" w:hAnsi="Times New Roman"/>
        </w:rPr>
        <w:t xml:space="preserve"> djelatnosti smanjio na 0,59 kuna</w:t>
      </w:r>
      <w:r w:rsidRPr="004E6412">
        <w:rPr>
          <w:rFonts w:ascii="Times New Roman" w:hAnsi="Times New Roman"/>
        </w:rPr>
        <w:t xml:space="preserve">. Opremljenost rada kapitalom </w:t>
      </w:r>
      <w:r w:rsidR="00A47789" w:rsidRPr="004E6412">
        <w:rPr>
          <w:rFonts w:ascii="Times New Roman" w:hAnsi="Times New Roman"/>
        </w:rPr>
        <w:t>blago je smanjena na 198.351 kunu</w:t>
      </w:r>
      <w:r w:rsidRPr="004E6412">
        <w:rPr>
          <w:rFonts w:ascii="Times New Roman" w:hAnsi="Times New Roman"/>
        </w:rPr>
        <w:t>.</w:t>
      </w:r>
      <w:r w:rsidR="00A47789" w:rsidRPr="004E6412">
        <w:rPr>
          <w:rFonts w:ascii="Times New Roman" w:hAnsi="Times New Roman"/>
        </w:rPr>
        <w:t xml:space="preserve"> Učinkovitost</w:t>
      </w:r>
      <w:r w:rsidR="001152C0" w:rsidRPr="004E6412">
        <w:rPr>
          <w:rFonts w:ascii="Times New Roman" w:hAnsi="Times New Roman"/>
        </w:rPr>
        <w:t xml:space="preserve"> ko</w:t>
      </w:r>
      <w:r w:rsidR="00A47789" w:rsidRPr="004E6412">
        <w:rPr>
          <w:rFonts w:ascii="Times New Roman" w:hAnsi="Times New Roman"/>
        </w:rPr>
        <w:t xml:space="preserve">rištenja proizvodnih resursa </w:t>
      </w:r>
      <w:r w:rsidR="001152C0" w:rsidRPr="004E6412">
        <w:rPr>
          <w:rFonts w:ascii="Times New Roman" w:hAnsi="Times New Roman"/>
        </w:rPr>
        <w:t>povećana</w:t>
      </w:r>
      <w:r w:rsidR="00A47789" w:rsidRPr="004E6412">
        <w:rPr>
          <w:rFonts w:ascii="Times New Roman" w:hAnsi="Times New Roman"/>
        </w:rPr>
        <w:t xml:space="preserve"> je</w:t>
      </w:r>
      <w:r w:rsidR="001152C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Analizom likvidnosti utvrđena je slaba točka poduzeća iz ove djelatnosti. Naime, likvidnost je niska u sve tri promatrane godine (2010.</w:t>
      </w:r>
      <w:r w:rsidR="00A47789" w:rsidRPr="004E6412">
        <w:rPr>
          <w:rFonts w:ascii="Times New Roman" w:hAnsi="Times New Roman"/>
        </w:rPr>
        <w:t xml:space="preserve"> – </w:t>
      </w:r>
      <w:r w:rsidRPr="004E6412">
        <w:rPr>
          <w:rFonts w:ascii="Times New Roman" w:hAnsi="Times New Roman"/>
        </w:rPr>
        <w:t>2012.). Analizom pokazatelja likvidnosti pripadajućih poddjelatnosti izdvaja se C28.2 s (donekle) zadovoljavajućim vrijednostima, dok se za preostale poddjelatnosti može reći kako iskazuju nedovoljnu likvidnost u promatranom</w:t>
      </w:r>
      <w:r w:rsidR="00A47789" w:rsidRPr="004E6412">
        <w:rPr>
          <w:rFonts w:ascii="Times New Roman" w:hAnsi="Times New Roman"/>
        </w:rPr>
        <w:t>e</w:t>
      </w:r>
      <w:r w:rsidRPr="004E6412">
        <w:rPr>
          <w:rFonts w:ascii="Times New Roman" w:hAnsi="Times New Roman"/>
        </w:rPr>
        <w:t xml:space="preserve"> razdoblju. Pokazateljima ukupne zaduženosti utvrđena je umjereno visoka zaduženost, posebice zbog izloženosti kratkoročnom</w:t>
      </w:r>
      <w:r w:rsidR="00A47789" w:rsidRPr="004E6412">
        <w:rPr>
          <w:rFonts w:ascii="Times New Roman" w:hAnsi="Times New Roman"/>
        </w:rPr>
        <w:t>e</w:t>
      </w:r>
      <w:r w:rsidRPr="004E6412">
        <w:rPr>
          <w:rFonts w:ascii="Times New Roman" w:hAnsi="Times New Roman"/>
        </w:rPr>
        <w:t xml:space="preserve"> dugu. Usporedno gledano, izdvaja se poddjelatnost C28</w:t>
      </w:r>
      <w:r w:rsidR="00A47789" w:rsidRPr="004E6412">
        <w:rPr>
          <w:rFonts w:ascii="Times New Roman" w:hAnsi="Times New Roman"/>
        </w:rPr>
        <w:t xml:space="preserve">.1 za koju se može jasno navesti </w:t>
      </w:r>
      <w:r w:rsidRPr="004E6412">
        <w:rPr>
          <w:rFonts w:ascii="Times New Roman" w:hAnsi="Times New Roman"/>
        </w:rPr>
        <w:t>pretjerana zaduženost (koef</w:t>
      </w:r>
      <w:r w:rsidR="00A47789" w:rsidRPr="004E6412">
        <w:rPr>
          <w:rFonts w:ascii="Times New Roman" w:hAnsi="Times New Roman"/>
        </w:rPr>
        <w:t>icijent zaduženosti 0,82, čimbenik</w:t>
      </w:r>
      <w:r w:rsidRPr="004E6412">
        <w:rPr>
          <w:rFonts w:ascii="Times New Roman" w:hAnsi="Times New Roman"/>
        </w:rPr>
        <w:t xml:space="preserve"> zaduženosti 8,86 u 2012.), dok se s donekle kvalitetnom strukturom zaduženosti i zadovoljavajućim vrijednostima pokazatelja ističe C28.2.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rPr>
        <w:t>Broj zap</w:t>
      </w:r>
      <w:r w:rsidR="00A47789" w:rsidRPr="004E6412">
        <w:rPr>
          <w:rFonts w:ascii="Times New Roman" w:hAnsi="Times New Roman"/>
        </w:rPr>
        <w:t xml:space="preserve">oslenih u djelatnosti </w:t>
      </w:r>
      <w:r w:rsidRPr="004E6412">
        <w:rPr>
          <w:rFonts w:ascii="Times New Roman" w:hAnsi="Times New Roman"/>
        </w:rPr>
        <w:t xml:space="preserve">povećan </w:t>
      </w:r>
      <w:r w:rsidR="00A47789" w:rsidRPr="004E6412">
        <w:rPr>
          <w:rFonts w:ascii="Times New Roman" w:hAnsi="Times New Roman"/>
        </w:rPr>
        <w:t xml:space="preserve">je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za 5,02% (531 osoba), a istovremeno su povećane neto plaće za 6,77%, dok su u prosjeku bruto plaće porasle za 4,14%. Rast broja zaposlenih ponajviše se odnosi na poddjelatnosti C28.9 (</w:t>
      </w:r>
      <w:r w:rsidR="00E22BDD" w:rsidRPr="004E6412">
        <w:rPr>
          <w:rFonts w:ascii="Times New Roman" w:hAnsi="Times New Roman"/>
        </w:rPr>
        <w:t xml:space="preserve">gdje je </w:t>
      </w:r>
      <w:r w:rsidRPr="004E6412">
        <w:rPr>
          <w:rFonts w:ascii="Times New Roman" w:hAnsi="Times New Roman"/>
        </w:rPr>
        <w:t>zaposleno 459 osoba, rast od 28,35%) i C28.4 (</w:t>
      </w:r>
      <w:r w:rsidR="00E22BDD" w:rsidRPr="004E6412">
        <w:rPr>
          <w:rFonts w:ascii="Times New Roman" w:hAnsi="Times New Roman"/>
        </w:rPr>
        <w:t xml:space="preserve">gdje je </w:t>
      </w:r>
      <w:r w:rsidRPr="004E6412">
        <w:rPr>
          <w:rFonts w:ascii="Times New Roman" w:hAnsi="Times New Roman"/>
        </w:rPr>
        <w:t>zaposleno 105 osoba, rast od 13,26%), dok je u poddjelatnosti C28.3 došlo do pada zaposlenih od 4,48% (</w:t>
      </w:r>
      <w:r w:rsidR="00E22BDD" w:rsidRPr="004E6412">
        <w:rPr>
          <w:rFonts w:ascii="Times New Roman" w:hAnsi="Times New Roman"/>
        </w:rPr>
        <w:t xml:space="preserve">jer je </w:t>
      </w:r>
      <w:r w:rsidRPr="004E6412">
        <w:rPr>
          <w:rFonts w:ascii="Times New Roman" w:hAnsi="Times New Roman"/>
        </w:rPr>
        <w:t>posao izgubilo 49 osoba). Najveći udio zaposlenih u djelatnosti ima srednju stručnu spremu (46,48%).</w:t>
      </w:r>
    </w:p>
    <w:p w:rsidR="001B41B0" w:rsidRPr="004E6412" w:rsidRDefault="001B41B0" w:rsidP="001B41B0">
      <w:pPr>
        <w:rPr>
          <w:sz w:val="22"/>
        </w:rPr>
      </w:pPr>
    </w:p>
    <w:p w:rsidR="001B41B0" w:rsidRPr="004E6412" w:rsidRDefault="001B41B0" w:rsidP="001B41B0">
      <w:pPr>
        <w:pStyle w:val="Heading2"/>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80" w:name="_Toc372088061"/>
      <w:bookmarkStart w:id="881" w:name="_Toc378069122"/>
      <w:r w:rsidRPr="004E6412">
        <w:rPr>
          <w:rFonts w:eastAsia="Calibri"/>
        </w:rPr>
        <w:lastRenderedPageBreak/>
        <w:t>Zaključni prikaz pokazatelja</w:t>
      </w:r>
      <w:bookmarkEnd w:id="880"/>
      <w:bookmarkEnd w:id="881"/>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82" w:name="_Toc372088169"/>
      <w:bookmarkStart w:id="883" w:name="_Toc377551104"/>
      <w:bookmarkStart w:id="884" w:name="_Toc377635293"/>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9</w:t>
      </w:r>
      <w:r w:rsidR="00FB4A6B"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Kvantitativni pokazatelji (C28)</w:t>
      </w:r>
      <w:bookmarkEnd w:id="882"/>
      <w:bookmarkEnd w:id="883"/>
      <w:bookmarkEnd w:id="884"/>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100,40</w:t>
            </w:r>
          </w:p>
        </w:tc>
        <w:tc>
          <w:tcPr>
            <w:tcW w:w="968" w:type="pct"/>
            <w:shd w:val="clear" w:color="auto" w:fill="auto"/>
            <w:noWrap/>
          </w:tcPr>
          <w:p w:rsidR="001B41B0" w:rsidRPr="004E6412" w:rsidRDefault="001B41B0" w:rsidP="001B41B0">
            <w:pPr>
              <w:jc w:val="right"/>
            </w:pPr>
            <w:r w:rsidRPr="004E6412">
              <w:rPr>
                <w:sz w:val="22"/>
              </w:rPr>
              <w:t>100,70</w:t>
            </w:r>
          </w:p>
        </w:tc>
        <w:tc>
          <w:tcPr>
            <w:tcW w:w="1100" w:type="pct"/>
            <w:shd w:val="clear" w:color="auto" w:fill="auto"/>
            <w:noWrap/>
          </w:tcPr>
          <w:p w:rsidR="001B41B0" w:rsidRPr="004E6412" w:rsidRDefault="001B41B0" w:rsidP="001B41B0">
            <w:pPr>
              <w:jc w:val="right"/>
            </w:pPr>
            <w:r w:rsidRPr="004E6412">
              <w:rPr>
                <w:sz w:val="22"/>
              </w:rPr>
              <w:t>101,19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101,3</w:t>
            </w:r>
          </w:p>
        </w:tc>
        <w:tc>
          <w:tcPr>
            <w:tcW w:w="968" w:type="pct"/>
            <w:shd w:val="clear" w:color="auto" w:fill="auto"/>
            <w:noWrap/>
          </w:tcPr>
          <w:p w:rsidR="001B41B0" w:rsidRPr="004E6412" w:rsidRDefault="001B41B0" w:rsidP="001B41B0">
            <w:pPr>
              <w:jc w:val="right"/>
            </w:pPr>
            <w:r w:rsidRPr="004E6412">
              <w:rPr>
                <w:sz w:val="22"/>
              </w:rPr>
              <w:t>130,3</w:t>
            </w:r>
          </w:p>
        </w:tc>
        <w:tc>
          <w:tcPr>
            <w:tcW w:w="1100" w:type="pct"/>
            <w:shd w:val="clear" w:color="auto" w:fill="auto"/>
            <w:noWrap/>
          </w:tcPr>
          <w:p w:rsidR="001B41B0" w:rsidRPr="004E6412" w:rsidRDefault="00A61190" w:rsidP="001B41B0">
            <w:pPr>
              <w:jc w:val="right"/>
            </w:pPr>
            <w:r w:rsidRPr="004E6412">
              <w:rPr>
                <w:sz w:val="22"/>
              </w:rPr>
              <w:t>70,6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10.168</w:t>
            </w:r>
          </w:p>
        </w:tc>
        <w:tc>
          <w:tcPr>
            <w:tcW w:w="968" w:type="pct"/>
            <w:shd w:val="clear" w:color="auto" w:fill="auto"/>
            <w:noWrap/>
          </w:tcPr>
          <w:p w:rsidR="001B41B0" w:rsidRPr="004E6412" w:rsidRDefault="001B41B0" w:rsidP="001B41B0">
            <w:pPr>
              <w:jc w:val="right"/>
            </w:pPr>
            <w:r w:rsidRPr="004E6412">
              <w:rPr>
                <w:sz w:val="22"/>
              </w:rPr>
              <w:t>10.502</w:t>
            </w:r>
          </w:p>
        </w:tc>
        <w:tc>
          <w:tcPr>
            <w:tcW w:w="1100" w:type="pct"/>
            <w:shd w:val="clear" w:color="auto" w:fill="auto"/>
            <w:noWrap/>
          </w:tcPr>
          <w:p w:rsidR="001B41B0" w:rsidRPr="004E6412" w:rsidRDefault="001B41B0" w:rsidP="001B41B0">
            <w:pPr>
              <w:jc w:val="right"/>
            </w:pPr>
            <w:r w:rsidRPr="004E6412">
              <w:rPr>
                <w:sz w:val="22"/>
              </w:rPr>
              <w:t>10.699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4.574.347.128</w:t>
            </w:r>
          </w:p>
        </w:tc>
        <w:tc>
          <w:tcPr>
            <w:tcW w:w="968" w:type="pct"/>
            <w:shd w:val="clear" w:color="auto" w:fill="auto"/>
            <w:noWrap/>
          </w:tcPr>
          <w:p w:rsidR="001B41B0" w:rsidRPr="004E6412" w:rsidRDefault="001B41B0" w:rsidP="001B41B0">
            <w:pPr>
              <w:jc w:val="right"/>
            </w:pPr>
            <w:r w:rsidRPr="004E6412">
              <w:rPr>
                <w:sz w:val="22"/>
              </w:rPr>
              <w:t>5.542.118.686</w:t>
            </w:r>
          </w:p>
        </w:tc>
        <w:tc>
          <w:tcPr>
            <w:tcW w:w="1100" w:type="pct"/>
            <w:shd w:val="clear" w:color="auto" w:fill="auto"/>
            <w:noWrap/>
          </w:tcPr>
          <w:p w:rsidR="001B41B0" w:rsidRPr="004E6412" w:rsidRDefault="001B41B0" w:rsidP="001B41B0">
            <w:pPr>
              <w:jc w:val="right"/>
            </w:pPr>
            <w:r w:rsidRPr="004E6412">
              <w:rPr>
                <w:sz w:val="22"/>
              </w:rPr>
              <w:t>5.761.966.575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375.275.521</w:t>
            </w:r>
          </w:p>
        </w:tc>
        <w:tc>
          <w:tcPr>
            <w:tcW w:w="968" w:type="pct"/>
            <w:shd w:val="clear" w:color="auto" w:fill="auto"/>
            <w:noWrap/>
          </w:tcPr>
          <w:p w:rsidR="001B41B0" w:rsidRPr="004E6412" w:rsidRDefault="001B41B0" w:rsidP="001B41B0">
            <w:pPr>
              <w:jc w:val="right"/>
            </w:pPr>
            <w:r w:rsidRPr="004E6412">
              <w:rPr>
                <w:sz w:val="22"/>
              </w:rPr>
              <w:t>573.416.038</w:t>
            </w:r>
          </w:p>
        </w:tc>
        <w:tc>
          <w:tcPr>
            <w:tcW w:w="1100" w:type="pct"/>
            <w:shd w:val="clear" w:color="auto" w:fill="auto"/>
            <w:noWrap/>
          </w:tcPr>
          <w:p w:rsidR="001B41B0" w:rsidRPr="004E6412" w:rsidRDefault="001B41B0" w:rsidP="001B41B0">
            <w:pPr>
              <w:jc w:val="right"/>
            </w:pPr>
            <w:r w:rsidRPr="004E6412">
              <w:rPr>
                <w:sz w:val="22"/>
              </w:rPr>
              <w:t>581.950.208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3,45</w:t>
            </w:r>
          </w:p>
        </w:tc>
        <w:tc>
          <w:tcPr>
            <w:tcW w:w="968" w:type="pct"/>
            <w:shd w:val="clear" w:color="auto" w:fill="auto"/>
            <w:noWrap/>
          </w:tcPr>
          <w:p w:rsidR="001B41B0" w:rsidRPr="004E6412" w:rsidRDefault="001B41B0" w:rsidP="001B41B0">
            <w:pPr>
              <w:jc w:val="right"/>
            </w:pPr>
            <w:r w:rsidRPr="004E6412">
              <w:rPr>
                <w:sz w:val="22"/>
              </w:rPr>
              <w:t>6,86</w:t>
            </w:r>
          </w:p>
        </w:tc>
        <w:tc>
          <w:tcPr>
            <w:tcW w:w="1100" w:type="pct"/>
            <w:shd w:val="clear" w:color="auto" w:fill="auto"/>
            <w:noWrap/>
          </w:tcPr>
          <w:p w:rsidR="001B41B0" w:rsidRPr="004E6412" w:rsidRDefault="001B41B0" w:rsidP="001B41B0">
            <w:pPr>
              <w:jc w:val="right"/>
            </w:pPr>
            <w:r w:rsidRPr="004E6412">
              <w:rPr>
                <w:sz w:val="22"/>
              </w:rPr>
              <w:t>6,37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449.877</w:t>
            </w:r>
          </w:p>
        </w:tc>
        <w:tc>
          <w:tcPr>
            <w:tcW w:w="968" w:type="pct"/>
            <w:shd w:val="clear" w:color="auto" w:fill="auto"/>
            <w:noWrap/>
          </w:tcPr>
          <w:p w:rsidR="001B41B0" w:rsidRPr="004E6412" w:rsidRDefault="001B41B0" w:rsidP="001B41B0">
            <w:pPr>
              <w:jc w:val="right"/>
            </w:pPr>
            <w:r w:rsidRPr="004E6412">
              <w:rPr>
                <w:sz w:val="22"/>
              </w:rPr>
              <w:t>527.720</w:t>
            </w:r>
          </w:p>
        </w:tc>
        <w:tc>
          <w:tcPr>
            <w:tcW w:w="1100" w:type="pct"/>
            <w:shd w:val="clear" w:color="auto" w:fill="auto"/>
            <w:noWrap/>
          </w:tcPr>
          <w:p w:rsidR="001B41B0" w:rsidRPr="004E6412" w:rsidRDefault="001B41B0" w:rsidP="001B41B0">
            <w:pPr>
              <w:jc w:val="right"/>
            </w:pPr>
            <w:r w:rsidRPr="004E6412">
              <w:rPr>
                <w:sz w:val="22"/>
              </w:rPr>
              <w:t>538.552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1.489.370.183</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1.710.026.999</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1.743.157.518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23.585</w:t>
            </w:r>
          </w:p>
        </w:tc>
        <w:tc>
          <w:tcPr>
            <w:tcW w:w="968" w:type="pct"/>
            <w:shd w:val="clear" w:color="auto" w:fill="auto"/>
            <w:noWrap/>
          </w:tcPr>
          <w:p w:rsidR="001B41B0" w:rsidRPr="004E6412" w:rsidRDefault="001B41B0" w:rsidP="001B41B0">
            <w:pPr>
              <w:jc w:val="right"/>
            </w:pPr>
            <w:r w:rsidRPr="004E6412">
              <w:rPr>
                <w:sz w:val="22"/>
              </w:rPr>
              <w:t>34.621</w:t>
            </w:r>
          </w:p>
        </w:tc>
        <w:tc>
          <w:tcPr>
            <w:tcW w:w="1100" w:type="pct"/>
            <w:shd w:val="clear" w:color="auto" w:fill="auto"/>
            <w:noWrap/>
          </w:tcPr>
          <w:p w:rsidR="001B41B0" w:rsidRPr="004E6412" w:rsidRDefault="001B41B0" w:rsidP="001B41B0">
            <w:pPr>
              <w:jc w:val="right"/>
            </w:pPr>
            <w:r w:rsidRPr="004E6412">
              <w:rPr>
                <w:sz w:val="22"/>
              </w:rPr>
              <w:t>33.631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20.757</w:t>
            </w:r>
          </w:p>
        </w:tc>
        <w:tc>
          <w:tcPr>
            <w:tcW w:w="968" w:type="pct"/>
            <w:shd w:val="clear" w:color="auto" w:fill="auto"/>
            <w:noWrap/>
          </w:tcPr>
          <w:p w:rsidR="001B41B0" w:rsidRPr="004E6412" w:rsidRDefault="001B41B0" w:rsidP="001B41B0">
            <w:pPr>
              <w:jc w:val="right"/>
            </w:pPr>
            <w:r w:rsidRPr="004E6412">
              <w:rPr>
                <w:sz w:val="22"/>
              </w:rPr>
              <w:t>18.749</w:t>
            </w:r>
          </w:p>
        </w:tc>
        <w:tc>
          <w:tcPr>
            <w:tcW w:w="1100" w:type="pct"/>
            <w:shd w:val="clear" w:color="auto" w:fill="auto"/>
            <w:noWrap/>
          </w:tcPr>
          <w:p w:rsidR="001B41B0" w:rsidRPr="004E6412" w:rsidRDefault="001B41B0" w:rsidP="001B41B0">
            <w:pPr>
              <w:jc w:val="right"/>
            </w:pPr>
            <w:r w:rsidRPr="004E6412">
              <w:rPr>
                <w:sz w:val="22"/>
              </w:rPr>
              <w:t>18.017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2,166</w:t>
            </w:r>
          </w:p>
        </w:tc>
        <w:tc>
          <w:tcPr>
            <w:tcW w:w="968" w:type="pct"/>
            <w:shd w:val="clear" w:color="auto" w:fill="auto"/>
            <w:noWrap/>
          </w:tcPr>
          <w:p w:rsidR="001B41B0" w:rsidRPr="004E6412" w:rsidRDefault="001B41B0" w:rsidP="001B41B0">
            <w:pPr>
              <w:jc w:val="right"/>
            </w:pPr>
            <w:r w:rsidRPr="004E6412">
              <w:rPr>
                <w:sz w:val="22"/>
              </w:rPr>
              <w:t>2,214</w:t>
            </w:r>
          </w:p>
        </w:tc>
        <w:tc>
          <w:tcPr>
            <w:tcW w:w="1100" w:type="pct"/>
            <w:shd w:val="clear" w:color="auto" w:fill="auto"/>
            <w:noWrap/>
          </w:tcPr>
          <w:p w:rsidR="001B41B0" w:rsidRPr="004E6412" w:rsidRDefault="001B41B0" w:rsidP="001B41B0">
            <w:pPr>
              <w:jc w:val="right"/>
            </w:pPr>
            <w:r w:rsidRPr="004E6412">
              <w:rPr>
                <w:sz w:val="22"/>
              </w:rPr>
              <w:t>2,641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1.161.660.263</w:t>
            </w:r>
          </w:p>
        </w:tc>
        <w:tc>
          <w:tcPr>
            <w:tcW w:w="968" w:type="pct"/>
            <w:shd w:val="clear" w:color="auto" w:fill="auto"/>
            <w:noWrap/>
          </w:tcPr>
          <w:p w:rsidR="001B41B0" w:rsidRPr="004E6412" w:rsidRDefault="001B41B0" w:rsidP="001B41B0">
            <w:pPr>
              <w:jc w:val="right"/>
            </w:pPr>
            <w:r w:rsidRPr="004E6412">
              <w:rPr>
                <w:sz w:val="22"/>
              </w:rPr>
              <w:t>1.590.141.126</w:t>
            </w:r>
          </w:p>
        </w:tc>
        <w:tc>
          <w:tcPr>
            <w:tcW w:w="1100" w:type="pct"/>
            <w:shd w:val="clear" w:color="auto" w:fill="auto"/>
            <w:noWrap/>
          </w:tcPr>
          <w:p w:rsidR="001B41B0" w:rsidRPr="004E6412" w:rsidRDefault="001B41B0" w:rsidP="001B41B0">
            <w:pPr>
              <w:jc w:val="right"/>
            </w:pPr>
            <w:r w:rsidRPr="004E6412">
              <w:rPr>
                <w:sz w:val="22"/>
              </w:rPr>
              <w:t>1.878.395.060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47,18</w:t>
            </w:r>
          </w:p>
        </w:tc>
        <w:tc>
          <w:tcPr>
            <w:tcW w:w="968" w:type="pct"/>
            <w:shd w:val="clear" w:color="auto" w:fill="auto"/>
            <w:noWrap/>
          </w:tcPr>
          <w:p w:rsidR="001B41B0" w:rsidRPr="004E6412" w:rsidRDefault="001B41B0" w:rsidP="001B41B0">
            <w:pPr>
              <w:jc w:val="right"/>
            </w:pPr>
            <w:r w:rsidRPr="004E6412">
              <w:rPr>
                <w:sz w:val="22"/>
              </w:rPr>
              <w:t>52,33</w:t>
            </w:r>
          </w:p>
        </w:tc>
        <w:tc>
          <w:tcPr>
            <w:tcW w:w="1100" w:type="pct"/>
            <w:shd w:val="clear" w:color="auto" w:fill="auto"/>
            <w:noWrap/>
          </w:tcPr>
          <w:p w:rsidR="001B41B0" w:rsidRPr="004E6412" w:rsidRDefault="001B41B0" w:rsidP="001B41B0">
            <w:pPr>
              <w:jc w:val="right"/>
            </w:pPr>
            <w:r w:rsidRPr="004E6412">
              <w:rPr>
                <w:sz w:val="22"/>
              </w:rPr>
              <w:t>52,47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1,30</w:t>
            </w:r>
          </w:p>
        </w:tc>
        <w:tc>
          <w:tcPr>
            <w:tcW w:w="968" w:type="pct"/>
            <w:shd w:val="clear" w:color="auto" w:fill="auto"/>
            <w:noWrap/>
          </w:tcPr>
          <w:p w:rsidR="001B41B0" w:rsidRPr="004E6412" w:rsidRDefault="001B41B0" w:rsidP="001B41B0">
            <w:pPr>
              <w:jc w:val="right"/>
            </w:pPr>
            <w:r w:rsidRPr="004E6412">
              <w:rPr>
                <w:sz w:val="22"/>
              </w:rPr>
              <w:t>1,40</w:t>
            </w:r>
          </w:p>
        </w:tc>
        <w:tc>
          <w:tcPr>
            <w:tcW w:w="1100" w:type="pct"/>
            <w:shd w:val="clear" w:color="auto" w:fill="auto"/>
            <w:noWrap/>
          </w:tcPr>
          <w:p w:rsidR="001B41B0" w:rsidRPr="004E6412" w:rsidRDefault="001B41B0" w:rsidP="001B41B0">
            <w:pPr>
              <w:jc w:val="right"/>
            </w:pPr>
            <w:r w:rsidRPr="004E6412">
              <w:rPr>
                <w:sz w:val="22"/>
              </w:rPr>
              <w:t>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E22BDD"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3,75</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3,81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0,632</w:t>
            </w:r>
          </w:p>
        </w:tc>
        <w:tc>
          <w:tcPr>
            <w:tcW w:w="968" w:type="pct"/>
            <w:shd w:val="clear" w:color="auto" w:fill="auto"/>
            <w:noWrap/>
          </w:tcPr>
          <w:p w:rsidR="001B41B0" w:rsidRPr="004E6412" w:rsidRDefault="001B41B0" w:rsidP="001B41B0">
            <w:pPr>
              <w:jc w:val="right"/>
            </w:pPr>
            <w:r w:rsidRPr="004E6412">
              <w:rPr>
                <w:sz w:val="22"/>
              </w:rPr>
              <w:t>0,622</w:t>
            </w:r>
          </w:p>
        </w:tc>
        <w:tc>
          <w:tcPr>
            <w:tcW w:w="1100" w:type="pct"/>
            <w:shd w:val="clear" w:color="auto" w:fill="auto"/>
            <w:noWrap/>
          </w:tcPr>
          <w:p w:rsidR="001B41B0" w:rsidRPr="004E6412" w:rsidRDefault="001B41B0" w:rsidP="001B41B0">
            <w:pPr>
              <w:jc w:val="right"/>
            </w:pPr>
            <w:r w:rsidRPr="004E6412">
              <w:rPr>
                <w:sz w:val="22"/>
              </w:rPr>
              <w:t>0,549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146.476</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162.829</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162.927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0,73</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0,82</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0,82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0,63</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0,59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0,68</w:t>
            </w:r>
          </w:p>
        </w:tc>
        <w:tc>
          <w:tcPr>
            <w:tcW w:w="1100" w:type="pct"/>
            <w:shd w:val="clear" w:color="auto" w:fill="auto"/>
            <w:noWrap/>
          </w:tcPr>
          <w:p w:rsidR="001B41B0" w:rsidRPr="004E6412" w:rsidRDefault="001B41B0" w:rsidP="001B41B0">
            <w:pPr>
              <w:jc w:val="right"/>
            </w:pPr>
            <w:r w:rsidRPr="004E6412">
              <w:rPr>
                <w:sz w:val="22"/>
              </w:rPr>
              <w:t>0,71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85" w:name="_Toc372088170"/>
      <w:bookmarkStart w:id="886" w:name="_Toc377551105"/>
      <w:bookmarkStart w:id="887" w:name="_Toc377635294"/>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93</w:t>
      </w:r>
      <w:r w:rsidRPr="007D0CFD">
        <w:rPr>
          <w:rStyle w:val="IntenseEmphasis"/>
          <w:b/>
          <w:bCs w:val="0"/>
          <w:iCs w:val="0"/>
          <w:color w:val="548DD4" w:themeColor="text2" w:themeTint="99"/>
          <w:sz w:val="20"/>
        </w:rPr>
        <w:t>. Kvalitativni pokazatelji (C28)</w:t>
      </w:r>
      <w:bookmarkEnd w:id="885"/>
      <w:bookmarkEnd w:id="886"/>
      <w:bookmarkEnd w:id="8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22BDD"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E22BDD" w:rsidP="0097195F">
            <w:pPr>
              <w:spacing w:line="240" w:lineRule="auto"/>
              <w:rPr>
                <w:sz w:val="22"/>
              </w:rPr>
            </w:pPr>
            <w:r w:rsidRPr="004E6412">
              <w:rPr>
                <w:sz w:val="22"/>
              </w:rPr>
              <w:t>Radna snaga i resursi dostupni</w:t>
            </w:r>
            <w:r w:rsidR="001B41B0" w:rsidRPr="004E6412">
              <w:rPr>
                <w:sz w:val="22"/>
              </w:rPr>
              <w:t>. Manje dostupan kapital za daljnje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Proizvodi su namije</w:t>
            </w:r>
            <w:r w:rsidR="00E22BDD" w:rsidRPr="004E6412">
              <w:rPr>
                <w:sz w:val="22"/>
              </w:rPr>
              <w:t xml:space="preserve">njeni investicijskoj potrošnji. </w:t>
            </w:r>
            <w:r w:rsidRPr="004E6412">
              <w:rPr>
                <w:sz w:val="22"/>
              </w:rPr>
              <w:t>Potražnja za proizvodima ovisi o općoj gospodarskoj aktivnosti i investici</w:t>
            </w:r>
            <w:r w:rsidR="00E22BDD" w:rsidRPr="004E6412">
              <w:rPr>
                <w:sz w:val="22"/>
              </w:rPr>
              <w:t xml:space="preserve">jama. Neto izvoz djelatnosti </w:t>
            </w:r>
            <w:r w:rsidRPr="004E6412">
              <w:rPr>
                <w:sz w:val="22"/>
              </w:rPr>
              <w:t>povećava</w:t>
            </w:r>
            <w:r w:rsidR="00E22BDD" w:rsidRPr="004E6412">
              <w:rPr>
                <w:sz w:val="22"/>
              </w:rPr>
              <w:t xml:space="preserve"> se</w:t>
            </w:r>
            <w:r w:rsidRPr="004E6412">
              <w:rPr>
                <w:sz w:val="22"/>
              </w:rPr>
              <w:t xml:space="preserve"> iz godine u godinu uz znatno veću stopu rasta izvoza od uvoza.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E22BDD" w:rsidP="0097195F">
            <w:pPr>
              <w:spacing w:line="240" w:lineRule="auto"/>
              <w:rPr>
                <w:sz w:val="22"/>
              </w:rPr>
            </w:pPr>
            <w:r w:rsidRPr="004E6412">
              <w:rPr>
                <w:sz w:val="22"/>
              </w:rPr>
              <w:t>Iako je zadovoljavajuća</w:t>
            </w:r>
            <w:r w:rsidR="001B41B0" w:rsidRPr="004E6412">
              <w:rPr>
                <w:sz w:val="22"/>
              </w:rPr>
              <w:t xml:space="preserve">, potrebno </w:t>
            </w:r>
            <w:r w:rsidRPr="004E6412">
              <w:rPr>
                <w:sz w:val="22"/>
              </w:rPr>
              <w:t xml:space="preserve">je </w:t>
            </w:r>
            <w:r w:rsidR="001B41B0" w:rsidRPr="004E6412">
              <w:rPr>
                <w:sz w:val="22"/>
              </w:rPr>
              <w:t>dodatno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Podaci ni u kojem obliku nisu bili dostupni.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 Primjena standarda i stroga kontrola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10,52% poduzeća stvara više od 80% prihoda ove djelatnosti, odnosno 62 tvrtke ostv</w:t>
            </w:r>
            <w:r w:rsidR="00E22BDD" w:rsidRPr="004E6412">
              <w:rPr>
                <w:sz w:val="22"/>
              </w:rPr>
              <w:t>aruju</w:t>
            </w:r>
            <w:r w:rsidRPr="004E6412">
              <w:rPr>
                <w:sz w:val="22"/>
              </w:rPr>
              <w:t xml:space="preserve"> 80%</w:t>
            </w:r>
            <w:r w:rsidR="00E22BDD" w:rsidRPr="004E6412">
              <w:rPr>
                <w:sz w:val="22"/>
              </w:rPr>
              <w:t xml:space="preserve"> ukupnih prihoda djelatnosti dok </w:t>
            </w:r>
            <w:r w:rsidRPr="004E6412">
              <w:rPr>
                <w:sz w:val="22"/>
              </w:rPr>
              <w:t>100 tvrtki zapošljava 80% ukupno zaposlenih u djela</w:t>
            </w:r>
            <w:r w:rsidR="00E22BDD" w:rsidRPr="004E6412">
              <w:rPr>
                <w:sz w:val="22"/>
              </w:rPr>
              <w:t>tnosti. Prvih 5 tvrtki ostvaruje prihod od 1,818 milijardi kuna</w:t>
            </w:r>
            <w:r w:rsidRPr="004E6412">
              <w:rPr>
                <w:sz w:val="22"/>
              </w:rPr>
              <w:t xml:space="preserve"> što predstavlja udio od 32% ukupnog prihoda analizirane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Udio izvoza u ukupnim prihodima djelatnosti visok, osobito u poddjelatnosti C28.3 (Proizvodnja strojeva za poljoprivredu i šumarstvo) i C28.9 (Proizvodnja ostalih strojeva za posebne namjene). Sve p</w:t>
            </w:r>
            <w:r w:rsidR="00E22BDD" w:rsidRPr="004E6412">
              <w:rPr>
                <w:sz w:val="22"/>
              </w:rPr>
              <w:t>oddjelatnosti imaju usporedne</w:t>
            </w:r>
            <w:r w:rsidRPr="004E6412">
              <w:rPr>
                <w:sz w:val="22"/>
              </w:rPr>
              <w:t xml:space="preserve"> prednosti (</w:t>
            </w:r>
            <w:r w:rsidR="00E22BDD" w:rsidRPr="004E6412">
              <w:rPr>
                <w:sz w:val="22"/>
              </w:rPr>
              <w:t>RCA veći od 1) i u stalnome su po</w:t>
            </w:r>
            <w:r w:rsidRPr="004E6412">
              <w:rPr>
                <w:sz w:val="22"/>
              </w:rPr>
              <w:t xml:space="preserve">rastu.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visok. Visok i potencijal zapošljavanja osobito kvalificiranih radnika. Postojanje tradicije i iskustva u proizvodnji. Po visokom potencijalu rasta ističu se poddj</w:t>
            </w:r>
            <w:r w:rsidR="00E22BDD" w:rsidRPr="004E6412">
              <w:rPr>
                <w:sz w:val="22"/>
              </w:rPr>
              <w:t>elatnosti</w:t>
            </w:r>
            <w:r w:rsidRPr="004E6412">
              <w:rPr>
                <w:sz w:val="22"/>
              </w:rPr>
              <w:t xml:space="preserve"> C 28.1 Proizvodnja strojeva za opće namjene, C28.3 Proizvodnja strojeva za poljoprivredu i šumarstvo  i C28.9 Proizvodnja ostalih strojeva za posebne namjene. Nadalje, niske vrijednosti ostvarene neto dobiti i negativnu profitabilnost ostvaruje samo poddjelatnost C28.4 Proizvodnja strojeva za obradu metala i alatnih strojeva.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Umjereno visoka uvozna ovisnost.</w:t>
            </w:r>
          </w:p>
        </w:tc>
      </w:tr>
    </w:tbl>
    <w:p w:rsidR="001B41B0" w:rsidRPr="004E6412" w:rsidRDefault="001B41B0" w:rsidP="001B41B0">
      <w:pPr>
        <w:rPr>
          <w:lang w:eastAsia="hr-HR"/>
        </w:r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88" w:name="_Toc366152994"/>
      <w:bookmarkStart w:id="889" w:name="_Toc366154324"/>
      <w:bookmarkStart w:id="890" w:name="_Toc366154444"/>
      <w:bookmarkStart w:id="891" w:name="_Toc366409991"/>
      <w:bookmarkStart w:id="892" w:name="_Toc372088062"/>
      <w:bookmarkStart w:id="893" w:name="_Toc378069123"/>
      <w:r w:rsidRPr="004E6412">
        <w:lastRenderedPageBreak/>
        <w:t>C29 Proizvodnja motornih vozila, prikolica i poluprikolica</w:t>
      </w:r>
      <w:bookmarkEnd w:id="888"/>
      <w:bookmarkEnd w:id="889"/>
      <w:bookmarkEnd w:id="890"/>
      <w:bookmarkEnd w:id="891"/>
      <w:bookmarkEnd w:id="892"/>
      <w:bookmarkEnd w:id="893"/>
    </w:p>
    <w:p w:rsidR="001B41B0" w:rsidRPr="004E6412" w:rsidRDefault="001B41B0" w:rsidP="001B41B0">
      <w:pPr>
        <w:spacing w:after="200"/>
        <w:jc w:val="left"/>
        <w:rPr>
          <w:lang w:eastAsia="hr-HR"/>
        </w:rPr>
      </w:pPr>
    </w:p>
    <w:p w:rsidR="001B41B0" w:rsidRPr="004E6412" w:rsidRDefault="001B41B0" w:rsidP="001B41B0">
      <w:pPr>
        <w:rPr>
          <w:sz w:val="22"/>
        </w:rPr>
      </w:pPr>
      <w:r w:rsidRPr="004E6412">
        <w:rPr>
          <w:sz w:val="22"/>
        </w:rPr>
        <w:t>Djelatnost Proizvodnja motornih vozila, prikolica i poluprikolica (C29) uključuje proizvodnju motornih vozila (C29.1), proizvodnju karoserija za motorna vozila, prikolice i poluprikolice</w:t>
      </w:r>
      <w:r w:rsidR="00E22BDD" w:rsidRPr="004E6412">
        <w:rPr>
          <w:sz w:val="22"/>
        </w:rPr>
        <w:t xml:space="preserve"> </w:t>
      </w:r>
      <w:r w:rsidRPr="004E6412">
        <w:rPr>
          <w:sz w:val="22"/>
        </w:rPr>
        <w:t>(C29.2) i proizvodnju dijelova i pribora za motorna vozila (C29.3).</w:t>
      </w:r>
    </w:p>
    <w:p w:rsidR="001B41B0" w:rsidRPr="004E6412" w:rsidRDefault="001B41B0" w:rsidP="001B41B0">
      <w:pPr>
        <w:rPr>
          <w:szCs w:val="24"/>
        </w:rPr>
      </w:pPr>
    </w:p>
    <w:p w:rsidR="001B41B0" w:rsidRPr="004E6412" w:rsidRDefault="001B41B0" w:rsidP="00D001B9">
      <w:pPr>
        <w:pStyle w:val="Heading3"/>
      </w:pPr>
      <w:bookmarkStart w:id="894" w:name="_Toc366154325"/>
      <w:bookmarkStart w:id="895" w:name="_Toc366154445"/>
      <w:bookmarkStart w:id="896" w:name="_Toc366409992"/>
      <w:bookmarkStart w:id="897" w:name="_Toc372088063"/>
      <w:bookmarkStart w:id="898" w:name="_Toc378069124"/>
      <w:r w:rsidRPr="004E6412">
        <w:t>Globalni trendovi razvoja</w:t>
      </w:r>
      <w:bookmarkEnd w:id="894"/>
      <w:bookmarkEnd w:id="895"/>
      <w:bookmarkEnd w:id="896"/>
      <w:bookmarkEnd w:id="897"/>
      <w:bookmarkEnd w:id="898"/>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Ova djelatnost ima izrazito snažan utjecaj na razvoj domaćeg</w:t>
      </w:r>
      <w:r w:rsidR="00E22BDD" w:rsidRPr="004E6412">
        <w:rPr>
          <w:rFonts w:ascii="Times New Roman" w:hAnsi="Times New Roman"/>
        </w:rPr>
        <w:t>a</w:t>
      </w:r>
      <w:r w:rsidRPr="004E6412">
        <w:rPr>
          <w:rFonts w:ascii="Times New Roman" w:hAnsi="Times New Roman"/>
        </w:rPr>
        <w:t xml:space="preserve"> gospodarstva kroz zapošljavanje velikog</w:t>
      </w:r>
      <w:r w:rsidR="00E22BDD" w:rsidRPr="004E6412">
        <w:rPr>
          <w:rFonts w:ascii="Times New Roman" w:hAnsi="Times New Roman"/>
        </w:rPr>
        <w:t>a</w:t>
      </w:r>
      <w:r w:rsidRPr="004E6412">
        <w:rPr>
          <w:rFonts w:ascii="Times New Roman" w:hAnsi="Times New Roman"/>
        </w:rPr>
        <w:t xml:space="preserve"> broja</w:t>
      </w:r>
      <w:r w:rsidR="00E22BDD" w:rsidRPr="004E6412">
        <w:rPr>
          <w:rFonts w:ascii="Times New Roman" w:hAnsi="Times New Roman"/>
        </w:rPr>
        <w:t xml:space="preserve"> ljudi, izražene višestruke učinke </w:t>
      </w:r>
      <w:r w:rsidRPr="004E6412">
        <w:rPr>
          <w:rFonts w:ascii="Times New Roman" w:hAnsi="Times New Roman"/>
        </w:rPr>
        <w:t>te razvoj i primjenu novih inovacija i tehnoloških rješenja. Zbog svojih obilježja, gotovo sve zemlje u svijetu izravno ili neizravno potiču razvoj ovog</w:t>
      </w:r>
      <w:r w:rsidR="00E22BDD" w:rsidRPr="004E6412">
        <w:rPr>
          <w:rFonts w:ascii="Times New Roman" w:hAnsi="Times New Roman"/>
        </w:rPr>
        <w:t>a</w:t>
      </w:r>
      <w:r w:rsidRPr="004E6412">
        <w:rPr>
          <w:rFonts w:ascii="Times New Roman" w:hAnsi="Times New Roman"/>
        </w:rPr>
        <w:t xml:space="preserve"> sektora, pogotovo proizvodnje motornih vozila.</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SAD je tradicionalno bio najveći proizvođač automobila u svijetu, no od 2009. bilježi značajne stope pada (10,4% u odnosu na 2008., odnosno 35% u odnosu na 2007.)</w:t>
      </w:r>
      <w:r w:rsidR="00E22BDD" w:rsidRPr="004E6412">
        <w:rPr>
          <w:rFonts w:ascii="Times New Roman" w:hAnsi="Times New Roman"/>
        </w:rPr>
        <w:t>,</w:t>
      </w:r>
      <w:r w:rsidRPr="004E6412">
        <w:rPr>
          <w:rFonts w:ascii="Times New Roman" w:hAnsi="Times New Roman"/>
        </w:rPr>
        <w:t xml:space="preserve"> uz istovremeno snažne stope rasta automobilske proizvodnje u Kini (53% u 2009. u odnosu na godinu ranije)</w:t>
      </w:r>
      <w:r w:rsidR="00E22BDD" w:rsidRPr="004E6412">
        <w:rPr>
          <w:rFonts w:ascii="Times New Roman" w:hAnsi="Times New Roman"/>
        </w:rPr>
        <w:t>. Kineski rast snažno je potaknut</w:t>
      </w:r>
      <w:r w:rsidRPr="004E6412">
        <w:rPr>
          <w:rFonts w:ascii="Times New Roman" w:hAnsi="Times New Roman"/>
        </w:rPr>
        <w:t xml:space="preserve"> mjerama kineskih vlasti, prije svega različitim oblicima poreznih olakšica i subvencija, kao </w:t>
      </w:r>
      <w:r w:rsidR="00E22BDD" w:rsidRPr="004E6412">
        <w:rPr>
          <w:rFonts w:ascii="Times New Roman" w:hAnsi="Times New Roman"/>
        </w:rPr>
        <w:t>i višim razinama produktivnosti</w:t>
      </w:r>
      <w:r w:rsidRPr="004E6412">
        <w:rPr>
          <w:rFonts w:ascii="Times New Roman" w:hAnsi="Times New Roman"/>
        </w:rPr>
        <w:t xml:space="preserve"> odnosno nižom cijenom rada. Ukupna proizvodnja automobila u Kini tako je u 2009. </w:t>
      </w:r>
      <w:r w:rsidR="00E22BDD" w:rsidRPr="004E6412">
        <w:rPr>
          <w:rFonts w:ascii="Times New Roman" w:hAnsi="Times New Roman"/>
        </w:rPr>
        <w:t xml:space="preserve">godini </w:t>
      </w:r>
      <w:r w:rsidRPr="004E6412">
        <w:rPr>
          <w:rFonts w:ascii="Times New Roman" w:hAnsi="Times New Roman"/>
        </w:rPr>
        <w:t>premašila proizvodnju u SAD-u</w:t>
      </w:r>
      <w:r w:rsidR="00E22BDD" w:rsidRPr="004E6412">
        <w:rPr>
          <w:rFonts w:ascii="Times New Roman" w:hAnsi="Times New Roman"/>
        </w:rPr>
        <w:t>,</w:t>
      </w:r>
      <w:r w:rsidRPr="004E6412">
        <w:rPr>
          <w:rFonts w:ascii="Times New Roman" w:hAnsi="Times New Roman"/>
        </w:rPr>
        <w:t xml:space="preserve"> mjereno brojem proiz</w:t>
      </w:r>
      <w:r w:rsidR="00E22BDD" w:rsidRPr="004E6412">
        <w:rPr>
          <w:rFonts w:ascii="Times New Roman" w:hAnsi="Times New Roman"/>
        </w:rPr>
        <w:t xml:space="preserve">vedenih jedinica (13,6 </w:t>
      </w:r>
      <w:r w:rsidRPr="004E6412">
        <w:rPr>
          <w:rFonts w:ascii="Times New Roman" w:hAnsi="Times New Roman"/>
        </w:rPr>
        <w:t>naspram 10,6 milijuna). Stope rasta kineskog automobilskog sektora nisu održive te se očekuje njihovo usporavanje u budućn</w:t>
      </w:r>
      <w:r w:rsidR="00E22BDD" w:rsidRPr="004E6412">
        <w:rPr>
          <w:rFonts w:ascii="Times New Roman" w:hAnsi="Times New Roman"/>
        </w:rPr>
        <w:t>osti. U</w:t>
      </w:r>
      <w:r w:rsidRPr="004E6412">
        <w:rPr>
          <w:rFonts w:ascii="Times New Roman" w:hAnsi="Times New Roman"/>
        </w:rPr>
        <w:t>sprkos tome, Kina je i</w:t>
      </w:r>
      <w:r w:rsidR="00E22BDD" w:rsidRPr="004E6412">
        <w:rPr>
          <w:rFonts w:ascii="Times New Roman" w:hAnsi="Times New Roman"/>
        </w:rPr>
        <w:t>zrasla u globalno prepoznatog</w:t>
      </w:r>
      <w:r w:rsidRPr="004E6412">
        <w:rPr>
          <w:rFonts w:ascii="Times New Roman" w:hAnsi="Times New Roman"/>
        </w:rPr>
        <w:t xml:space="preserve"> igrača u ovoj djelatnosti.  </w:t>
      </w:r>
      <w:r w:rsidRPr="004E6412">
        <w:rPr>
          <w:rFonts w:ascii="Times New Roman" w:hAnsi="Times New Roman"/>
        </w:rPr>
        <w:tab/>
      </w: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Uslijed globalne gospodarske krize koncem 2008. došlo je do drastičnog pada u potražnji za automobilima i autodijelovima, što je primoralo najveće proizvođače na restrukturiranje, smanjenje operativnih troškova i otpuštanje radne snage.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Današnje globalno tr</w:t>
      </w:r>
      <w:r w:rsidR="00E22BDD" w:rsidRPr="004E6412">
        <w:rPr>
          <w:rFonts w:ascii="Times New Roman" w:hAnsi="Times New Roman"/>
        </w:rPr>
        <w:t>žište obilježava izrazito visok</w:t>
      </w:r>
      <w:r w:rsidRPr="004E6412">
        <w:rPr>
          <w:rFonts w:ascii="Times New Roman" w:hAnsi="Times New Roman"/>
        </w:rPr>
        <w:t xml:space="preserve"> stupanj intenziteta konkurencije. Automobilska industrija bila je jedan od glavnih pokretača rasta u svim najrazvijenijim zem</w:t>
      </w:r>
      <w:r w:rsidR="00E22BDD" w:rsidRPr="004E6412">
        <w:rPr>
          <w:rFonts w:ascii="Times New Roman" w:hAnsi="Times New Roman"/>
        </w:rPr>
        <w:t>ljama u svijetu. Tijek</w:t>
      </w:r>
      <w:r w:rsidRPr="004E6412">
        <w:rPr>
          <w:rFonts w:ascii="Times New Roman" w:hAnsi="Times New Roman"/>
        </w:rPr>
        <w:t>om vremena rast i doprinos gospodarstvu ove djela</w:t>
      </w:r>
      <w:r w:rsidR="00E22BDD" w:rsidRPr="004E6412">
        <w:rPr>
          <w:rFonts w:ascii="Times New Roman" w:hAnsi="Times New Roman"/>
        </w:rPr>
        <w:t>tnosti u razvijenim zemljama su usporeni</w:t>
      </w:r>
      <w:r w:rsidRPr="004E6412">
        <w:rPr>
          <w:rFonts w:ascii="Times New Roman" w:hAnsi="Times New Roman"/>
        </w:rPr>
        <w:t xml:space="preserve"> te su veliki proizvođači usmjerili svoje proizvodne kapacitete blizu izvorima potražnje, prvenstveno u azijske zemlje u razvoju, odnosno Kinu i Indiju. Premještanje proizvodnih kapaciteta proizvelo </w:t>
      </w:r>
      <w:r w:rsidR="00E22BDD" w:rsidRPr="004E6412">
        <w:rPr>
          <w:rFonts w:ascii="Times New Roman" w:hAnsi="Times New Roman"/>
        </w:rPr>
        <w:t>je dodatne negativne posljedice</w:t>
      </w:r>
      <w:r w:rsidRPr="004E6412">
        <w:rPr>
          <w:rFonts w:ascii="Times New Roman" w:hAnsi="Times New Roman"/>
        </w:rPr>
        <w:t xml:space="preserve"> u razvijenim zapadnim zemljama, po pitanju zaposlenosti i </w:t>
      </w:r>
      <w:r w:rsidR="004823E2" w:rsidRPr="004E6412">
        <w:rPr>
          <w:rFonts w:ascii="Times New Roman" w:hAnsi="Times New Roman"/>
        </w:rPr>
        <w:t>ostvarivanja</w:t>
      </w:r>
      <w:r w:rsidR="00E22BDD" w:rsidRPr="004E6412">
        <w:rPr>
          <w:rFonts w:ascii="Times New Roman" w:hAnsi="Times New Roman"/>
        </w:rPr>
        <w:t xml:space="preserve"> višestrukih</w:t>
      </w:r>
      <w:r w:rsidRPr="004E6412">
        <w:rPr>
          <w:rFonts w:ascii="Times New Roman" w:hAnsi="Times New Roman"/>
        </w:rPr>
        <w:t xml:space="preserve"> učinaka na gospodarstvo.</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Premda postoje brojne dru</w:t>
      </w:r>
      <w:r w:rsidR="00E22BDD" w:rsidRPr="004E6412">
        <w:rPr>
          <w:rFonts w:ascii="Times New Roman" w:hAnsi="Times New Roman"/>
        </w:rPr>
        <w:t xml:space="preserve">ge vrste prijevoza, prijetnja zamjenjivanja </w:t>
      </w:r>
      <w:r w:rsidRPr="004E6412">
        <w:rPr>
          <w:rFonts w:ascii="Times New Roman" w:hAnsi="Times New Roman"/>
        </w:rPr>
        <w:t xml:space="preserve">relativno </w:t>
      </w:r>
      <w:r w:rsidR="00E22BDD" w:rsidRPr="004E6412">
        <w:rPr>
          <w:rFonts w:ascii="Times New Roman" w:hAnsi="Times New Roman"/>
        </w:rPr>
        <w:t xml:space="preserve">je </w:t>
      </w:r>
      <w:r w:rsidRPr="004E6412">
        <w:rPr>
          <w:rFonts w:ascii="Times New Roman" w:hAnsi="Times New Roman"/>
        </w:rPr>
        <w:t>slaba, budući</w:t>
      </w:r>
      <w:r w:rsidR="00E22BDD" w:rsidRPr="004E6412">
        <w:rPr>
          <w:rFonts w:ascii="Times New Roman" w:hAnsi="Times New Roman"/>
        </w:rPr>
        <w:t xml:space="preserve"> da svaki drugi oblik prijevoza</w:t>
      </w:r>
      <w:r w:rsidRPr="004E6412">
        <w:rPr>
          <w:rFonts w:ascii="Times New Roman" w:hAnsi="Times New Roman"/>
        </w:rPr>
        <w:t xml:space="preserve"> ima</w:t>
      </w:r>
      <w:r w:rsidR="00E22BDD" w:rsidRPr="004E6412">
        <w:rPr>
          <w:rFonts w:ascii="Times New Roman" w:hAnsi="Times New Roman"/>
        </w:rPr>
        <w:t xml:space="preserve"> znatno drugačija obilježja koja</w:t>
      </w:r>
      <w:r w:rsidRPr="004E6412">
        <w:rPr>
          <w:rFonts w:ascii="Times New Roman" w:hAnsi="Times New Roman"/>
        </w:rPr>
        <w:t xml:space="preserve"> pojedinci smatraj</w:t>
      </w:r>
      <w:r w:rsidR="00E22BDD" w:rsidRPr="004E6412">
        <w:rPr>
          <w:rFonts w:ascii="Times New Roman" w:hAnsi="Times New Roman"/>
        </w:rPr>
        <w:t>u bitnima. Trošak zamjene</w:t>
      </w:r>
      <w:r w:rsidRPr="004E6412">
        <w:rPr>
          <w:rFonts w:ascii="Times New Roman" w:hAnsi="Times New Roman"/>
        </w:rPr>
        <w:t xml:space="preserve"> izrazito </w:t>
      </w:r>
      <w:r w:rsidR="00E22BDD" w:rsidRPr="004E6412">
        <w:rPr>
          <w:rFonts w:ascii="Times New Roman" w:hAnsi="Times New Roman"/>
        </w:rPr>
        <w:t xml:space="preserve">je </w:t>
      </w:r>
      <w:r w:rsidRPr="004E6412">
        <w:rPr>
          <w:rFonts w:ascii="Times New Roman" w:hAnsi="Times New Roman"/>
        </w:rPr>
        <w:t xml:space="preserve">velik za pojedinca, </w:t>
      </w:r>
      <w:r w:rsidR="00E22BDD" w:rsidRPr="004E6412">
        <w:rPr>
          <w:rFonts w:ascii="Times New Roman" w:hAnsi="Times New Roman"/>
        </w:rPr>
        <w:t>ne toliko u novčanim jedinicama</w:t>
      </w:r>
      <w:r w:rsidRPr="004E6412">
        <w:rPr>
          <w:rFonts w:ascii="Times New Roman" w:hAnsi="Times New Roman"/>
        </w:rPr>
        <w:t xml:space="preserve"> koliko u terminima uštede vremena i udobnosti</w:t>
      </w:r>
      <w:r w:rsidR="00E22BDD" w:rsidRPr="004E6412">
        <w:rPr>
          <w:rFonts w:ascii="Times New Roman" w:hAnsi="Times New Roman"/>
        </w:rPr>
        <w:t>. Slaba mogućnost zamjene proizvoda pruža</w:t>
      </w:r>
      <w:r w:rsidRPr="004E6412">
        <w:rPr>
          <w:rFonts w:ascii="Times New Roman" w:hAnsi="Times New Roman"/>
        </w:rPr>
        <w:t xml:space="preserve"> globalnoj automobilskoj industriji snažnu konkurentsku prednost.</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Ograniče</w:t>
      </w:r>
      <w:r w:rsidR="00E22BDD" w:rsidRPr="004E6412">
        <w:rPr>
          <w:rFonts w:ascii="Times New Roman" w:hAnsi="Times New Roman"/>
        </w:rPr>
        <w:t xml:space="preserve">nja ulaska novih konkurenata </w:t>
      </w:r>
      <w:r w:rsidRPr="004E6412">
        <w:rPr>
          <w:rFonts w:ascii="Times New Roman" w:hAnsi="Times New Roman"/>
        </w:rPr>
        <w:t xml:space="preserve">značajna </w:t>
      </w:r>
      <w:r w:rsidR="00E22BDD" w:rsidRPr="004E6412">
        <w:rPr>
          <w:rFonts w:ascii="Times New Roman" w:hAnsi="Times New Roman"/>
        </w:rPr>
        <w:t xml:space="preserve">su </w:t>
      </w:r>
      <w:r w:rsidRPr="004E6412">
        <w:rPr>
          <w:rFonts w:ascii="Times New Roman" w:hAnsi="Times New Roman"/>
        </w:rPr>
        <w:t xml:space="preserve">jer </w:t>
      </w:r>
      <w:r w:rsidR="00E22BDD" w:rsidRPr="004E6412">
        <w:rPr>
          <w:rFonts w:ascii="Times New Roman" w:hAnsi="Times New Roman"/>
        </w:rPr>
        <w:t xml:space="preserve">se </w:t>
      </w:r>
      <w:r w:rsidRPr="004E6412">
        <w:rPr>
          <w:rFonts w:ascii="Times New Roman" w:hAnsi="Times New Roman"/>
        </w:rPr>
        <w:t xml:space="preserve">zahtijeva izrazito visoka kapitalna ulaganja. Budući da je proizvodnja specijalizirana, uloženi kapital ne bi se mogao </w:t>
      </w:r>
      <w:r w:rsidR="00E22BDD" w:rsidRPr="004E6412">
        <w:rPr>
          <w:rFonts w:ascii="Times New Roman" w:hAnsi="Times New Roman"/>
        </w:rPr>
        <w:t>o</w:t>
      </w:r>
      <w:r w:rsidRPr="004E6412">
        <w:rPr>
          <w:rFonts w:ascii="Times New Roman" w:hAnsi="Times New Roman"/>
        </w:rPr>
        <w:t>lako pren</w:t>
      </w:r>
      <w:r w:rsidR="00E22BDD" w:rsidRPr="004E6412">
        <w:rPr>
          <w:rFonts w:ascii="Times New Roman" w:hAnsi="Times New Roman"/>
        </w:rPr>
        <w:t xml:space="preserve">amijeniti za drugačije načine proizvodnje. </w:t>
      </w:r>
      <w:r w:rsidRPr="004E6412">
        <w:rPr>
          <w:rFonts w:ascii="Times New Roman" w:hAnsi="Times New Roman"/>
        </w:rPr>
        <w:t xml:space="preserve">Visoki rizici novih ulaganja povezani s nepoznavanjem stranih tržišta razlog su sve izraženijih strateških partnerstava među svjetskim proizvođačima automobila, kao i izraženim aktivnostima spajanja i pripajanja.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Moć dobavljača autodijelova naspram</w:t>
      </w:r>
      <w:r w:rsidR="00E22BDD" w:rsidRPr="004E6412">
        <w:rPr>
          <w:rFonts w:ascii="Times New Roman" w:hAnsi="Times New Roman"/>
        </w:rPr>
        <w:t xml:space="preserve"> moći proizvođača automobila </w:t>
      </w:r>
      <w:r w:rsidRPr="004E6412">
        <w:rPr>
          <w:rFonts w:ascii="Times New Roman" w:hAnsi="Times New Roman"/>
        </w:rPr>
        <w:t xml:space="preserve">relativno </w:t>
      </w:r>
      <w:r w:rsidR="00E22BDD" w:rsidRPr="004E6412">
        <w:rPr>
          <w:rFonts w:ascii="Times New Roman" w:hAnsi="Times New Roman"/>
        </w:rPr>
        <w:t>je mal</w:t>
      </w:r>
      <w:r w:rsidRPr="004E6412">
        <w:rPr>
          <w:rFonts w:ascii="Times New Roman" w:hAnsi="Times New Roman"/>
        </w:rPr>
        <w:t xml:space="preserve">a. Glavni razlozi leže u tome da su dijelovi za </w:t>
      </w:r>
      <w:r w:rsidR="00E22BDD" w:rsidRPr="004E6412">
        <w:rPr>
          <w:rFonts w:ascii="Times New Roman" w:hAnsi="Times New Roman"/>
        </w:rPr>
        <w:t>automobile usko specijalizirani</w:t>
      </w:r>
      <w:r w:rsidRPr="004E6412">
        <w:rPr>
          <w:rFonts w:ascii="Times New Roman" w:hAnsi="Times New Roman"/>
        </w:rPr>
        <w:t xml:space="preserve"> te se jednom kad su proizvedeni teško mogu prodati drugom ponuđaču. Proizvođači automobila stoga diktiraju zahtjeve proizvodnje autodijelova, neprekidno zahtij</w:t>
      </w:r>
      <w:r w:rsidR="00E22BDD" w:rsidRPr="004E6412">
        <w:rPr>
          <w:rFonts w:ascii="Times New Roman" w:hAnsi="Times New Roman"/>
        </w:rPr>
        <w:t>evajući više razine kvalitete i</w:t>
      </w:r>
      <w:r w:rsidRPr="004E6412">
        <w:rPr>
          <w:rFonts w:ascii="Times New Roman" w:hAnsi="Times New Roman"/>
        </w:rPr>
        <w:t xml:space="preserve"> niže prodajne cijene.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Kad je u pitanju odnos snaga između proizvođača automobila i krajnjeg kupca, krajnji kupci imaju relativno veću pregovaračku moć, bu</w:t>
      </w:r>
      <w:r w:rsidR="00E22BDD" w:rsidRPr="004E6412">
        <w:rPr>
          <w:rFonts w:ascii="Times New Roman" w:hAnsi="Times New Roman"/>
        </w:rPr>
        <w:t>dući da je trošak zamjenjivanja</w:t>
      </w:r>
      <w:r w:rsidRPr="004E6412">
        <w:rPr>
          <w:rFonts w:ascii="Times New Roman" w:hAnsi="Times New Roman"/>
        </w:rPr>
        <w:t xml:space="preserve"> među pojedinim markama automobila izrazito malen. Navedene okolnosti kao i intenzivna globalna konkurencija pritišću marže automobilskih proizvođača.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Usmjerenje na ekološki prihvatljive i energetski učinkovitije automobile uzelo je sve više maha među svjetskim proizvođačima, te je većina istraživačkih kapaciteta usmjerena na inovacije u ovom području. Takve aktivnosti iziskuju velike količine financijskih sredstava što u okolnostima u kojima se nalazi većina svjetskih proizvođača predstavlja dodatni teret </w:t>
      </w:r>
      <w:r w:rsidR="00337B92" w:rsidRPr="004E6412">
        <w:rPr>
          <w:rFonts w:ascii="Times New Roman" w:hAnsi="Times New Roman"/>
        </w:rPr>
        <w:t xml:space="preserve">samoj </w:t>
      </w:r>
      <w:r w:rsidRPr="004E6412">
        <w:rPr>
          <w:rFonts w:ascii="Times New Roman" w:hAnsi="Times New Roman"/>
        </w:rPr>
        <w:t>djelatnosti.</w:t>
      </w:r>
    </w:p>
    <w:p w:rsidR="001B41B0" w:rsidRPr="004E6412" w:rsidRDefault="001B41B0" w:rsidP="001B41B0">
      <w:pPr>
        <w:rPr>
          <w:szCs w:val="24"/>
        </w:rPr>
      </w:pPr>
    </w:p>
    <w:p w:rsidR="001B41B0" w:rsidRPr="004E6412" w:rsidRDefault="001B41B0" w:rsidP="00D001B9">
      <w:pPr>
        <w:pStyle w:val="Heading3"/>
      </w:pPr>
      <w:bookmarkStart w:id="899" w:name="_Toc366154326"/>
      <w:bookmarkStart w:id="900" w:name="_Toc366154446"/>
      <w:bookmarkStart w:id="901" w:name="_Toc366409993"/>
      <w:bookmarkStart w:id="902" w:name="_Toc372088064"/>
      <w:bookmarkStart w:id="903" w:name="_Toc378069125"/>
      <w:r w:rsidRPr="004E6412">
        <w:t>Trendovi razvoja u Europskoj uniji</w:t>
      </w:r>
      <w:bookmarkEnd w:id="899"/>
      <w:bookmarkEnd w:id="900"/>
      <w:bookmarkEnd w:id="901"/>
      <w:bookmarkEnd w:id="902"/>
      <w:bookmarkEnd w:id="903"/>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Europska unija dugo je bila jedan od lidera u proizvodnji motornih vozila i dijelova u svijetu. Razvoj ove djelatnosti bio je koncentriran u razvijenim zemljama, koje su imale dostatne količine kapitala koje su mogle uložiti u tehnološki razvoj i moderne sustave proizvodnje.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Suočena s problemima koji su zadesili djelatnost u razvijenim zemljama (zasićenost tržišta, nedostatak potražnje, visoki troško</w:t>
      </w:r>
      <w:r w:rsidR="004823E2" w:rsidRPr="004E6412">
        <w:rPr>
          <w:rFonts w:ascii="Times New Roman" w:hAnsi="Times New Roman"/>
        </w:rPr>
        <w:t>vi radne snage)</w:t>
      </w:r>
      <w:r w:rsidR="00337B92" w:rsidRPr="004E6412">
        <w:rPr>
          <w:rFonts w:ascii="Times New Roman" w:hAnsi="Times New Roman"/>
        </w:rPr>
        <w:t>,</w:t>
      </w:r>
      <w:r w:rsidR="004823E2" w:rsidRPr="004E6412">
        <w:rPr>
          <w:rFonts w:ascii="Times New Roman" w:hAnsi="Times New Roman"/>
        </w:rPr>
        <w:t xml:space="preserve"> proizvodnja se seli</w:t>
      </w:r>
      <w:r w:rsidRPr="004E6412">
        <w:rPr>
          <w:rFonts w:ascii="Times New Roman" w:hAnsi="Times New Roman"/>
        </w:rPr>
        <w:t xml:space="preserve"> u zemlje u razvoju (prvenstveno Kinu, Indiju i Brazil) u kojima su stope rasta znatno više nego u razvijenim zemljama, a troškovi proizvodnje niži. U isto vrijeme, primjetan je trend re</w:t>
      </w:r>
      <w:r w:rsidR="004823E2" w:rsidRPr="004E6412">
        <w:rPr>
          <w:rFonts w:ascii="Times New Roman" w:hAnsi="Times New Roman"/>
        </w:rPr>
        <w:t>a</w:t>
      </w:r>
      <w:r w:rsidRPr="004E6412">
        <w:rPr>
          <w:rFonts w:ascii="Times New Roman" w:hAnsi="Times New Roman"/>
        </w:rPr>
        <w:t>lokacije proizvodnih kapaciteta u zemlje jugoistočne Europe od strane najznačajnijih proizvođača.</w:t>
      </w:r>
    </w:p>
    <w:p w:rsidR="001B41B0" w:rsidRPr="004E6412" w:rsidRDefault="001B41B0" w:rsidP="001B41B0">
      <w:pPr>
        <w:rPr>
          <w:sz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Europska komisija nastoji aktivnim politikama osnažiti automobilsku industriju, budući da je od velikog</w:t>
      </w:r>
      <w:r w:rsidR="00337B92" w:rsidRPr="004E6412">
        <w:rPr>
          <w:rFonts w:ascii="Times New Roman" w:hAnsi="Times New Roman"/>
        </w:rPr>
        <w:t>a</w:t>
      </w:r>
      <w:r w:rsidRPr="004E6412">
        <w:rPr>
          <w:rFonts w:ascii="Times New Roman" w:hAnsi="Times New Roman"/>
        </w:rPr>
        <w:t xml:space="preserve"> gospodarskog</w:t>
      </w:r>
      <w:r w:rsidR="00337B92" w:rsidRPr="004E6412">
        <w:rPr>
          <w:rFonts w:ascii="Times New Roman" w:hAnsi="Times New Roman"/>
        </w:rPr>
        <w:t>a značaja za zemlje Unije. Usmjerenost</w:t>
      </w:r>
      <w:r w:rsidRPr="004E6412">
        <w:rPr>
          <w:rFonts w:ascii="Times New Roman" w:hAnsi="Times New Roman"/>
        </w:rPr>
        <w:t xml:space="preserve"> je na dugoročnoj stabilizaciji proizvodnje i profitabilnom rastu.  </w:t>
      </w:r>
    </w:p>
    <w:p w:rsidR="001B41B0" w:rsidRPr="004E6412" w:rsidRDefault="001B41B0" w:rsidP="001B41B0">
      <w:pPr>
        <w:autoSpaceDE w:val="0"/>
        <w:autoSpaceDN w:val="0"/>
        <w:adjustRightInd w:val="0"/>
        <w:spacing w:line="240" w:lineRule="auto"/>
        <w:rPr>
          <w:color w:val="000000"/>
          <w:sz w:val="22"/>
        </w:rPr>
      </w:pPr>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Automobilska industrija najjače je razvijena u Njemačkoj, koja je samostalno i globalno </w:t>
      </w:r>
      <w:r w:rsidR="00337B92" w:rsidRPr="004E6412">
        <w:rPr>
          <w:rFonts w:ascii="Times New Roman" w:hAnsi="Times New Roman" w:cs="Times New Roman"/>
          <w:sz w:val="22"/>
          <w:szCs w:val="22"/>
        </w:rPr>
        <w:t>jedan od lidera. Nakon Njemačke</w:t>
      </w:r>
      <w:r w:rsidRPr="004E6412">
        <w:rPr>
          <w:rFonts w:ascii="Times New Roman" w:hAnsi="Times New Roman" w:cs="Times New Roman"/>
          <w:sz w:val="22"/>
          <w:szCs w:val="22"/>
        </w:rPr>
        <w:t xml:space="preserve"> snažne automobilske industrije razvijene su u</w:t>
      </w:r>
      <w:r w:rsidR="00337B92" w:rsidRPr="004E6412">
        <w:rPr>
          <w:rFonts w:ascii="Times New Roman" w:hAnsi="Times New Roman" w:cs="Times New Roman"/>
          <w:sz w:val="22"/>
          <w:szCs w:val="22"/>
        </w:rPr>
        <w:t xml:space="preserve"> Francuskoj, Italiji i Švedskoj</w:t>
      </w:r>
      <w:r w:rsidRPr="004E6412">
        <w:rPr>
          <w:rFonts w:ascii="Times New Roman" w:hAnsi="Times New Roman" w:cs="Times New Roman"/>
          <w:sz w:val="22"/>
          <w:szCs w:val="22"/>
        </w:rPr>
        <w:t xml:space="preserve"> te u Velikoj Britaniji.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Važnost automobilske industrije EU</w:t>
      </w:r>
      <w:r w:rsidR="00337B92" w:rsidRPr="004E6412">
        <w:rPr>
          <w:rFonts w:ascii="Times New Roman" w:hAnsi="Times New Roman"/>
        </w:rPr>
        <w:t>-a</w:t>
      </w:r>
      <w:r w:rsidRPr="004E6412">
        <w:rPr>
          <w:rFonts w:ascii="Times New Roman" w:hAnsi="Times New Roman"/>
        </w:rPr>
        <w:t xml:space="preserve"> izrazito je značajna i zbog sudjelovanja u međunarodnoj razmjeni</w:t>
      </w:r>
      <w:r w:rsidR="00337B92" w:rsidRPr="004E6412">
        <w:rPr>
          <w:rFonts w:ascii="Times New Roman" w:hAnsi="Times New Roman"/>
        </w:rPr>
        <w:t xml:space="preserve">. Tako je Europska unija na samome vrhu </w:t>
      </w:r>
      <w:r w:rsidRPr="004E6412">
        <w:rPr>
          <w:rFonts w:ascii="Times New Roman" w:hAnsi="Times New Roman"/>
        </w:rPr>
        <w:t>u izvozu automobila i automobilske opreme među svim svjetskim regijama, a međunarodnom razmjenom ostvaruje značajan trgovinski suficit.</w:t>
      </w:r>
    </w:p>
    <w:p w:rsidR="001B41B0" w:rsidRPr="004E6412" w:rsidRDefault="001B41B0" w:rsidP="001B41B0">
      <w:pPr>
        <w:rPr>
          <w:szCs w:val="24"/>
        </w:rPr>
      </w:pPr>
    </w:p>
    <w:p w:rsidR="001B41B0" w:rsidRPr="004E6412" w:rsidRDefault="001B41B0" w:rsidP="00D001B9">
      <w:pPr>
        <w:pStyle w:val="Heading3"/>
      </w:pPr>
      <w:bookmarkStart w:id="904" w:name="_Toc366154327"/>
      <w:bookmarkStart w:id="905" w:name="_Toc366154447"/>
      <w:bookmarkStart w:id="906" w:name="_Toc366409994"/>
      <w:bookmarkStart w:id="907" w:name="_Toc372088065"/>
      <w:bookmarkStart w:id="908" w:name="_Toc378069126"/>
      <w:r w:rsidRPr="004E6412">
        <w:t>Stanje i perspektive razvoja u Republici Hrvatskoj</w:t>
      </w:r>
      <w:bookmarkEnd w:id="904"/>
      <w:bookmarkEnd w:id="905"/>
      <w:bookmarkEnd w:id="906"/>
      <w:bookmarkEnd w:id="907"/>
      <w:bookmarkEnd w:id="908"/>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 razdoblju 2010.</w:t>
      </w:r>
      <w:r w:rsidR="00337B92" w:rsidRPr="004E6412">
        <w:rPr>
          <w:rFonts w:ascii="Times New Roman" w:hAnsi="Times New Roman"/>
        </w:rPr>
        <w:t xml:space="preserve"> – </w:t>
      </w:r>
      <w:r w:rsidRPr="004E6412">
        <w:rPr>
          <w:rFonts w:ascii="Times New Roman" w:hAnsi="Times New Roman"/>
        </w:rPr>
        <w:t>2012</w:t>
      </w:r>
      <w:r w:rsidR="00337B92" w:rsidRPr="004E6412">
        <w:rPr>
          <w:rFonts w:ascii="Times New Roman" w:hAnsi="Times New Roman"/>
        </w:rPr>
        <w:t>.</w:t>
      </w:r>
      <w:r w:rsidRPr="004E6412">
        <w:rPr>
          <w:rFonts w:ascii="Times New Roman" w:hAnsi="Times New Roman"/>
        </w:rPr>
        <w:t xml:space="preserve"> u djelatnosti proizvodnje motornih vozila, prikolica i polupri</w:t>
      </w:r>
      <w:r w:rsidR="00337B92" w:rsidRPr="004E6412">
        <w:rPr>
          <w:rFonts w:ascii="Times New Roman" w:hAnsi="Times New Roman"/>
        </w:rPr>
        <w:t>kolica, vidljivo je stalno</w:t>
      </w:r>
      <w:r w:rsidRPr="004E6412">
        <w:rPr>
          <w:rFonts w:ascii="Times New Roman" w:hAnsi="Times New Roman"/>
        </w:rPr>
        <w:t xml:space="preserve"> opadanje broja zaposlenika u iznosu od 3,16%. Ukupna djel</w:t>
      </w:r>
      <w:r w:rsidR="00337B92" w:rsidRPr="004E6412">
        <w:rPr>
          <w:rFonts w:ascii="Times New Roman" w:hAnsi="Times New Roman"/>
        </w:rPr>
        <w:t>atnost u 2012. broji 81 poduzeće</w:t>
      </w:r>
      <w:r w:rsidRPr="004E6412">
        <w:rPr>
          <w:rFonts w:ascii="Times New Roman" w:hAnsi="Times New Roman"/>
        </w:rPr>
        <w:t>, od kojih se najveći broj n</w:t>
      </w:r>
      <w:r w:rsidR="00337B92" w:rsidRPr="004E6412">
        <w:rPr>
          <w:rFonts w:ascii="Times New Roman" w:hAnsi="Times New Roman"/>
        </w:rPr>
        <w:t xml:space="preserve">alazi u poddjelatnosti  C29.3 </w:t>
      </w:r>
      <w:r w:rsidRPr="004E6412">
        <w:rPr>
          <w:rFonts w:ascii="Times New Roman" w:hAnsi="Times New Roman"/>
        </w:rPr>
        <w:t>Proizvodnja dijelova i pribora za motorna vozila. Tri najveća poduzeća, prema ukupnom</w:t>
      </w:r>
      <w:r w:rsidR="00337B92" w:rsidRPr="004E6412">
        <w:rPr>
          <w:rFonts w:ascii="Times New Roman" w:hAnsi="Times New Roman"/>
        </w:rPr>
        <w:t>e</w:t>
      </w:r>
      <w:r w:rsidRPr="004E6412">
        <w:rPr>
          <w:rFonts w:ascii="Times New Roman" w:hAnsi="Times New Roman"/>
        </w:rPr>
        <w:t xml:space="preserve"> prihodu, u potpunosti </w:t>
      </w:r>
      <w:r w:rsidR="002D15BE" w:rsidRPr="004E6412">
        <w:rPr>
          <w:rFonts w:ascii="Times New Roman" w:hAnsi="Times New Roman"/>
        </w:rPr>
        <w:lastRenderedPageBreak/>
        <w:t>prevladavaju nad ostatkom</w:t>
      </w:r>
      <w:r w:rsidRPr="004E6412">
        <w:rPr>
          <w:rFonts w:ascii="Times New Roman" w:hAnsi="Times New Roman"/>
        </w:rPr>
        <w:t xml:space="preserve"> od 81 poduzeća. Radi se o </w:t>
      </w:r>
      <w:r w:rsidR="00337B92" w:rsidRPr="004E6412">
        <w:rPr>
          <w:rFonts w:ascii="Times New Roman" w:hAnsi="Times New Roman"/>
        </w:rPr>
        <w:t xml:space="preserve">poduzećima </w:t>
      </w:r>
      <w:r w:rsidRPr="004E6412">
        <w:rPr>
          <w:rFonts w:ascii="Times New Roman" w:hAnsi="Times New Roman"/>
        </w:rPr>
        <w:t>Đuro Đaković specijalna vozila d.d., AD plastik d.d. i P.P.C. Buzet d.o.o. Prema strukturi k</w:t>
      </w:r>
      <w:r w:rsidR="00337B92" w:rsidRPr="004E6412">
        <w:rPr>
          <w:rFonts w:ascii="Times New Roman" w:hAnsi="Times New Roman"/>
        </w:rPr>
        <w:t>apitala, 67,27% je inozemnoga porijek</w:t>
      </w:r>
      <w:r w:rsidRPr="004E6412">
        <w:rPr>
          <w:rFonts w:ascii="Times New Roman" w:hAnsi="Times New Roman"/>
        </w:rPr>
        <w:t>la, a 32,73% domaćeg podrijetla.</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Ukupna aktiva (pasiva) djelatnosti ostvarila je blago povećanje </w:t>
      </w:r>
      <w:r w:rsidR="00337B92" w:rsidRPr="004E6412">
        <w:rPr>
          <w:rFonts w:ascii="Times New Roman" w:hAnsi="Times New Roman"/>
        </w:rPr>
        <w:t xml:space="preserve">u razdoblju </w:t>
      </w:r>
      <w:r w:rsidRPr="004E6412">
        <w:rPr>
          <w:rFonts w:ascii="Times New Roman" w:hAnsi="Times New Roman"/>
        </w:rPr>
        <w:t>2010.</w:t>
      </w:r>
      <w:r w:rsidR="00337B92" w:rsidRPr="004E6412">
        <w:rPr>
          <w:rFonts w:ascii="Times New Roman" w:hAnsi="Times New Roman"/>
        </w:rPr>
        <w:t xml:space="preserve"> – </w:t>
      </w:r>
      <w:r w:rsidRPr="004E6412">
        <w:rPr>
          <w:rFonts w:ascii="Times New Roman" w:hAnsi="Times New Roman"/>
        </w:rPr>
        <w:t>2012. za 0,76%. Dugotr</w:t>
      </w:r>
      <w:r w:rsidR="00337B92" w:rsidRPr="004E6412">
        <w:rPr>
          <w:rFonts w:ascii="Times New Roman" w:hAnsi="Times New Roman"/>
        </w:rPr>
        <w:t xml:space="preserve">ajna imovina </w:t>
      </w:r>
      <w:r w:rsidRPr="004E6412">
        <w:rPr>
          <w:rFonts w:ascii="Times New Roman" w:hAnsi="Times New Roman"/>
        </w:rPr>
        <w:t xml:space="preserve">ponešto </w:t>
      </w:r>
      <w:r w:rsidR="00337B92" w:rsidRPr="004E6412">
        <w:rPr>
          <w:rFonts w:ascii="Times New Roman" w:hAnsi="Times New Roman"/>
        </w:rPr>
        <w:t xml:space="preserve">je </w:t>
      </w:r>
      <w:r w:rsidRPr="004E6412">
        <w:rPr>
          <w:rFonts w:ascii="Times New Roman" w:hAnsi="Times New Roman"/>
        </w:rPr>
        <w:t>povećana, a kratkotrajna smanjena, no u objema nisu zabilježene značajnije promjene. Omjer dugot</w:t>
      </w:r>
      <w:r w:rsidR="00337B92" w:rsidRPr="004E6412">
        <w:rPr>
          <w:rFonts w:ascii="Times New Roman" w:hAnsi="Times New Roman"/>
        </w:rPr>
        <w:t xml:space="preserve">rajne i kratkotrajne imovine </w:t>
      </w:r>
      <w:r w:rsidRPr="004E6412">
        <w:rPr>
          <w:rFonts w:ascii="Times New Roman" w:hAnsi="Times New Roman"/>
        </w:rPr>
        <w:t xml:space="preserve">kroz godine </w:t>
      </w:r>
      <w:r w:rsidR="00337B92" w:rsidRPr="004E6412">
        <w:rPr>
          <w:rFonts w:ascii="Times New Roman" w:hAnsi="Times New Roman"/>
        </w:rPr>
        <w:t>je bio približno 56:</w:t>
      </w:r>
      <w:r w:rsidRPr="004E6412">
        <w:rPr>
          <w:rFonts w:ascii="Times New Roman" w:hAnsi="Times New Roman"/>
        </w:rPr>
        <w:t xml:space="preserve">44 u korist dugotrajne imovine. Struktura pasive otkriva veliku izloženost po kratkoročnim obvezama koje su u 2012. činile 45,59% ukupne pasive. Slijedi ih vrijednost kapitala i rezervi s udjelom od 32,65% (2012.) i dugoročne obveze s najmanjim udjelom od 20,79%. Ukupno </w:t>
      </w:r>
      <w:r w:rsidR="00337B92" w:rsidRPr="004E6412">
        <w:rPr>
          <w:rFonts w:ascii="Times New Roman" w:hAnsi="Times New Roman"/>
        </w:rPr>
        <w:t>gledajući prema strukturi duga</w:t>
      </w:r>
      <w:r w:rsidRPr="004E6412">
        <w:rPr>
          <w:rFonts w:ascii="Times New Roman" w:hAnsi="Times New Roman"/>
        </w:rPr>
        <w:t xml:space="preserve"> može se zaključiti kako se dugotrajna (proizvodna) imovina većim dijelom financirala kapitalom nego dugoročnim financijskim dugom.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Uvidom u račun dobiti i gubitka djelatnosti odmah se ističe vrlo visoka stopa rasta ukupnih prihoda i rashoda, odnosno vidljivo je veliko povećanje poslovne aktivnosti ove djelatnosti u tri promatrane godine (2010.</w:t>
      </w:r>
      <w:r w:rsidR="002D15BE" w:rsidRPr="004E6412">
        <w:rPr>
          <w:rFonts w:ascii="Times New Roman" w:hAnsi="Times New Roman"/>
        </w:rPr>
        <w:t xml:space="preserve"> – </w:t>
      </w:r>
      <w:r w:rsidRPr="004E6412">
        <w:rPr>
          <w:rFonts w:ascii="Times New Roman" w:hAnsi="Times New Roman"/>
        </w:rPr>
        <w:t>2012.). Od negativnog</w:t>
      </w:r>
      <w:r w:rsidR="002D15BE" w:rsidRPr="004E6412">
        <w:rPr>
          <w:rFonts w:ascii="Times New Roman" w:hAnsi="Times New Roman"/>
        </w:rPr>
        <w:t>a</w:t>
      </w:r>
      <w:r w:rsidRPr="004E6412">
        <w:rPr>
          <w:rFonts w:ascii="Times New Roman" w:hAnsi="Times New Roman"/>
        </w:rPr>
        <w:t xml:space="preserve"> neto poslovnog rezultata iz 2010. ova je djelatnost dvije godine kasnije ostvarila pozitivan neto poslovni rezultat.</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Profitabilnost djelatnosti je od negativnih vrijednosti iz 2010. naglo povećana u 2011., da bi godinu kasnije i dalje bila pozitivna, ali s mnogo nižim vrijednostima. Povećanje obujma poslovanja dolazi do izražaja i u promatranim pokazateljima ukupnog</w:t>
      </w:r>
      <w:r w:rsidR="002D15BE" w:rsidRPr="004E6412">
        <w:rPr>
          <w:rFonts w:ascii="Times New Roman" w:hAnsi="Times New Roman"/>
        </w:rPr>
        <w:t>a</w:t>
      </w:r>
      <w:r w:rsidRPr="004E6412">
        <w:rPr>
          <w:rFonts w:ascii="Times New Roman" w:hAnsi="Times New Roman"/>
        </w:rPr>
        <w:t xml:space="preserve"> prihoda po zaposlenom</w:t>
      </w:r>
      <w:r w:rsidR="002D15BE" w:rsidRPr="004E6412">
        <w:rPr>
          <w:rFonts w:ascii="Times New Roman" w:hAnsi="Times New Roman"/>
        </w:rPr>
        <w:t>e</w:t>
      </w:r>
      <w:r w:rsidRPr="004E6412">
        <w:rPr>
          <w:rFonts w:ascii="Times New Roman" w:hAnsi="Times New Roman"/>
        </w:rPr>
        <w:t>, dobiti po zaposlenom</w:t>
      </w:r>
      <w:r w:rsidR="002D15BE" w:rsidRPr="004E6412">
        <w:rPr>
          <w:rFonts w:ascii="Times New Roman" w:hAnsi="Times New Roman"/>
        </w:rPr>
        <w:t>e</w:t>
      </w:r>
      <w:r w:rsidRPr="004E6412">
        <w:rPr>
          <w:rFonts w:ascii="Times New Roman" w:hAnsi="Times New Roman"/>
        </w:rPr>
        <w:t xml:space="preserve"> i gubitka po zaposlenom</w:t>
      </w:r>
      <w:r w:rsidR="002D15BE" w:rsidRPr="004E6412">
        <w:rPr>
          <w:rFonts w:ascii="Times New Roman" w:hAnsi="Times New Roman"/>
        </w:rPr>
        <w:t>e</w:t>
      </w:r>
      <w:r w:rsidRPr="004E6412">
        <w:rPr>
          <w:rFonts w:ascii="Times New Roman" w:hAnsi="Times New Roman"/>
        </w:rPr>
        <w:t>. Jedinični trošak rada je</w:t>
      </w:r>
      <w:r w:rsidR="002D15BE" w:rsidRPr="004E6412">
        <w:rPr>
          <w:rFonts w:ascii="Times New Roman" w:hAnsi="Times New Roman"/>
        </w:rPr>
        <w:t xml:space="preserve"> istovremeno smanjen na 0,60 kuna. Učinkovitost radne snage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porasla, što je jedan od preduvjeta daljnjeg rasta profitabilnosti</w:t>
      </w:r>
      <w:r w:rsidR="002D15BE" w:rsidRPr="004E6412">
        <w:rPr>
          <w:rFonts w:ascii="Times New Roman" w:hAnsi="Times New Roman"/>
        </w:rPr>
        <w:t>. Na razini poddjelatnosti ni</w:t>
      </w:r>
      <w:r w:rsidRPr="004E6412">
        <w:rPr>
          <w:rFonts w:ascii="Times New Roman" w:hAnsi="Times New Roman"/>
        </w:rPr>
        <w:t>jedna ne ostvaruje visoke profitne stope.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Za razliku od prihoda, rashoda i profitabilnosti, promjena vrijednosti trgovinske bilance ove djelatnosti nije bila povoljna. Izvoz je u promatranom</w:t>
      </w:r>
      <w:r w:rsidR="002D15BE" w:rsidRPr="004E6412">
        <w:rPr>
          <w:rFonts w:ascii="Times New Roman" w:hAnsi="Times New Roman"/>
        </w:rPr>
        <w:t>e</w:t>
      </w:r>
      <w:r w:rsidRPr="004E6412">
        <w:rPr>
          <w:rFonts w:ascii="Times New Roman" w:hAnsi="Times New Roman"/>
        </w:rPr>
        <w:t xml:space="preserve"> razdoblju povećan i to za 12,84% te iskazuje trend rasta. Udio izvoza u ukupnom </w:t>
      </w:r>
      <w:r w:rsidR="002D15BE" w:rsidRPr="004E6412">
        <w:rPr>
          <w:rFonts w:ascii="Times New Roman" w:hAnsi="Times New Roman"/>
        </w:rPr>
        <w:t xml:space="preserve">je prihodu </w:t>
      </w:r>
      <w:r w:rsidRPr="004E6412">
        <w:rPr>
          <w:rFonts w:ascii="Times New Roman" w:hAnsi="Times New Roman"/>
        </w:rPr>
        <w:t>smanjen, dok je udio uvoza u ukupnom</w:t>
      </w:r>
      <w:r w:rsidR="002D15BE" w:rsidRPr="004E6412">
        <w:rPr>
          <w:rFonts w:ascii="Times New Roman" w:hAnsi="Times New Roman"/>
        </w:rPr>
        <w:t>e</w:t>
      </w:r>
      <w:r w:rsidRPr="004E6412">
        <w:rPr>
          <w:rFonts w:ascii="Times New Roman" w:hAnsi="Times New Roman"/>
        </w:rPr>
        <w:t xml:space="preserve"> prihodu povećan u promatrane tri godine.</w:t>
      </w:r>
      <w:r w:rsidR="002D15BE" w:rsidRPr="004E6412">
        <w:rPr>
          <w:rFonts w:ascii="Times New Roman" w:hAnsi="Times New Roman"/>
        </w:rPr>
        <w:t xml:space="preserve"> Najveća poddjelatnost, C29.3 </w:t>
      </w:r>
      <w:r w:rsidRPr="004E6412">
        <w:rPr>
          <w:rFonts w:ascii="Times New Roman" w:hAnsi="Times New Roman"/>
        </w:rPr>
        <w:t>Proizvodnja dijelova i pribora za motorna vozila činila je 79,39% ukupnog izvoza i 49,16% ukupnog uvoza djelatnosti, te je izuzetno okrenuta prema trgovini s inozemstvom. Izvoz se u promatrane tri godine povećao</w:t>
      </w:r>
      <w:r w:rsidR="002D15BE" w:rsidRPr="004E6412">
        <w:rPr>
          <w:rFonts w:ascii="Times New Roman" w:hAnsi="Times New Roman"/>
        </w:rPr>
        <w:t xml:space="preserve"> za 12,84% na 1,21 milijardu kuna</w:t>
      </w:r>
      <w:r w:rsidRPr="004E6412">
        <w:rPr>
          <w:rFonts w:ascii="Times New Roman" w:hAnsi="Times New Roman"/>
        </w:rPr>
        <w:t>, dok se uvoz povećao</w:t>
      </w:r>
      <w:r w:rsidR="002D15BE" w:rsidRPr="004E6412">
        <w:rPr>
          <w:rFonts w:ascii="Times New Roman" w:hAnsi="Times New Roman"/>
        </w:rPr>
        <w:t xml:space="preserve"> za 56,44% na 1,18 milijardi kuna. Neto izvoz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smanjen</w:t>
      </w:r>
      <w:r w:rsidR="002D15BE" w:rsidRPr="004E6412">
        <w:rPr>
          <w:rFonts w:ascii="Times New Roman" w:hAnsi="Times New Roman"/>
        </w:rPr>
        <w:t xml:space="preserve"> u razdoblju</w:t>
      </w:r>
      <w:r w:rsidRPr="004E6412">
        <w:rPr>
          <w:rFonts w:ascii="Times New Roman" w:hAnsi="Times New Roman"/>
        </w:rPr>
        <w:t xml:space="preserve">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w:t>
      </w:r>
      <w:r w:rsidRPr="004E6412">
        <w:rPr>
          <w:rFonts w:ascii="Times New Roman" w:hAnsi="Times New Roman"/>
        </w:rPr>
        <w:t xml:space="preserve"> i to za 89,63%. Proizvodnost rada </w:t>
      </w:r>
      <w:r w:rsidR="001152C0" w:rsidRPr="004E6412">
        <w:rPr>
          <w:rFonts w:ascii="Times New Roman" w:hAnsi="Times New Roman"/>
        </w:rPr>
        <w:t>djelatnosti raste, s time da je u 2011. ostvaren nagli rast da bi došlo do smanjenja proizvodnosti u 2012. Unatoč tome, proizvod</w:t>
      </w:r>
      <w:r w:rsidR="00221960" w:rsidRPr="004E6412">
        <w:rPr>
          <w:rFonts w:ascii="Times New Roman" w:hAnsi="Times New Roman"/>
        </w:rPr>
        <w:t>nost rada je od 2010. do 2012. p</w:t>
      </w:r>
      <w:r w:rsidR="001152C0" w:rsidRPr="004E6412">
        <w:rPr>
          <w:rFonts w:ascii="Times New Roman" w:hAnsi="Times New Roman"/>
        </w:rPr>
        <w:t xml:space="preserve">ovećana za 8,67%. </w:t>
      </w:r>
      <w:r w:rsidR="002D15BE" w:rsidRPr="004E6412">
        <w:rPr>
          <w:rFonts w:ascii="Times New Roman" w:hAnsi="Times New Roman"/>
        </w:rPr>
        <w:t>Proizvodnost kapitala</w:t>
      </w:r>
      <w:r w:rsidRPr="004E6412">
        <w:rPr>
          <w:rFonts w:ascii="Times New Roman" w:hAnsi="Times New Roman"/>
        </w:rPr>
        <w:t xml:space="preserve"> također </w:t>
      </w:r>
      <w:r w:rsidR="002D15BE" w:rsidRPr="004E6412">
        <w:rPr>
          <w:rFonts w:ascii="Times New Roman" w:hAnsi="Times New Roman"/>
        </w:rPr>
        <w:t xml:space="preserve">je </w:t>
      </w:r>
      <w:r w:rsidRPr="004E6412">
        <w:rPr>
          <w:rFonts w:ascii="Times New Roman" w:hAnsi="Times New Roman"/>
        </w:rPr>
        <w:t>znatno povećana u promatranom</w:t>
      </w:r>
      <w:r w:rsidR="002D15BE" w:rsidRPr="004E6412">
        <w:rPr>
          <w:rFonts w:ascii="Times New Roman" w:hAnsi="Times New Roman"/>
        </w:rPr>
        <w:t>e</w:t>
      </w:r>
      <w:r w:rsidRPr="004E6412">
        <w:rPr>
          <w:rFonts w:ascii="Times New Roman" w:hAnsi="Times New Roman"/>
        </w:rPr>
        <w:t xml:space="preserve"> razdoblju</w:t>
      </w:r>
      <w:r w:rsidR="001152C0" w:rsidRPr="004E6412">
        <w:rPr>
          <w:rFonts w:ascii="Times New Roman" w:hAnsi="Times New Roman"/>
        </w:rPr>
        <w:t xml:space="preserve"> (4,64%), a </w:t>
      </w:r>
      <w:r w:rsidR="004823E2" w:rsidRPr="004E6412">
        <w:rPr>
          <w:rFonts w:ascii="Times New Roman" w:hAnsi="Times New Roman"/>
        </w:rPr>
        <w:t>najveća</w:t>
      </w:r>
      <w:r w:rsidR="002D15BE" w:rsidRPr="004E6412">
        <w:rPr>
          <w:rFonts w:ascii="Times New Roman" w:hAnsi="Times New Roman"/>
        </w:rPr>
        <w:t xml:space="preserve"> proizvodnost </w:t>
      </w:r>
      <w:r w:rsidR="001152C0" w:rsidRPr="004E6412">
        <w:rPr>
          <w:rFonts w:ascii="Times New Roman" w:hAnsi="Times New Roman"/>
        </w:rPr>
        <w:t xml:space="preserve">zabilježena </w:t>
      </w:r>
      <w:r w:rsidR="002D15BE" w:rsidRPr="004E6412">
        <w:rPr>
          <w:rFonts w:ascii="Times New Roman" w:hAnsi="Times New Roman"/>
        </w:rPr>
        <w:t xml:space="preserve">je </w:t>
      </w:r>
      <w:r w:rsidR="001152C0" w:rsidRPr="004E6412">
        <w:rPr>
          <w:rFonts w:ascii="Times New Roman" w:hAnsi="Times New Roman"/>
        </w:rPr>
        <w:t>u 2011.</w:t>
      </w:r>
      <w:r w:rsidR="002D15BE" w:rsidRPr="004E6412">
        <w:rPr>
          <w:rFonts w:ascii="Times New Roman" w:hAnsi="Times New Roman"/>
        </w:rPr>
        <w:t xml:space="preserve"> godini kada</w:t>
      </w:r>
      <w:r w:rsidR="001152C0" w:rsidRPr="004E6412">
        <w:rPr>
          <w:rFonts w:ascii="Times New Roman" w:hAnsi="Times New Roman"/>
        </w:rPr>
        <w:t xml:space="preserve"> je ostvarena vrlo visoka bruto dodana vrijednost</w:t>
      </w:r>
      <w:r w:rsidRPr="004E6412">
        <w:rPr>
          <w:rFonts w:ascii="Times New Roman" w:hAnsi="Times New Roman"/>
        </w:rPr>
        <w:t>. Vrijednost fi</w:t>
      </w:r>
      <w:r w:rsidR="002D15BE" w:rsidRPr="004E6412">
        <w:rPr>
          <w:rFonts w:ascii="Times New Roman" w:hAnsi="Times New Roman"/>
        </w:rPr>
        <w:t xml:space="preserve">ksnog (proizvodnog) kapitala </w:t>
      </w:r>
      <w:r w:rsidRPr="004E6412">
        <w:rPr>
          <w:rFonts w:ascii="Times New Roman" w:hAnsi="Times New Roman"/>
        </w:rPr>
        <w:t xml:space="preserve">ostala </w:t>
      </w:r>
      <w:r w:rsidR="002D15BE" w:rsidRPr="004E6412">
        <w:rPr>
          <w:rFonts w:ascii="Times New Roman" w:hAnsi="Times New Roman"/>
        </w:rPr>
        <w:t xml:space="preserve">je </w:t>
      </w:r>
      <w:r w:rsidRPr="004E6412">
        <w:rPr>
          <w:rFonts w:ascii="Times New Roman" w:hAnsi="Times New Roman"/>
        </w:rPr>
        <w:t>gotovo neprom</w:t>
      </w:r>
      <w:r w:rsidR="002D15BE" w:rsidRPr="004E6412">
        <w:rPr>
          <w:rFonts w:ascii="Times New Roman" w:hAnsi="Times New Roman"/>
        </w:rPr>
        <w:t>ijenjena, ali su prihodi porasli</w:t>
      </w:r>
      <w:r w:rsidRPr="004E6412">
        <w:rPr>
          <w:rFonts w:ascii="Times New Roman" w:hAnsi="Times New Roman"/>
        </w:rPr>
        <w:t xml:space="preserve"> za skoro 40%.</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Udio ulaganja u istraživanje i razvoj promatrane djelatnosti u ukupnim ulaganjima u istraživanje </w:t>
      </w:r>
      <w:r w:rsidR="002D15BE" w:rsidRPr="004E6412">
        <w:rPr>
          <w:rFonts w:ascii="Times New Roman" w:hAnsi="Times New Roman"/>
        </w:rPr>
        <w:t xml:space="preserve">i </w:t>
      </w:r>
      <w:r w:rsidRPr="004E6412">
        <w:rPr>
          <w:rFonts w:ascii="Times New Roman" w:hAnsi="Times New Roman"/>
        </w:rPr>
        <w:t>razvoj cjelokupne prerađivačke industrije iznosi 11,18%. Odnos ulaganja u istraživanje i razvoj i bruto dodane vrijednosti prerađivačke industrije čini 0,11%. Navedeni podaci odnose se na 2010. zbog toga što podaci o ulaganjima u istraživanje i razvoj nakon 2010. nisu bili dostupni u trenutku izrade analize.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lastRenderedPageBreak/>
        <w:t>Likvidnost o</w:t>
      </w:r>
      <w:r w:rsidR="002D15BE" w:rsidRPr="004E6412">
        <w:rPr>
          <w:rFonts w:ascii="Times New Roman" w:hAnsi="Times New Roman"/>
        </w:rPr>
        <w:t xml:space="preserve">ve djelatnosti je niska. Ni u </w:t>
      </w:r>
      <w:r w:rsidRPr="004E6412">
        <w:rPr>
          <w:rFonts w:ascii="Times New Roman" w:hAnsi="Times New Roman"/>
        </w:rPr>
        <w:t>jednoj promatranoj godini ova djelatnost nije imala dovoljno kratkotrajne imovine da pokrije kratkoročne obveze.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Koeficijent zaduženosti, koji u omjer stavlja ukupne obveze i ukupnu imovinu, pokazuje da je većina imovine financirana dugom (66%). U izvorima dugotrajne imovine sudjeluju dugoročne obveze sa svega 36%, a ostatak je financiran vlasničkim kapitalom.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Broj zaposlenih u djelatnosti C29 po godinama u razdoblju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 xml:space="preserve">. </w:t>
      </w:r>
      <w:r w:rsidRPr="004E6412">
        <w:rPr>
          <w:rFonts w:ascii="Times New Roman" w:hAnsi="Times New Roman"/>
        </w:rPr>
        <w:t xml:space="preserve">kretao </w:t>
      </w:r>
      <w:r w:rsidR="002D15BE" w:rsidRPr="004E6412">
        <w:rPr>
          <w:rFonts w:ascii="Times New Roman" w:hAnsi="Times New Roman"/>
        </w:rPr>
        <w:t>se redom 3.064, 2.772 te</w:t>
      </w:r>
      <w:r w:rsidRPr="004E6412">
        <w:rPr>
          <w:rFonts w:ascii="Times New Roman" w:hAnsi="Times New Roman"/>
        </w:rPr>
        <w:t xml:space="preserve"> 2.967</w:t>
      </w:r>
      <w:r w:rsidR="002D15BE" w:rsidRPr="004E6412">
        <w:rPr>
          <w:rFonts w:ascii="Times New Roman" w:hAnsi="Times New Roman"/>
        </w:rPr>
        <w:t>, što</w:t>
      </w:r>
      <w:r w:rsidRPr="004E6412">
        <w:rPr>
          <w:rFonts w:ascii="Times New Roman" w:hAnsi="Times New Roman"/>
        </w:rPr>
        <w:t xml:space="preserve"> u promatrane tri godine </w:t>
      </w:r>
      <w:r w:rsidR="002D15BE" w:rsidRPr="004E6412">
        <w:rPr>
          <w:rFonts w:ascii="Times New Roman" w:hAnsi="Times New Roman"/>
        </w:rPr>
        <w:t xml:space="preserve">predstavlja </w:t>
      </w:r>
      <w:r w:rsidRPr="004E6412">
        <w:rPr>
          <w:rFonts w:ascii="Times New Roman" w:hAnsi="Times New Roman"/>
        </w:rPr>
        <w:t xml:space="preserve">pad od 3,17% odnosno 91 zaposlenika. Udio zaposlenih </w:t>
      </w:r>
      <w:r w:rsidR="002D15BE" w:rsidRPr="004E6412">
        <w:rPr>
          <w:rFonts w:ascii="Times New Roman" w:hAnsi="Times New Roman"/>
        </w:rPr>
        <w:t>u ovoj</w:t>
      </w:r>
      <w:r w:rsidRPr="004E6412">
        <w:rPr>
          <w:rFonts w:ascii="Times New Roman" w:hAnsi="Times New Roman"/>
        </w:rPr>
        <w:t xml:space="preserve"> djelatnosti u ukupnom</w:t>
      </w:r>
      <w:r w:rsidR="002D15BE" w:rsidRPr="004E6412">
        <w:rPr>
          <w:rFonts w:ascii="Times New Roman" w:hAnsi="Times New Roman"/>
        </w:rPr>
        <w:t>e</w:t>
      </w:r>
      <w:r w:rsidRPr="004E6412">
        <w:rPr>
          <w:rFonts w:ascii="Times New Roman" w:hAnsi="Times New Roman"/>
        </w:rPr>
        <w:t xml:space="preserve"> broju zaposlenih </w:t>
      </w:r>
      <w:r w:rsidR="002D15BE" w:rsidRPr="004E6412">
        <w:rPr>
          <w:rFonts w:ascii="Times New Roman" w:hAnsi="Times New Roman"/>
        </w:rPr>
        <w:t>u prerađivačkoj industriji iznosio je relativno mal</w:t>
      </w:r>
      <w:r w:rsidRPr="004E6412">
        <w:rPr>
          <w:rFonts w:ascii="Times New Roman" w:hAnsi="Times New Roman"/>
        </w:rPr>
        <w:t>ih 1,32%. Najveći udio zaposlenih ima srednju stručnu spremu (47,29% u 2012.).</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Prema udjelu u aktivi djelatnosti najviše </w:t>
      </w:r>
      <w:r w:rsidR="002D15BE" w:rsidRPr="004E6412">
        <w:rPr>
          <w:rFonts w:ascii="Times New Roman" w:hAnsi="Times New Roman"/>
        </w:rPr>
        <w:t xml:space="preserve">se ističe poddjelatnost C29.3 </w:t>
      </w:r>
      <w:r w:rsidRPr="004E6412">
        <w:rPr>
          <w:rFonts w:ascii="Times New Roman" w:hAnsi="Times New Roman"/>
        </w:rPr>
        <w:t>Proizvodnja dijelova i pribora za motorna vozila s udjelom od 77,97% u 2012., te vrlo sličnim udjelima u ranijim godinama. Sve tri poddjelatnosti iskazuju veće vrijednosti kratkoročnih od dugoročnih obveza, a to je posebno izraženo kod poddjelatnosti C29.3. Ona je, kao najveća poddjelatn</w:t>
      </w:r>
      <w:r w:rsidR="002D15BE" w:rsidRPr="004E6412">
        <w:rPr>
          <w:rFonts w:ascii="Times New Roman" w:hAnsi="Times New Roman"/>
        </w:rPr>
        <w:t>ost, ujedno najmanje likvidna i</w:t>
      </w:r>
      <w:r w:rsidRPr="004E6412">
        <w:rPr>
          <w:rFonts w:ascii="Times New Roman" w:hAnsi="Times New Roman"/>
        </w:rPr>
        <w:t xml:space="preserve"> narušava ukupnu likvidnost cjelokupne djela</w:t>
      </w:r>
      <w:r w:rsidR="002D15BE" w:rsidRPr="004E6412">
        <w:rPr>
          <w:rFonts w:ascii="Times New Roman" w:hAnsi="Times New Roman"/>
        </w:rPr>
        <w:t xml:space="preserve">tnosti C29. Iz negativne zarade u 2010., zarada je u poddjelatnosti C29.1 </w:t>
      </w:r>
      <w:r w:rsidRPr="004E6412">
        <w:rPr>
          <w:rFonts w:ascii="Times New Roman" w:hAnsi="Times New Roman"/>
        </w:rPr>
        <w:t>Proizvodnja motornih vozil</w:t>
      </w:r>
      <w:r w:rsidR="002D15BE" w:rsidRPr="004E6412">
        <w:rPr>
          <w:rFonts w:ascii="Times New Roman" w:hAnsi="Times New Roman"/>
        </w:rPr>
        <w:t>a povećana na 25,76 milijuna kuna</w:t>
      </w:r>
      <w:r w:rsidRPr="004E6412">
        <w:rPr>
          <w:rFonts w:ascii="Times New Roman" w:hAnsi="Times New Roman"/>
        </w:rPr>
        <w:t>. Bruto dodana vrijednost te poddjelatn</w:t>
      </w:r>
      <w:r w:rsidR="00311706" w:rsidRPr="004E6412">
        <w:rPr>
          <w:rFonts w:ascii="Times New Roman" w:hAnsi="Times New Roman"/>
        </w:rPr>
        <w:t xml:space="preserve">osti </w:t>
      </w:r>
      <w:r w:rsidRPr="004E6412">
        <w:rPr>
          <w:rFonts w:ascii="Times New Roman" w:hAnsi="Times New Roman"/>
        </w:rPr>
        <w:t xml:space="preserve">gotovo </w:t>
      </w:r>
      <w:r w:rsidR="00311706" w:rsidRPr="004E6412">
        <w:rPr>
          <w:rFonts w:ascii="Times New Roman" w:hAnsi="Times New Roman"/>
        </w:rPr>
        <w:t xml:space="preserve">je </w:t>
      </w:r>
      <w:r w:rsidRPr="004E6412">
        <w:rPr>
          <w:rFonts w:ascii="Times New Roman" w:hAnsi="Times New Roman"/>
        </w:rPr>
        <w:t>udvostručena u promatranom</w:t>
      </w:r>
      <w:r w:rsidR="00311706" w:rsidRPr="004E6412">
        <w:rPr>
          <w:rFonts w:ascii="Times New Roman" w:hAnsi="Times New Roman"/>
        </w:rPr>
        <w:t>e</w:t>
      </w:r>
      <w:r w:rsidRPr="004E6412">
        <w:rPr>
          <w:rFonts w:ascii="Times New Roman" w:hAnsi="Times New Roman"/>
        </w:rPr>
        <w:t xml:space="preserve"> razdoblju 2010.</w:t>
      </w:r>
      <w:r w:rsidR="00311706" w:rsidRPr="004E6412">
        <w:rPr>
          <w:rFonts w:ascii="Times New Roman" w:hAnsi="Times New Roman"/>
        </w:rPr>
        <w:t xml:space="preserve"> – </w:t>
      </w:r>
      <w:r w:rsidRPr="004E6412">
        <w:rPr>
          <w:rFonts w:ascii="Times New Roman" w:hAnsi="Times New Roman"/>
        </w:rPr>
        <w:t xml:space="preserve">2012., a uvoz i izvoz višestruko </w:t>
      </w:r>
      <w:r w:rsidR="00311706" w:rsidRPr="004E6412">
        <w:rPr>
          <w:rFonts w:ascii="Times New Roman" w:hAnsi="Times New Roman"/>
        </w:rPr>
        <w:t>su povećani. Općenito</w:t>
      </w:r>
      <w:r w:rsidRPr="004E6412">
        <w:rPr>
          <w:rFonts w:ascii="Times New Roman" w:hAnsi="Times New Roman"/>
        </w:rPr>
        <w:t>, daleko najveći poslovni i financijski napredak ostvarila je upravo ova poddjelatnost.</w:t>
      </w:r>
      <w:r w:rsidR="00311706" w:rsidRPr="004E6412">
        <w:rPr>
          <w:rFonts w:ascii="Times New Roman" w:hAnsi="Times New Roman"/>
        </w:rPr>
        <w:t xml:space="preserve"> Najveća poddjelatnost, C29.3 </w:t>
      </w:r>
      <w:r w:rsidRPr="004E6412">
        <w:rPr>
          <w:rFonts w:ascii="Times New Roman" w:hAnsi="Times New Roman"/>
        </w:rPr>
        <w:t>Proizvodnja dijelova i pribora za motorna vozila, smanjila je EBITDA i bruto dodanu vrijednost u promatranom</w:t>
      </w:r>
      <w:r w:rsidR="00311706" w:rsidRPr="004E6412">
        <w:rPr>
          <w:rFonts w:ascii="Times New Roman" w:hAnsi="Times New Roman"/>
        </w:rPr>
        <w:t>e</w:t>
      </w:r>
      <w:r w:rsidRPr="004E6412">
        <w:rPr>
          <w:rFonts w:ascii="Times New Roman" w:hAnsi="Times New Roman"/>
        </w:rPr>
        <w:t xml:space="preserve"> razdo</w:t>
      </w:r>
      <w:r w:rsidR="00311706" w:rsidRPr="004E6412">
        <w:rPr>
          <w:rFonts w:ascii="Times New Roman" w:hAnsi="Times New Roman"/>
        </w:rPr>
        <w:t xml:space="preserve">blju, a udjeli u djelatnosti </w:t>
      </w:r>
      <w:r w:rsidRPr="004E6412">
        <w:rPr>
          <w:rFonts w:ascii="Times New Roman" w:hAnsi="Times New Roman"/>
        </w:rPr>
        <w:t xml:space="preserve">smanjeni </w:t>
      </w:r>
      <w:r w:rsidR="00311706" w:rsidRPr="004E6412">
        <w:rPr>
          <w:rFonts w:ascii="Times New Roman" w:hAnsi="Times New Roman"/>
        </w:rPr>
        <w:t xml:space="preserve">su </w:t>
      </w:r>
      <w:r w:rsidRPr="004E6412">
        <w:rPr>
          <w:rFonts w:ascii="Times New Roman" w:hAnsi="Times New Roman"/>
        </w:rPr>
        <w:t>na 75,74%</w:t>
      </w:r>
      <w:r w:rsidR="00311706" w:rsidRPr="004E6412">
        <w:rPr>
          <w:rFonts w:ascii="Times New Roman" w:hAnsi="Times New Roman"/>
        </w:rPr>
        <w:t>,</w:t>
      </w:r>
      <w:r w:rsidRPr="004E6412">
        <w:rPr>
          <w:rFonts w:ascii="Times New Roman" w:hAnsi="Times New Roman"/>
        </w:rPr>
        <w:t xml:space="preserve"> odnosno na 74,56%. Blago je smanjen izvoz, a povećan uvoz. Ova poddjelatnost činila je 79,39% ukupnog izvoza djelatnosti i 49,16% ukupnog uvoza djelatnosti, te je izu</w:t>
      </w:r>
      <w:r w:rsidR="00311706" w:rsidRPr="004E6412">
        <w:rPr>
          <w:rFonts w:ascii="Times New Roman" w:hAnsi="Times New Roman"/>
        </w:rPr>
        <w:t>zetno okrenuta prema trgovini s</w:t>
      </w:r>
      <w:r w:rsidRPr="004E6412">
        <w:rPr>
          <w:rFonts w:ascii="Times New Roman" w:hAnsi="Times New Roman"/>
        </w:rPr>
        <w:t xml:space="preserve"> inozemstvom. 79,95% ukupnih prihoda ove poddjelatnosti u 2012. dolazi od prodaje stranim kupcima, dok udio uvoza u ukupnim troškovima sudjeluje sa 48,50% (2012.).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Proizvodnja dijelova i pribora za motorna vozila, karoserija, prikolica</w:t>
      </w:r>
      <w:r w:rsidR="00311706" w:rsidRPr="004E6412">
        <w:rPr>
          <w:rFonts w:ascii="Times New Roman" w:hAnsi="Times New Roman"/>
        </w:rPr>
        <w:t xml:space="preserve"> i poluprikolica u Hrvatskoj </w:t>
      </w:r>
      <w:r w:rsidRPr="004E6412">
        <w:rPr>
          <w:rFonts w:ascii="Times New Roman" w:hAnsi="Times New Roman"/>
        </w:rPr>
        <w:t xml:space="preserve">visoko </w:t>
      </w:r>
      <w:r w:rsidR="00311706" w:rsidRPr="004E6412">
        <w:rPr>
          <w:rFonts w:ascii="Times New Roman" w:hAnsi="Times New Roman"/>
        </w:rPr>
        <w:t xml:space="preserve">je </w:t>
      </w:r>
      <w:r w:rsidRPr="004E6412">
        <w:rPr>
          <w:rFonts w:ascii="Times New Roman" w:hAnsi="Times New Roman"/>
        </w:rPr>
        <w:t xml:space="preserve">koncentrirana. Tri najveća proizvođača (Đuro Đaković specijalna vozila, AD Plastik i P.P.C. Buzet) ostvaruju 80% ukupnih prihoda.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Ukupne razine izvoza na razini djelatnosti čine 56% ukupno ostvarenih prihoda, čime je djelatnost u skupini relativno snažnijih hrvatskih djelatnosti kad</w:t>
      </w:r>
      <w:r w:rsidR="00311706" w:rsidRPr="004E6412">
        <w:rPr>
          <w:rFonts w:ascii="Times New Roman" w:hAnsi="Times New Roman"/>
        </w:rPr>
        <w:t>a</w:t>
      </w:r>
      <w:r w:rsidRPr="004E6412">
        <w:rPr>
          <w:rFonts w:ascii="Times New Roman" w:hAnsi="Times New Roman"/>
        </w:rPr>
        <w:t xml:space="preserve"> je u pitanju izvozni potencijal. S druge strane, vrijednost uvoza iznosila je 54,5% ukupno ostvarenih prihoda, čime je neto učinak izvoza znatno smanjen. </w:t>
      </w:r>
    </w:p>
    <w:p w:rsidR="001B41B0" w:rsidRPr="004E6412" w:rsidRDefault="001B41B0" w:rsidP="001B41B0"/>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Potencijal rasta djelatnosti ovisi o stanju i razvoju prve</w:t>
      </w:r>
      <w:r w:rsidR="00311706" w:rsidRPr="004E6412">
        <w:rPr>
          <w:rFonts w:ascii="Times New Roman" w:hAnsi="Times New Roman"/>
        </w:rPr>
        <w:t>nstveno automobilske industrije</w:t>
      </w:r>
      <w:r w:rsidRPr="004E6412">
        <w:rPr>
          <w:rFonts w:ascii="Times New Roman" w:hAnsi="Times New Roman"/>
        </w:rPr>
        <w:t xml:space="preserve"> te načinu na koji će se poduzeća prilagoditi novim zahtjevima koje će pred njih staviti tržište. Proizvodnja motornih vozila, </w:t>
      </w:r>
      <w:r w:rsidR="00311706" w:rsidRPr="004E6412">
        <w:rPr>
          <w:rFonts w:ascii="Times New Roman" w:hAnsi="Times New Roman"/>
        </w:rPr>
        <w:t xml:space="preserve">prikolica i poluprikolica </w:t>
      </w:r>
      <w:r w:rsidRPr="004E6412">
        <w:rPr>
          <w:rFonts w:ascii="Times New Roman" w:hAnsi="Times New Roman"/>
        </w:rPr>
        <w:t xml:space="preserve">visoko </w:t>
      </w:r>
      <w:r w:rsidR="00311706" w:rsidRPr="004E6412">
        <w:rPr>
          <w:rFonts w:ascii="Times New Roman" w:hAnsi="Times New Roman"/>
        </w:rPr>
        <w:t>je tehnološki intenzivna te zahtijeva stalna</w:t>
      </w:r>
      <w:r w:rsidRPr="004E6412">
        <w:rPr>
          <w:rFonts w:ascii="Times New Roman" w:hAnsi="Times New Roman"/>
        </w:rPr>
        <w:t xml:space="preserve"> ulaganja u istraživanje i razvoj kako bi se </w:t>
      </w:r>
      <w:r w:rsidR="00311706" w:rsidRPr="004E6412">
        <w:rPr>
          <w:rFonts w:ascii="Times New Roman" w:hAnsi="Times New Roman"/>
        </w:rPr>
        <w:t>o</w:t>
      </w:r>
      <w:r w:rsidRPr="004E6412">
        <w:rPr>
          <w:rFonts w:ascii="Times New Roman" w:hAnsi="Times New Roman"/>
        </w:rPr>
        <w:t>držao k</w:t>
      </w:r>
      <w:r w:rsidR="00311706" w:rsidRPr="004E6412">
        <w:rPr>
          <w:rFonts w:ascii="Times New Roman" w:hAnsi="Times New Roman"/>
        </w:rPr>
        <w:t>orak s inozemnom konkurencijom te kako bi se</w:t>
      </w:r>
      <w:r w:rsidRPr="004E6412">
        <w:rPr>
          <w:rFonts w:ascii="Times New Roman" w:hAnsi="Times New Roman"/>
        </w:rPr>
        <w:t xml:space="preserve"> moglo odgovoriti promijenjenoj strukturi potražnje. Globalni trendovi zahtijevat će energetski učinkovitija i ekol</w:t>
      </w:r>
      <w:r w:rsidR="00311706" w:rsidRPr="004E6412">
        <w:rPr>
          <w:rFonts w:ascii="Times New Roman" w:hAnsi="Times New Roman"/>
        </w:rPr>
        <w:t>oški prihvatljivija rješenja pa</w:t>
      </w:r>
      <w:r w:rsidRPr="004E6412">
        <w:rPr>
          <w:rFonts w:ascii="Times New Roman" w:hAnsi="Times New Roman"/>
        </w:rPr>
        <w:t xml:space="preserve"> se hrvatski proizvođači trebaju pripremati na promijenjenu strukturu buduće potražnje.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09" w:name="_Toc372088066"/>
      <w:bookmarkStart w:id="910" w:name="_Toc378069127"/>
      <w:r w:rsidRPr="004E6412">
        <w:rPr>
          <w:rFonts w:eastAsia="Calibri"/>
        </w:rPr>
        <w:lastRenderedPageBreak/>
        <w:t>Zaključni prikaz pokazatelja</w:t>
      </w:r>
      <w:bookmarkEnd w:id="909"/>
      <w:bookmarkEnd w:id="910"/>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911" w:name="_Toc372088171"/>
      <w:bookmarkStart w:id="912" w:name="_Toc377551106"/>
      <w:bookmarkStart w:id="913" w:name="_Toc37763529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94</w:t>
      </w:r>
      <w:r w:rsidRPr="007D0CFD">
        <w:rPr>
          <w:rStyle w:val="IntenseEmphasis"/>
          <w:b/>
          <w:bCs w:val="0"/>
          <w:iCs w:val="0"/>
          <w:color w:val="548DD4" w:themeColor="text2" w:themeTint="99"/>
          <w:sz w:val="20"/>
        </w:rPr>
        <w:t>. Kvantitativni pokazatelji (C29)</w:t>
      </w:r>
      <w:bookmarkEnd w:id="911"/>
      <w:bookmarkEnd w:id="912"/>
      <w:bookmarkEnd w:id="913"/>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97,60</w:t>
            </w:r>
          </w:p>
        </w:tc>
        <w:tc>
          <w:tcPr>
            <w:tcW w:w="968" w:type="pct"/>
            <w:shd w:val="clear" w:color="auto" w:fill="auto"/>
            <w:noWrap/>
          </w:tcPr>
          <w:p w:rsidR="001B41B0" w:rsidRPr="004E6412" w:rsidRDefault="001B41B0" w:rsidP="001B41B0">
            <w:pPr>
              <w:jc w:val="right"/>
            </w:pPr>
            <w:r w:rsidRPr="004E6412">
              <w:rPr>
                <w:sz w:val="22"/>
              </w:rPr>
              <w:t>106,70</w:t>
            </w:r>
          </w:p>
        </w:tc>
        <w:tc>
          <w:tcPr>
            <w:tcW w:w="1100" w:type="pct"/>
            <w:shd w:val="clear" w:color="auto" w:fill="auto"/>
            <w:noWrap/>
          </w:tcPr>
          <w:p w:rsidR="001B41B0" w:rsidRPr="004E6412" w:rsidRDefault="001B41B0" w:rsidP="001B41B0">
            <w:pPr>
              <w:jc w:val="right"/>
            </w:pPr>
            <w:r w:rsidRPr="004E6412">
              <w:rPr>
                <w:sz w:val="22"/>
              </w:rPr>
              <w:t>97,19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76,2</w:t>
            </w:r>
          </w:p>
        </w:tc>
        <w:tc>
          <w:tcPr>
            <w:tcW w:w="968" w:type="pct"/>
            <w:shd w:val="clear" w:color="auto" w:fill="auto"/>
            <w:noWrap/>
          </w:tcPr>
          <w:p w:rsidR="001B41B0" w:rsidRPr="004E6412" w:rsidRDefault="001B41B0" w:rsidP="001B41B0">
            <w:pPr>
              <w:jc w:val="right"/>
            </w:pPr>
            <w:r w:rsidRPr="004E6412">
              <w:rPr>
                <w:sz w:val="22"/>
              </w:rPr>
              <w:t>101,8</w:t>
            </w:r>
          </w:p>
        </w:tc>
        <w:tc>
          <w:tcPr>
            <w:tcW w:w="1100" w:type="pct"/>
            <w:shd w:val="clear" w:color="auto" w:fill="auto"/>
            <w:noWrap/>
          </w:tcPr>
          <w:p w:rsidR="001B41B0" w:rsidRPr="004E6412" w:rsidRDefault="00A61190" w:rsidP="001B41B0">
            <w:pPr>
              <w:jc w:val="right"/>
            </w:pPr>
            <w:r w:rsidRPr="004E6412">
              <w:rPr>
                <w:sz w:val="22"/>
              </w:rPr>
              <w:t>101,6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3.064</w:t>
            </w:r>
          </w:p>
        </w:tc>
        <w:tc>
          <w:tcPr>
            <w:tcW w:w="968" w:type="pct"/>
            <w:shd w:val="clear" w:color="auto" w:fill="auto"/>
            <w:noWrap/>
          </w:tcPr>
          <w:p w:rsidR="001B41B0" w:rsidRPr="004E6412" w:rsidRDefault="001B41B0" w:rsidP="001B41B0">
            <w:pPr>
              <w:jc w:val="right"/>
            </w:pPr>
            <w:r w:rsidRPr="004E6412">
              <w:rPr>
                <w:sz w:val="22"/>
              </w:rPr>
              <w:t>2.772</w:t>
            </w:r>
          </w:p>
        </w:tc>
        <w:tc>
          <w:tcPr>
            <w:tcW w:w="1100" w:type="pct"/>
            <w:shd w:val="clear" w:color="auto" w:fill="auto"/>
            <w:noWrap/>
          </w:tcPr>
          <w:p w:rsidR="001B41B0" w:rsidRPr="004E6412" w:rsidRDefault="001B41B0" w:rsidP="001B41B0">
            <w:pPr>
              <w:jc w:val="right"/>
            </w:pPr>
            <w:r w:rsidRPr="004E6412">
              <w:rPr>
                <w:sz w:val="22"/>
              </w:rPr>
              <w:t>2.967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1.595.138.144</w:t>
            </w:r>
          </w:p>
        </w:tc>
        <w:tc>
          <w:tcPr>
            <w:tcW w:w="968" w:type="pct"/>
            <w:shd w:val="clear" w:color="auto" w:fill="auto"/>
            <w:noWrap/>
          </w:tcPr>
          <w:p w:rsidR="001B41B0" w:rsidRPr="004E6412" w:rsidRDefault="001B41B0" w:rsidP="001B41B0">
            <w:pPr>
              <w:jc w:val="right"/>
            </w:pPr>
            <w:r w:rsidRPr="004E6412">
              <w:rPr>
                <w:sz w:val="22"/>
              </w:rPr>
              <w:t>2.210.961.997</w:t>
            </w:r>
          </w:p>
        </w:tc>
        <w:tc>
          <w:tcPr>
            <w:tcW w:w="1100" w:type="pct"/>
            <w:shd w:val="clear" w:color="auto" w:fill="auto"/>
            <w:noWrap/>
          </w:tcPr>
          <w:p w:rsidR="001B41B0" w:rsidRPr="004E6412" w:rsidRDefault="001B41B0" w:rsidP="001B41B0">
            <w:pPr>
              <w:jc w:val="right"/>
            </w:pPr>
            <w:r w:rsidRPr="004E6412">
              <w:rPr>
                <w:sz w:val="22"/>
              </w:rPr>
              <w:t>2.224.631.929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99.619.255</w:t>
            </w:r>
          </w:p>
        </w:tc>
        <w:tc>
          <w:tcPr>
            <w:tcW w:w="968" w:type="pct"/>
            <w:shd w:val="clear" w:color="auto" w:fill="auto"/>
            <w:noWrap/>
          </w:tcPr>
          <w:p w:rsidR="001B41B0" w:rsidRPr="004E6412" w:rsidRDefault="001B41B0" w:rsidP="001B41B0">
            <w:pPr>
              <w:jc w:val="right"/>
            </w:pPr>
            <w:r w:rsidRPr="004E6412">
              <w:rPr>
                <w:sz w:val="22"/>
              </w:rPr>
              <w:t>166.019.659</w:t>
            </w:r>
          </w:p>
        </w:tc>
        <w:tc>
          <w:tcPr>
            <w:tcW w:w="1100" w:type="pct"/>
            <w:shd w:val="clear" w:color="auto" w:fill="auto"/>
            <w:noWrap/>
          </w:tcPr>
          <w:p w:rsidR="001B41B0" w:rsidRPr="004E6412" w:rsidRDefault="001B41B0" w:rsidP="001B41B0">
            <w:pPr>
              <w:jc w:val="right"/>
            </w:pPr>
            <w:r w:rsidRPr="004E6412">
              <w:rPr>
                <w:sz w:val="22"/>
              </w:rPr>
              <w:t>114.536.176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0,27</w:t>
            </w:r>
          </w:p>
        </w:tc>
        <w:tc>
          <w:tcPr>
            <w:tcW w:w="968" w:type="pct"/>
            <w:shd w:val="clear" w:color="auto" w:fill="auto"/>
            <w:noWrap/>
          </w:tcPr>
          <w:p w:rsidR="001B41B0" w:rsidRPr="004E6412" w:rsidRDefault="001B41B0" w:rsidP="001B41B0">
            <w:pPr>
              <w:jc w:val="right"/>
            </w:pPr>
            <w:r w:rsidRPr="004E6412">
              <w:rPr>
                <w:sz w:val="22"/>
              </w:rPr>
              <w:t>3,40</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520.606</w:t>
            </w:r>
          </w:p>
        </w:tc>
        <w:tc>
          <w:tcPr>
            <w:tcW w:w="968" w:type="pct"/>
            <w:shd w:val="clear" w:color="auto" w:fill="auto"/>
            <w:noWrap/>
          </w:tcPr>
          <w:p w:rsidR="001B41B0" w:rsidRPr="004E6412" w:rsidRDefault="001B41B0" w:rsidP="001B41B0">
            <w:pPr>
              <w:jc w:val="right"/>
            </w:pPr>
            <w:r w:rsidRPr="004E6412">
              <w:rPr>
                <w:sz w:val="22"/>
              </w:rPr>
              <w:t>797.605</w:t>
            </w:r>
          </w:p>
        </w:tc>
        <w:tc>
          <w:tcPr>
            <w:tcW w:w="1100" w:type="pct"/>
            <w:shd w:val="clear" w:color="auto" w:fill="auto"/>
            <w:noWrap/>
          </w:tcPr>
          <w:p w:rsidR="001B41B0" w:rsidRPr="004E6412" w:rsidRDefault="001B41B0" w:rsidP="001B41B0">
            <w:pPr>
              <w:jc w:val="right"/>
            </w:pPr>
            <w:r w:rsidRPr="004E6412">
              <w:rPr>
                <w:sz w:val="22"/>
              </w:rPr>
              <w:t>749.792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462.976.739</w:t>
            </w:r>
          </w:p>
        </w:tc>
        <w:tc>
          <w:tcPr>
            <w:tcW w:w="968" w:type="pct"/>
            <w:shd w:val="clear" w:color="auto" w:fill="auto"/>
            <w:noWrap/>
          </w:tcPr>
          <w:p w:rsidR="001B41B0" w:rsidRPr="004E6412" w:rsidRDefault="001B41B0" w:rsidP="001B41B0">
            <w:pPr>
              <w:jc w:val="right"/>
            </w:pPr>
            <w:r w:rsidRPr="004E6412">
              <w:rPr>
                <w:sz w:val="22"/>
              </w:rPr>
              <w:t>547.353.133</w:t>
            </w:r>
          </w:p>
        </w:tc>
        <w:tc>
          <w:tcPr>
            <w:tcW w:w="1100" w:type="pct"/>
            <w:shd w:val="clear" w:color="auto" w:fill="auto"/>
            <w:noWrap/>
          </w:tcPr>
          <w:p w:rsidR="001B41B0" w:rsidRPr="004E6412" w:rsidRDefault="001B41B0" w:rsidP="001B41B0">
            <w:pPr>
              <w:jc w:val="right"/>
            </w:pPr>
            <w:r w:rsidRPr="004E6412">
              <w:rPr>
                <w:sz w:val="22"/>
              </w:rPr>
              <w:t>487.195.203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11.716</w:t>
            </w:r>
          </w:p>
        </w:tc>
        <w:tc>
          <w:tcPr>
            <w:tcW w:w="968" w:type="pct"/>
            <w:shd w:val="clear" w:color="auto" w:fill="auto"/>
            <w:noWrap/>
          </w:tcPr>
          <w:p w:rsidR="001B41B0" w:rsidRPr="004E6412" w:rsidRDefault="001B41B0" w:rsidP="001B41B0">
            <w:pPr>
              <w:jc w:val="right"/>
            </w:pPr>
            <w:r w:rsidRPr="004E6412">
              <w:rPr>
                <w:sz w:val="22"/>
              </w:rPr>
              <w:t>28.424</w:t>
            </w:r>
          </w:p>
        </w:tc>
        <w:tc>
          <w:tcPr>
            <w:tcW w:w="1100" w:type="pct"/>
            <w:shd w:val="clear" w:color="auto" w:fill="auto"/>
            <w:noWrap/>
          </w:tcPr>
          <w:p w:rsidR="001B41B0" w:rsidRPr="004E6412" w:rsidRDefault="001B41B0" w:rsidP="001B41B0">
            <w:pPr>
              <w:jc w:val="right"/>
            </w:pPr>
            <w:r w:rsidRPr="004E6412">
              <w:rPr>
                <w:sz w:val="22"/>
              </w:rPr>
              <w:t>23.201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22.278</w:t>
            </w:r>
          </w:p>
        </w:tc>
        <w:tc>
          <w:tcPr>
            <w:tcW w:w="968" w:type="pct"/>
            <w:shd w:val="clear" w:color="auto" w:fill="auto"/>
            <w:noWrap/>
          </w:tcPr>
          <w:p w:rsidR="001B41B0" w:rsidRPr="004E6412" w:rsidRDefault="001B41B0" w:rsidP="001B41B0">
            <w:pPr>
              <w:jc w:val="right"/>
            </w:pPr>
            <w:r w:rsidRPr="004E6412">
              <w:rPr>
                <w:sz w:val="22"/>
              </w:rPr>
              <w:t>10.966</w:t>
            </w:r>
          </w:p>
        </w:tc>
        <w:tc>
          <w:tcPr>
            <w:tcW w:w="1100" w:type="pct"/>
            <w:shd w:val="clear" w:color="auto" w:fill="auto"/>
            <w:noWrap/>
          </w:tcPr>
          <w:p w:rsidR="001B41B0" w:rsidRPr="004E6412" w:rsidRDefault="001B41B0" w:rsidP="001B41B0">
            <w:pPr>
              <w:jc w:val="right"/>
            </w:pPr>
            <w:r w:rsidRPr="004E6412">
              <w:rPr>
                <w:sz w:val="22"/>
              </w:rPr>
              <w:t>22.531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1,425</w:t>
            </w:r>
          </w:p>
        </w:tc>
        <w:tc>
          <w:tcPr>
            <w:tcW w:w="968" w:type="pct"/>
            <w:shd w:val="clear" w:color="auto" w:fill="auto"/>
            <w:noWrap/>
          </w:tcPr>
          <w:p w:rsidR="001B41B0" w:rsidRPr="004E6412" w:rsidRDefault="001B41B0" w:rsidP="001B41B0">
            <w:pPr>
              <w:jc w:val="right"/>
            </w:pPr>
            <w:r w:rsidRPr="004E6412">
              <w:rPr>
                <w:sz w:val="22"/>
              </w:rPr>
              <w:t>0,945</w:t>
            </w:r>
          </w:p>
        </w:tc>
        <w:tc>
          <w:tcPr>
            <w:tcW w:w="1100" w:type="pct"/>
            <w:shd w:val="clear" w:color="auto" w:fill="auto"/>
            <w:noWrap/>
          </w:tcPr>
          <w:p w:rsidR="001B41B0" w:rsidRPr="004E6412" w:rsidRDefault="001B41B0" w:rsidP="001B41B0">
            <w:pPr>
              <w:jc w:val="right"/>
            </w:pPr>
            <w:r w:rsidRPr="004E6412">
              <w:rPr>
                <w:sz w:val="22"/>
              </w:rPr>
              <w:t>1,028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319.752.248</w:t>
            </w:r>
          </w:p>
        </w:tc>
        <w:tc>
          <w:tcPr>
            <w:tcW w:w="968" w:type="pct"/>
            <w:shd w:val="clear" w:color="auto" w:fill="auto"/>
            <w:noWrap/>
          </w:tcPr>
          <w:p w:rsidR="001B41B0" w:rsidRPr="004E6412" w:rsidRDefault="001B41B0" w:rsidP="001B41B0">
            <w:pPr>
              <w:jc w:val="right"/>
            </w:pPr>
            <w:r w:rsidRPr="004E6412">
              <w:rPr>
                <w:sz w:val="22"/>
              </w:rPr>
              <w:t>-66.548.047</w:t>
            </w:r>
          </w:p>
        </w:tc>
        <w:tc>
          <w:tcPr>
            <w:tcW w:w="1100" w:type="pct"/>
            <w:shd w:val="clear" w:color="auto" w:fill="auto"/>
            <w:noWrap/>
          </w:tcPr>
          <w:p w:rsidR="001B41B0" w:rsidRPr="004E6412" w:rsidRDefault="001B41B0" w:rsidP="001B41B0">
            <w:pPr>
              <w:jc w:val="right"/>
            </w:pPr>
            <w:r w:rsidRPr="004E6412">
              <w:rPr>
                <w:sz w:val="22"/>
              </w:rPr>
              <w:t>33.156.146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67,17</w:t>
            </w:r>
          </w:p>
        </w:tc>
        <w:tc>
          <w:tcPr>
            <w:tcW w:w="968" w:type="pct"/>
            <w:shd w:val="clear" w:color="auto" w:fill="auto"/>
            <w:noWrap/>
          </w:tcPr>
          <w:p w:rsidR="001B41B0" w:rsidRPr="004E6412" w:rsidRDefault="001B41B0" w:rsidP="001B41B0">
            <w:pPr>
              <w:jc w:val="right"/>
            </w:pPr>
            <w:r w:rsidRPr="004E6412">
              <w:rPr>
                <w:sz w:val="22"/>
              </w:rPr>
              <w:t>51,51</w:t>
            </w:r>
          </w:p>
        </w:tc>
        <w:tc>
          <w:tcPr>
            <w:tcW w:w="1100" w:type="pct"/>
            <w:shd w:val="clear" w:color="auto" w:fill="auto"/>
            <w:noWrap/>
          </w:tcPr>
          <w:p w:rsidR="001B41B0" w:rsidRPr="004E6412" w:rsidRDefault="001B41B0" w:rsidP="001B41B0">
            <w:pPr>
              <w:jc w:val="right"/>
            </w:pPr>
            <w:r w:rsidRPr="004E6412">
              <w:rPr>
                <w:sz w:val="22"/>
              </w:rPr>
              <w:t>54,35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0,595</w:t>
            </w:r>
          </w:p>
        </w:tc>
        <w:tc>
          <w:tcPr>
            <w:tcW w:w="968" w:type="pct"/>
            <w:shd w:val="clear" w:color="auto" w:fill="auto"/>
            <w:noWrap/>
          </w:tcPr>
          <w:p w:rsidR="001B41B0" w:rsidRPr="004E6412" w:rsidRDefault="001B41B0" w:rsidP="001B41B0">
            <w:pPr>
              <w:jc w:val="right"/>
            </w:pPr>
            <w:r w:rsidRPr="004E6412">
              <w:rPr>
                <w:sz w:val="22"/>
              </w:rPr>
              <w:t>-0,100</w:t>
            </w:r>
          </w:p>
        </w:tc>
        <w:tc>
          <w:tcPr>
            <w:tcW w:w="1100" w:type="pct"/>
            <w:shd w:val="clear" w:color="auto" w:fill="auto"/>
            <w:noWrap/>
          </w:tcPr>
          <w:p w:rsidR="001B41B0" w:rsidRPr="004E6412" w:rsidRDefault="001B41B0" w:rsidP="001B41B0">
            <w:pPr>
              <w:jc w:val="right"/>
            </w:pPr>
            <w:r w:rsidRPr="004E6412">
              <w:rPr>
                <w:sz w:val="22"/>
              </w:rPr>
              <w:t>0,050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311706"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1,16</w:t>
            </w:r>
          </w:p>
        </w:tc>
        <w:tc>
          <w:tcPr>
            <w:tcW w:w="968" w:type="pct"/>
            <w:shd w:val="clear" w:color="auto" w:fill="auto"/>
            <w:noWrap/>
          </w:tcPr>
          <w:p w:rsidR="001B41B0" w:rsidRPr="004E6412" w:rsidRDefault="001B41B0" w:rsidP="001B41B0">
            <w:pPr>
              <w:jc w:val="right"/>
            </w:pPr>
            <w:r w:rsidRPr="004E6412">
              <w:rPr>
                <w:sz w:val="22"/>
              </w:rPr>
              <w:t>1,18</w:t>
            </w:r>
          </w:p>
        </w:tc>
        <w:tc>
          <w:tcPr>
            <w:tcW w:w="1100" w:type="pct"/>
            <w:shd w:val="clear" w:color="auto" w:fill="auto"/>
            <w:noWrap/>
          </w:tcPr>
          <w:p w:rsidR="001B41B0" w:rsidRPr="004E6412" w:rsidRDefault="001B41B0" w:rsidP="001B41B0">
            <w:pPr>
              <w:jc w:val="right"/>
            </w:pPr>
            <w:r w:rsidRPr="004E6412">
              <w:rPr>
                <w:sz w:val="22"/>
              </w:rPr>
              <w:t>1,06</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0,972</w:t>
            </w:r>
          </w:p>
        </w:tc>
        <w:tc>
          <w:tcPr>
            <w:tcW w:w="1100" w:type="pct"/>
            <w:shd w:val="clear" w:color="auto" w:fill="auto"/>
            <w:noWrap/>
          </w:tcPr>
          <w:p w:rsidR="001B41B0" w:rsidRPr="004E6412" w:rsidRDefault="001B41B0" w:rsidP="001B41B0">
            <w:pPr>
              <w:jc w:val="right"/>
            </w:pPr>
            <w:r w:rsidRPr="004E6412">
              <w:rPr>
                <w:sz w:val="22"/>
              </w:rPr>
              <w:t>0,986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151.102</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197.458</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164.205</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0,45</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0,50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0,47</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0,51</w:t>
            </w:r>
          </w:p>
        </w:tc>
        <w:tc>
          <w:tcPr>
            <w:tcW w:w="1100" w:type="pct"/>
            <w:shd w:val="clear" w:color="auto" w:fill="auto"/>
            <w:noWrap/>
          </w:tcPr>
          <w:p w:rsidR="001B41B0" w:rsidRPr="004E6412" w:rsidRDefault="001B41B0" w:rsidP="001B41B0">
            <w:pPr>
              <w:jc w:val="right"/>
            </w:pPr>
            <w:r w:rsidRPr="004E6412">
              <w:rPr>
                <w:sz w:val="22"/>
              </w:rPr>
              <w:t>0,60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0,64</w:t>
            </w:r>
          </w:p>
        </w:tc>
        <w:tc>
          <w:tcPr>
            <w:tcW w:w="968" w:type="pct"/>
            <w:shd w:val="clear" w:color="auto" w:fill="auto"/>
            <w:noWrap/>
          </w:tcPr>
          <w:p w:rsidR="001B41B0" w:rsidRPr="004E6412" w:rsidRDefault="001B41B0" w:rsidP="001B41B0">
            <w:pPr>
              <w:jc w:val="right"/>
            </w:pPr>
            <w:r w:rsidRPr="004E6412">
              <w:rPr>
                <w:sz w:val="22"/>
              </w:rPr>
              <w:t>0,67</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14" w:name="_Toc372088172"/>
      <w:bookmarkStart w:id="915" w:name="_Toc377551107"/>
      <w:bookmarkStart w:id="916" w:name="_Toc377635296"/>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95</w:t>
      </w:r>
      <w:r w:rsidRPr="007D0CFD">
        <w:rPr>
          <w:rStyle w:val="IntenseEmphasis"/>
          <w:b/>
          <w:bCs w:val="0"/>
          <w:iCs w:val="0"/>
          <w:color w:val="548DD4" w:themeColor="text2" w:themeTint="99"/>
          <w:sz w:val="20"/>
        </w:rPr>
        <w:t>. Kvalitativni pokazatelji (C29)</w:t>
      </w:r>
      <w:bookmarkEnd w:id="914"/>
      <w:bookmarkEnd w:id="915"/>
      <w:bookmarkEnd w:id="9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311706"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je zadovoljavajuća. Resursi su dostupni. Dostupnost kapitala je dobra.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w:t>
            </w:r>
            <w:r w:rsidR="00311706" w:rsidRPr="004E6412">
              <w:rPr>
                <w:sz w:val="22"/>
              </w:rPr>
              <w:t xml:space="preserve"> koriste u drugim djelatnostima te o krajnjim</w:t>
            </w:r>
            <w:r w:rsidRPr="004E6412">
              <w:rPr>
                <w:sz w:val="22"/>
              </w:rPr>
              <w:t xml:space="preserve"> proizvodima za korporativne kupce.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Vrlo dobra tehnološka opremljenost. Industrija je tehnološki intenzivna i zahtijeva visoku razinu tehnološke opremljenosti.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Relativno visoka ulaganja u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311706" w:rsidP="0097195F">
            <w:pPr>
              <w:spacing w:line="240" w:lineRule="auto"/>
              <w:rPr>
                <w:sz w:val="22"/>
              </w:rPr>
            </w:pPr>
            <w:r w:rsidRPr="004E6412">
              <w:rPr>
                <w:sz w:val="22"/>
              </w:rPr>
              <w:t>Visoka koncentracija. Tri</w:t>
            </w:r>
            <w:r w:rsidR="001B41B0" w:rsidRPr="004E6412">
              <w:rPr>
                <w:sz w:val="22"/>
              </w:rPr>
              <w:t xml:space="preserve"> poduzeća ostvaruju 80% prihoda djelatno</w:t>
            </w:r>
            <w:r w:rsidRPr="004E6412">
              <w:rPr>
                <w:sz w:val="22"/>
              </w:rPr>
              <w:t>sti. Pet</w:t>
            </w:r>
            <w:r w:rsidR="001B41B0" w:rsidRPr="004E6412">
              <w:rPr>
                <w:sz w:val="22"/>
              </w:rPr>
              <w:t xml:space="preserve"> poduzeća zapošljava 80% radne snage </w:t>
            </w:r>
            <w:r w:rsidRPr="004E6412">
              <w:rPr>
                <w:sz w:val="22"/>
              </w:rPr>
              <w:t xml:space="preserve">u okviru </w:t>
            </w:r>
            <w:r w:rsidR="001B41B0" w:rsidRPr="004E6412">
              <w:rPr>
                <w:sz w:val="22"/>
              </w:rPr>
              <w:t>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je visok, no ovisi o kretanjima na tržištima Europske unije. Postoji i potencijal zapošljavanja. Najveći potencijal rasta i za</w:t>
            </w:r>
            <w:r w:rsidR="00311706" w:rsidRPr="004E6412">
              <w:rPr>
                <w:sz w:val="22"/>
              </w:rPr>
              <w:t>pošljavanja ima poddjelatnost C</w:t>
            </w:r>
            <w:r w:rsidRPr="004E6412">
              <w:rPr>
                <w:sz w:val="22"/>
              </w:rPr>
              <w:t>29.3 Proizvodnja dijelova i pribora za motorna vozila.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Značajne razine uvoza, u pravilu preko 50% ukupnih prihoda djelatnosti.  </w:t>
            </w:r>
          </w:p>
        </w:tc>
      </w:tr>
    </w:tbl>
    <w:p w:rsidR="001B41B0" w:rsidRPr="004E6412" w:rsidRDefault="001B41B0" w:rsidP="001B41B0">
      <w:pPr>
        <w:pStyle w:val="Heading2"/>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17" w:name="_Toc366152995"/>
      <w:bookmarkStart w:id="918" w:name="_Toc366154328"/>
      <w:bookmarkStart w:id="919" w:name="_Toc366154448"/>
      <w:bookmarkStart w:id="920" w:name="_Toc366409995"/>
      <w:bookmarkStart w:id="921" w:name="_Toc372088067"/>
      <w:bookmarkStart w:id="922" w:name="_Toc378069128"/>
      <w:r w:rsidRPr="004E6412">
        <w:lastRenderedPageBreak/>
        <w:t>C30 Proizvodnja ostalih prijevoznih sredstava</w:t>
      </w:r>
      <w:bookmarkEnd w:id="917"/>
      <w:bookmarkEnd w:id="918"/>
      <w:bookmarkEnd w:id="919"/>
      <w:bookmarkEnd w:id="920"/>
      <w:bookmarkEnd w:id="921"/>
      <w:bookmarkEnd w:id="922"/>
    </w:p>
    <w:p w:rsidR="001B41B0" w:rsidRPr="004E6412" w:rsidRDefault="001B41B0" w:rsidP="001B41B0">
      <w:pPr>
        <w:rPr>
          <w:szCs w:val="24"/>
        </w:rPr>
      </w:pPr>
    </w:p>
    <w:p w:rsidR="001B41B0" w:rsidRPr="004E6412" w:rsidRDefault="001B41B0" w:rsidP="001B41B0">
      <w:pPr>
        <w:rPr>
          <w:sz w:val="22"/>
        </w:rPr>
      </w:pPr>
      <w:r w:rsidRPr="004E6412">
        <w:rPr>
          <w:sz w:val="22"/>
        </w:rPr>
        <w:t>Djelatnost Proizvodnje ostalih prijevoznih sredstava (C30) uključuje gradnju brodova i čamaca (C30.1), proizvodnju željezničkih lokomotiva i tračnih vozila</w:t>
      </w:r>
      <w:r w:rsidR="00311706" w:rsidRPr="004E6412">
        <w:rPr>
          <w:sz w:val="22"/>
        </w:rPr>
        <w:t xml:space="preserve"> </w:t>
      </w:r>
      <w:r w:rsidRPr="004E6412">
        <w:rPr>
          <w:sz w:val="22"/>
        </w:rPr>
        <w:t>(C30.2), proizvodnju zrakoplova i svemirskih letjelica te srodnih prijevoznih sredstava i opreme</w:t>
      </w:r>
      <w:r w:rsidR="00311706" w:rsidRPr="004E6412">
        <w:rPr>
          <w:sz w:val="22"/>
        </w:rPr>
        <w:t xml:space="preserve"> </w:t>
      </w:r>
      <w:r w:rsidRPr="004E6412">
        <w:rPr>
          <w:sz w:val="22"/>
        </w:rPr>
        <w:t>(C30.3), proizvodnju borbenih vozila (C30.4) i proizvodnju prijevoznih sredstava d.n.</w:t>
      </w:r>
      <w:r w:rsidR="00311706" w:rsidRPr="004E6412">
        <w:rPr>
          <w:sz w:val="22"/>
        </w:rPr>
        <w:t xml:space="preserve"> </w:t>
      </w:r>
      <w:r w:rsidRPr="004E6412">
        <w:rPr>
          <w:sz w:val="22"/>
        </w:rPr>
        <w:t>(C30.9).</w:t>
      </w:r>
    </w:p>
    <w:p w:rsidR="001B41B0" w:rsidRPr="004E6412" w:rsidRDefault="001B41B0" w:rsidP="001B41B0">
      <w:pPr>
        <w:rPr>
          <w:szCs w:val="24"/>
        </w:rPr>
      </w:pPr>
    </w:p>
    <w:p w:rsidR="001B41B0" w:rsidRPr="004E6412" w:rsidRDefault="001B41B0" w:rsidP="00D001B9">
      <w:pPr>
        <w:pStyle w:val="Heading3"/>
      </w:pPr>
      <w:bookmarkStart w:id="923" w:name="_Toc366154329"/>
      <w:bookmarkStart w:id="924" w:name="_Toc366154449"/>
      <w:bookmarkStart w:id="925" w:name="_Toc366409996"/>
      <w:bookmarkStart w:id="926" w:name="_Toc372088068"/>
      <w:bookmarkStart w:id="927" w:name="_Toc378069129"/>
      <w:r w:rsidRPr="004E6412">
        <w:t>Globalni trendovi razvoja</w:t>
      </w:r>
      <w:bookmarkEnd w:id="923"/>
      <w:bookmarkEnd w:id="924"/>
      <w:bookmarkEnd w:id="925"/>
      <w:bookmarkEnd w:id="926"/>
      <w:bookmarkEnd w:id="927"/>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Pomorski prijevoz predstavlja osnovicu globalne razmjene dobara, kako sirovina tako i gotovih proizvoda. Stoga je brodogradnja kao djelatnost globalno prisutna. Uz vodeću Kinu, brodovi se proizvode i u mnogim razvijenim industrijaliziranim zemljama, poput Južne Koreje, Japana, SAD-a te brojnih europskih država. Geografska distribucija brodogr</w:t>
      </w:r>
      <w:r w:rsidR="00311706" w:rsidRPr="004E6412">
        <w:rPr>
          <w:rFonts w:ascii="Times New Roman" w:hAnsi="Times New Roman"/>
        </w:rPr>
        <w:t>adnje uvelike se promijenila tijek</w:t>
      </w:r>
      <w:r w:rsidRPr="004E6412">
        <w:rPr>
          <w:rFonts w:ascii="Times New Roman" w:hAnsi="Times New Roman"/>
        </w:rPr>
        <w:t>om 20. i početkom 21. stoljeća. Većinu potražnje kroz povijest su ge</w:t>
      </w:r>
      <w:r w:rsidR="00311706" w:rsidRPr="004E6412">
        <w:rPr>
          <w:rFonts w:ascii="Times New Roman" w:hAnsi="Times New Roman"/>
        </w:rPr>
        <w:t xml:space="preserve">nerirale europske države, a </w:t>
      </w:r>
      <w:r w:rsidRPr="004E6412">
        <w:rPr>
          <w:rFonts w:ascii="Times New Roman" w:hAnsi="Times New Roman"/>
        </w:rPr>
        <w:t xml:space="preserve">slično </w:t>
      </w:r>
      <w:r w:rsidR="00311706" w:rsidRPr="004E6412">
        <w:rPr>
          <w:rFonts w:ascii="Times New Roman" w:hAnsi="Times New Roman"/>
        </w:rPr>
        <w:t>je stanje i danas</w:t>
      </w:r>
      <w:r w:rsidRPr="004E6412">
        <w:rPr>
          <w:rFonts w:ascii="Times New Roman" w:hAnsi="Times New Roman"/>
        </w:rPr>
        <w:t xml:space="preserve"> uz sve veći utjecaj azijskih zemalja.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Globalna brodogradnja prolazi kroz izrazito teško razdoblje u posljednje četiri godine. Pad se najviše osjetio u brodovima specijaliziranim</w:t>
      </w:r>
      <w:r w:rsidR="00311706" w:rsidRPr="004E6412">
        <w:rPr>
          <w:rFonts w:ascii="Times New Roman" w:hAnsi="Times New Roman"/>
        </w:rPr>
        <w:t>a</w:t>
      </w:r>
      <w:r w:rsidRPr="004E6412">
        <w:rPr>
          <w:rFonts w:ascii="Times New Roman" w:hAnsi="Times New Roman"/>
        </w:rPr>
        <w:t xml:space="preserve"> za prijevoz tereta, čije su narudžbe pale za 48% u 2012. u odnosu na godinu ranije, te su na otprilike 50% vrijedn</w:t>
      </w:r>
      <w:r w:rsidR="00311706" w:rsidRPr="004E6412">
        <w:rPr>
          <w:rFonts w:ascii="Times New Roman" w:hAnsi="Times New Roman"/>
        </w:rPr>
        <w:t xml:space="preserve">osti iz 2008. koja je ujedno </w:t>
      </w:r>
      <w:r w:rsidRPr="004E6412">
        <w:rPr>
          <w:rFonts w:ascii="Times New Roman" w:hAnsi="Times New Roman"/>
        </w:rPr>
        <w:t xml:space="preserve">i vrhunac poslovanja s vrijednostima narudžbi brodova od 400 milijardi dolara. </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Trenutno svi ključni pokaz</w:t>
      </w:r>
      <w:r w:rsidR="00311706" w:rsidRPr="004E6412">
        <w:rPr>
          <w:rFonts w:ascii="Times New Roman" w:hAnsi="Times New Roman"/>
        </w:rPr>
        <w:t>atelji (cijene vozarina, brodova i</w:t>
      </w:r>
      <w:r w:rsidRPr="004E6412">
        <w:rPr>
          <w:rFonts w:ascii="Times New Roman" w:hAnsi="Times New Roman"/>
        </w:rPr>
        <w:t xml:space="preserve"> brodova koji odlaze na rezališta) ukazuju na tešku situaciju u brodogradnji i spor oporavak. Globalnu brodogradnju obilježava prekapacitiranost postojećih brodogradilišta, financijsko tržište koje više nije spremno pratiti potrebe brodogradilišta i izrazito niske razine vozarina koje su blizu povijesnih minimuma.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Rekordno niske vozarine jednim su dijelom zaslužne i za pomlađivanje sv</w:t>
      </w:r>
      <w:r w:rsidR="00311706" w:rsidRPr="004E6412">
        <w:rPr>
          <w:rFonts w:ascii="Times New Roman" w:hAnsi="Times New Roman"/>
        </w:rPr>
        <w:t>jetske flote budući da je velik</w:t>
      </w:r>
      <w:r w:rsidRPr="004E6412">
        <w:rPr>
          <w:rFonts w:ascii="Times New Roman" w:hAnsi="Times New Roman"/>
        </w:rPr>
        <w:t xml:space="preserve"> broj brodova završi</w:t>
      </w:r>
      <w:r w:rsidR="00311706" w:rsidRPr="004E6412">
        <w:rPr>
          <w:rFonts w:ascii="Times New Roman" w:hAnsi="Times New Roman"/>
        </w:rPr>
        <w:t>o na rezalištima budući da</w:t>
      </w:r>
      <w:r w:rsidRPr="004E6412">
        <w:rPr>
          <w:rFonts w:ascii="Times New Roman" w:hAnsi="Times New Roman"/>
        </w:rPr>
        <w:t xml:space="preserve"> su pomorski prijevoznici bili suočeni s izrazito teškim uvjetima poslovanja i nemogućnošću pokrivanja operativnih troškova iz redovnog</w:t>
      </w:r>
      <w:r w:rsidR="00311706" w:rsidRPr="004E6412">
        <w:rPr>
          <w:rFonts w:ascii="Times New Roman" w:hAnsi="Times New Roman"/>
        </w:rPr>
        <w:t>a</w:t>
      </w:r>
      <w:r w:rsidRPr="004E6412">
        <w:rPr>
          <w:rFonts w:ascii="Times New Roman" w:hAnsi="Times New Roman"/>
        </w:rPr>
        <w:t xml:space="preserve"> poslovanja.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Cijene novogradnje brodova</w:t>
      </w:r>
      <w:r w:rsidR="001B41B0" w:rsidRPr="004E6412">
        <w:rPr>
          <w:rFonts w:ascii="Times New Roman" w:hAnsi="Times New Roman"/>
        </w:rPr>
        <w:t xml:space="preserve"> pale</w:t>
      </w:r>
      <w:r w:rsidRPr="004E6412">
        <w:rPr>
          <w:rFonts w:ascii="Times New Roman" w:hAnsi="Times New Roman"/>
        </w:rPr>
        <w:t xml:space="preserve"> su</w:t>
      </w:r>
      <w:r w:rsidR="001B41B0" w:rsidRPr="004E6412">
        <w:rPr>
          <w:rFonts w:ascii="Times New Roman" w:hAnsi="Times New Roman"/>
        </w:rPr>
        <w:t xml:space="preserve"> 8% u odnosu na 2011., odnosno između 35-40% u odnos</w:t>
      </w:r>
      <w:r w:rsidRPr="004E6412">
        <w:rPr>
          <w:rFonts w:ascii="Times New Roman" w:hAnsi="Times New Roman"/>
        </w:rPr>
        <w:t>u na rekordnu 2008. pa</w:t>
      </w:r>
      <w:r w:rsidR="001B41B0" w:rsidRPr="004E6412">
        <w:rPr>
          <w:rFonts w:ascii="Times New Roman" w:hAnsi="Times New Roman"/>
        </w:rPr>
        <w:t xml:space="preserve"> je trenutna razina cijena novih brodova na razinama kakve su postojale 2004. Zbog trenutnog</w:t>
      </w:r>
      <w:r w:rsidRPr="004E6412">
        <w:rPr>
          <w:rFonts w:ascii="Times New Roman" w:hAnsi="Times New Roman"/>
        </w:rPr>
        <w:t>a</w:t>
      </w:r>
      <w:r w:rsidR="001B41B0" w:rsidRPr="004E6412">
        <w:rPr>
          <w:rFonts w:ascii="Times New Roman" w:hAnsi="Times New Roman"/>
        </w:rPr>
        <w:t xml:space="preserve"> stanja, kao i budućih očekiv</w:t>
      </w:r>
      <w:r w:rsidRPr="004E6412">
        <w:rPr>
          <w:rFonts w:ascii="Times New Roman" w:hAnsi="Times New Roman"/>
        </w:rPr>
        <w:t xml:space="preserve">anja, narudžbe novih brodova </w:t>
      </w:r>
      <w:r w:rsidR="001B41B0" w:rsidRPr="004E6412">
        <w:rPr>
          <w:rFonts w:ascii="Times New Roman" w:hAnsi="Times New Roman"/>
        </w:rPr>
        <w:t>izrazito</w:t>
      </w:r>
      <w:r w:rsidRPr="004E6412">
        <w:rPr>
          <w:rFonts w:ascii="Times New Roman" w:hAnsi="Times New Roman"/>
        </w:rPr>
        <w:t xml:space="preserve"> su rijetke</w:t>
      </w:r>
      <w:r w:rsidR="001B41B0" w:rsidRPr="004E6412">
        <w:rPr>
          <w:rFonts w:ascii="Times New Roman" w:hAnsi="Times New Roman"/>
        </w:rPr>
        <w:t>. Prema prognozama</w:t>
      </w:r>
      <w:r w:rsidRPr="004E6412">
        <w:rPr>
          <w:rFonts w:ascii="Times New Roman" w:hAnsi="Times New Roman"/>
        </w:rPr>
        <w:t>,</w:t>
      </w:r>
      <w:r w:rsidR="001B41B0" w:rsidRPr="004E6412">
        <w:rPr>
          <w:rFonts w:ascii="Times New Roman" w:hAnsi="Times New Roman"/>
        </w:rPr>
        <w:t xml:space="preserve"> blagi oporavak neće uslijediti prije 2013. i 20</w:t>
      </w:r>
      <w:r w:rsidRPr="004E6412">
        <w:rPr>
          <w:rFonts w:ascii="Times New Roman" w:hAnsi="Times New Roman"/>
        </w:rPr>
        <w:t>14., uz veće izglede</w:t>
      </w:r>
      <w:r w:rsidR="001B41B0" w:rsidRPr="004E6412">
        <w:rPr>
          <w:rFonts w:ascii="Times New Roman" w:hAnsi="Times New Roman"/>
        </w:rPr>
        <w:t xml:space="preserve"> za narudžbe brodova za prije</w:t>
      </w:r>
      <w:r w:rsidRPr="004E6412">
        <w:rPr>
          <w:rFonts w:ascii="Times New Roman" w:hAnsi="Times New Roman"/>
        </w:rPr>
        <w:t>voz ukapljenog plina i prijevoz</w:t>
      </w:r>
      <w:r w:rsidR="001B41B0" w:rsidRPr="004E6412">
        <w:rPr>
          <w:rFonts w:ascii="Times New Roman" w:hAnsi="Times New Roman"/>
        </w:rPr>
        <w:t xml:space="preserve"> kontejnera, za razliku od tankera i brodova za prijevoz rasutih tereta.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Različite svjetske regije </w:t>
      </w:r>
      <w:r w:rsidR="001B41B0" w:rsidRPr="004E6412">
        <w:rPr>
          <w:rFonts w:ascii="Times New Roman" w:hAnsi="Times New Roman"/>
        </w:rPr>
        <w:t xml:space="preserve">specijalizirale </w:t>
      </w:r>
      <w:r w:rsidRPr="004E6412">
        <w:rPr>
          <w:rFonts w:ascii="Times New Roman" w:hAnsi="Times New Roman"/>
        </w:rPr>
        <w:t xml:space="preserve">su se </w:t>
      </w:r>
      <w:r w:rsidR="001B41B0" w:rsidRPr="004E6412">
        <w:rPr>
          <w:rFonts w:ascii="Times New Roman" w:hAnsi="Times New Roman"/>
        </w:rPr>
        <w:t>za proizvodnju različitih brodova, u ovisnosti o stupnju neophodnih znanja, primijenjenih tehnologija i mogućnosti standardizacije koja je preduvjet za iskorištavanje ekonomije obujma i ostvarivanja troškovnih prednosti. Azijska brodogradilišta prvenstveno su se usmjerila na proizvodnju standardiziranih brodova za p</w:t>
      </w:r>
      <w:r w:rsidRPr="004E6412">
        <w:rPr>
          <w:rFonts w:ascii="Times New Roman" w:hAnsi="Times New Roman"/>
        </w:rPr>
        <w:t>rijevoz tereta gdje usporednu</w:t>
      </w:r>
      <w:r w:rsidR="001B41B0" w:rsidRPr="004E6412">
        <w:rPr>
          <w:rFonts w:ascii="Times New Roman" w:hAnsi="Times New Roman"/>
        </w:rPr>
        <w:t xml:space="preserve"> prednost ostvaruju n</w:t>
      </w:r>
      <w:r w:rsidRPr="004E6412">
        <w:rPr>
          <w:rFonts w:ascii="Times New Roman" w:hAnsi="Times New Roman"/>
        </w:rPr>
        <w:t xml:space="preserve">ižim troškovima rada. S druge strane, </w:t>
      </w:r>
      <w:r w:rsidR="001B41B0" w:rsidRPr="004E6412">
        <w:rPr>
          <w:rFonts w:ascii="Times New Roman" w:hAnsi="Times New Roman"/>
        </w:rPr>
        <w:t xml:space="preserve">europske </w:t>
      </w:r>
      <w:r w:rsidRPr="004E6412">
        <w:rPr>
          <w:rFonts w:ascii="Times New Roman" w:hAnsi="Times New Roman"/>
        </w:rPr>
        <w:t xml:space="preserve">su se </w:t>
      </w:r>
      <w:r w:rsidR="001B41B0" w:rsidRPr="004E6412">
        <w:rPr>
          <w:rFonts w:ascii="Times New Roman" w:hAnsi="Times New Roman"/>
        </w:rPr>
        <w:t>zemlje usmjerile na proizvodnju specijaliziranih brodo</w:t>
      </w:r>
      <w:r w:rsidRPr="004E6412">
        <w:rPr>
          <w:rFonts w:ascii="Times New Roman" w:hAnsi="Times New Roman"/>
        </w:rPr>
        <w:t>va visoke dodane vrijednosti i drže moćnu</w:t>
      </w:r>
      <w:r w:rsidR="001B41B0" w:rsidRPr="004E6412">
        <w:rPr>
          <w:rFonts w:ascii="Times New Roman" w:hAnsi="Times New Roman"/>
        </w:rPr>
        <w:t xml:space="preserve"> poziciju u globalnoj proizvodnji kruzera, dredgera (brodovi za jaružanje), </w:t>
      </w:r>
      <w:r w:rsidRPr="004E6412">
        <w:rPr>
          <w:rFonts w:ascii="Times New Roman" w:hAnsi="Times New Roman"/>
        </w:rPr>
        <w:t xml:space="preserve">kao i </w:t>
      </w:r>
      <w:r w:rsidR="001B41B0" w:rsidRPr="004E6412">
        <w:rPr>
          <w:rFonts w:ascii="Times New Roman" w:hAnsi="Times New Roman"/>
        </w:rPr>
        <w:t>specijaliziranih brodova za opskrbu platformi za podmorsko bušenje i slično.</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lastRenderedPageBreak/>
        <w:t>Svjetski lider u brodog</w:t>
      </w:r>
      <w:r w:rsidR="00311706" w:rsidRPr="004E6412">
        <w:rPr>
          <w:rFonts w:ascii="Times New Roman" w:hAnsi="Times New Roman"/>
        </w:rPr>
        <w:t xml:space="preserve">radnji je Kina, koja je vodeće mjesto </w:t>
      </w:r>
      <w:r w:rsidRPr="004E6412">
        <w:rPr>
          <w:rFonts w:ascii="Times New Roman" w:hAnsi="Times New Roman"/>
        </w:rPr>
        <w:t xml:space="preserve">preuzela od Južne Koreje 2010. Rastuća svjetska potražnja i aktivno usmjerenje kineskih vlasti </w:t>
      </w:r>
      <w:r w:rsidR="00311706" w:rsidRPr="004E6412">
        <w:rPr>
          <w:rFonts w:ascii="Times New Roman" w:hAnsi="Times New Roman"/>
        </w:rPr>
        <w:t>na razvoj brodogradnje uzrokovali su</w:t>
      </w:r>
      <w:r w:rsidRPr="004E6412">
        <w:rPr>
          <w:rFonts w:ascii="Times New Roman" w:hAnsi="Times New Roman"/>
        </w:rPr>
        <w:t xml:space="preserve"> progresivan rast. U 2011. Kina je držala 39% svjetske brodograđevne industrije, za usporedbu s Južnom Korejom čiji je udio iznosio 32% (mjereno kompenziranom bruto tonažom). Ukupan broj naručenih brodova početkom 2012. u južnokorejskim brodogradilištima iznosio je 1.089 brodova, što je bilo manje od polovice naručenih brodova u kineskim brodogradilištima. Ipak, promatrano kroz vrijednost isporučenih brodova Kina znatno zaostaje</w:t>
      </w:r>
      <w:r w:rsidR="00311706" w:rsidRPr="004E6412">
        <w:rPr>
          <w:rFonts w:ascii="Times New Roman" w:hAnsi="Times New Roman"/>
        </w:rPr>
        <w:t xml:space="preserve"> za Južnom Korejom (9 </w:t>
      </w:r>
      <w:r w:rsidRPr="004E6412">
        <w:rPr>
          <w:rFonts w:ascii="Times New Roman" w:hAnsi="Times New Roman"/>
        </w:rPr>
        <w:t xml:space="preserve">naspram 17,9 milijardi eura). </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Trenutna razina potražnje </w:t>
      </w:r>
      <w:r w:rsidR="001B41B0" w:rsidRPr="004E6412">
        <w:rPr>
          <w:rFonts w:ascii="Times New Roman" w:hAnsi="Times New Roman"/>
        </w:rPr>
        <w:t xml:space="preserve">znatno </w:t>
      </w:r>
      <w:r w:rsidRPr="004E6412">
        <w:rPr>
          <w:rFonts w:ascii="Times New Roman" w:hAnsi="Times New Roman"/>
        </w:rPr>
        <w:t xml:space="preserve">je </w:t>
      </w:r>
      <w:r w:rsidR="001B41B0" w:rsidRPr="004E6412">
        <w:rPr>
          <w:rFonts w:ascii="Times New Roman" w:hAnsi="Times New Roman"/>
        </w:rPr>
        <w:t>ispod proizvodnih kapaciteta, što je zbog razvijene konkurencije dovelo do dodatnog</w:t>
      </w:r>
      <w:r w:rsidRPr="004E6412">
        <w:rPr>
          <w:rFonts w:ascii="Times New Roman" w:hAnsi="Times New Roman"/>
        </w:rPr>
        <w:t>a</w:t>
      </w:r>
      <w:r w:rsidR="001B41B0" w:rsidRPr="004E6412">
        <w:rPr>
          <w:rFonts w:ascii="Times New Roman" w:hAnsi="Times New Roman"/>
        </w:rPr>
        <w:t xml:space="preserve"> pada cijena proizvodnje brodova. Ugovorene cijene za izgradnju novih brodova često su ispod troškova proizvodnje, dok su brodogradilišta primorana prihvatiti i takve cijene kako bi nastavila s proizvodnim djelatnostima. Kupci iskorištavaju svoje ugovorne mogućnosti otkaza ugovora što dovodi do daljnjih poremećaja u proizvodnji</w:t>
      </w:r>
      <w:r w:rsidR="008F5D8F" w:rsidRPr="004E6412">
        <w:rPr>
          <w:rFonts w:ascii="Times New Roman" w:hAnsi="Times New Roman"/>
        </w:rPr>
        <w:t>. Nedostatak narudžbi brodova omogućio</w:t>
      </w:r>
      <w:r w:rsidR="001B41B0" w:rsidRPr="004E6412">
        <w:rPr>
          <w:rFonts w:ascii="Times New Roman" w:hAnsi="Times New Roman"/>
        </w:rPr>
        <w:t xml:space="preserve"> je veliku pregovaračku moć kupcima, koj</w:t>
      </w:r>
      <w:r w:rsidR="008F5D8F" w:rsidRPr="004E6412">
        <w:rPr>
          <w:rFonts w:ascii="Times New Roman" w:hAnsi="Times New Roman"/>
        </w:rPr>
        <w:t>i uz nisku cijenu traže i visok</w:t>
      </w:r>
      <w:r w:rsidR="001B41B0" w:rsidRPr="004E6412">
        <w:rPr>
          <w:rFonts w:ascii="Times New Roman" w:hAnsi="Times New Roman"/>
        </w:rPr>
        <w:t xml:space="preserve"> standard kvalitete. </w:t>
      </w:r>
    </w:p>
    <w:p w:rsidR="001B41B0" w:rsidRPr="004E6412" w:rsidRDefault="001B41B0" w:rsidP="001B41B0">
      <w:pPr>
        <w:rPr>
          <w:sz w:val="22"/>
        </w:rPr>
      </w:pPr>
    </w:p>
    <w:p w:rsidR="001B41B0" w:rsidRPr="004E6412" w:rsidRDefault="001B41B0" w:rsidP="00D001B9">
      <w:pPr>
        <w:pStyle w:val="Heading3"/>
      </w:pPr>
      <w:bookmarkStart w:id="928" w:name="_Toc366154330"/>
      <w:bookmarkStart w:id="929" w:name="_Toc366154450"/>
      <w:bookmarkStart w:id="930" w:name="_Toc366409997"/>
      <w:bookmarkStart w:id="931" w:name="_Toc372088069"/>
      <w:bookmarkStart w:id="932" w:name="_Toc378069130"/>
      <w:r w:rsidRPr="004E6412">
        <w:t>Trendovi razvoja u Europskoj uniji</w:t>
      </w:r>
      <w:bookmarkEnd w:id="928"/>
      <w:bookmarkEnd w:id="929"/>
      <w:bookmarkEnd w:id="930"/>
      <w:bookmarkEnd w:id="931"/>
      <w:bookmarkEnd w:id="932"/>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Europske zemlje imaj</w:t>
      </w:r>
      <w:r w:rsidR="008F5D8F" w:rsidRPr="004E6412">
        <w:rPr>
          <w:rFonts w:ascii="Times New Roman" w:hAnsi="Times New Roman"/>
        </w:rPr>
        <w:t>u dugu tradiciju u brodogradnji</w:t>
      </w:r>
      <w:r w:rsidRPr="004E6412">
        <w:rPr>
          <w:rFonts w:ascii="Times New Roman" w:hAnsi="Times New Roman"/>
        </w:rPr>
        <w:t xml:space="preserve"> te su početkom 20. stoljeća držale 80% svjetske proizvodnje (mjereno kompenziranom bruto tonažom). Zbog snažnog rasta azijskog gospodarstva i strateških programa razvoja brodogradnje koji su znatno unaprijedili dotadašnje razine produktivnosti </w:t>
      </w:r>
      <w:r w:rsidR="008F5D8F" w:rsidRPr="004E6412">
        <w:rPr>
          <w:rFonts w:ascii="Times New Roman" w:hAnsi="Times New Roman"/>
        </w:rPr>
        <w:t>u proizvodnji, vodeće mjesto</w:t>
      </w:r>
      <w:r w:rsidRPr="004E6412">
        <w:rPr>
          <w:rFonts w:ascii="Times New Roman" w:hAnsi="Times New Roman"/>
        </w:rPr>
        <w:t xml:space="preserve"> isprva preuzima Japan, zatim Južna Koreja, a naposljetku Kina.</w:t>
      </w:r>
    </w:p>
    <w:p w:rsidR="001B41B0" w:rsidRPr="004E6412" w:rsidRDefault="001B41B0" w:rsidP="001B41B0">
      <w:pPr>
        <w:rPr>
          <w:sz w:val="22"/>
        </w:rPr>
      </w:pPr>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Brodogradn</w:t>
      </w:r>
      <w:r w:rsidR="008F5D8F" w:rsidRPr="004E6412">
        <w:rPr>
          <w:rFonts w:ascii="Times New Roman" w:hAnsi="Times New Roman"/>
        </w:rPr>
        <w:t>ju očekuju velike preobrazbe</w:t>
      </w:r>
      <w:r w:rsidRPr="004E6412">
        <w:rPr>
          <w:rFonts w:ascii="Times New Roman" w:hAnsi="Times New Roman"/>
        </w:rPr>
        <w:t xml:space="preserve"> u nadolazećim godinama. Najvažniji čimbenici koji će bitno utjecati na restrukturiranje brodogradnje su: (1) neisko</w:t>
      </w:r>
      <w:r w:rsidR="008F5D8F" w:rsidRPr="004E6412">
        <w:rPr>
          <w:rFonts w:ascii="Times New Roman" w:hAnsi="Times New Roman"/>
        </w:rPr>
        <w:t>rišteni proizvodni kapaciteti i niske cijene novogradnje</w:t>
      </w:r>
      <w:r w:rsidRPr="004E6412">
        <w:rPr>
          <w:rFonts w:ascii="Times New Roman" w:hAnsi="Times New Roman"/>
        </w:rPr>
        <w:t>; (2) niske razine novih narudžbi i promjene u strukturi potr</w:t>
      </w:r>
      <w:r w:rsidR="008F5D8F" w:rsidRPr="004E6412">
        <w:rPr>
          <w:rFonts w:ascii="Times New Roman" w:hAnsi="Times New Roman"/>
        </w:rPr>
        <w:t>ažnje; (3) pronalazak prikladnih</w:t>
      </w:r>
      <w:r w:rsidRPr="004E6412">
        <w:rPr>
          <w:rFonts w:ascii="Times New Roman" w:hAnsi="Times New Roman"/>
        </w:rPr>
        <w:t xml:space="preserve"> mehanizama financiranja</w:t>
      </w:r>
      <w:r w:rsidR="008F5D8F" w:rsidRPr="004E6412">
        <w:rPr>
          <w:rFonts w:ascii="Times New Roman" w:hAnsi="Times New Roman"/>
        </w:rPr>
        <w:t>,</w:t>
      </w:r>
      <w:r w:rsidRPr="004E6412">
        <w:rPr>
          <w:rFonts w:ascii="Times New Roman" w:hAnsi="Times New Roman"/>
        </w:rPr>
        <w:t xml:space="preserve"> i (4) promjene u zahtjevima vezanim</w:t>
      </w:r>
      <w:r w:rsidR="008F5D8F" w:rsidRPr="004E6412">
        <w:rPr>
          <w:rFonts w:ascii="Times New Roman" w:hAnsi="Times New Roman"/>
        </w:rPr>
        <w:t>a</w:t>
      </w:r>
      <w:r w:rsidRPr="004E6412">
        <w:rPr>
          <w:rFonts w:ascii="Times New Roman" w:hAnsi="Times New Roman"/>
        </w:rPr>
        <w:t xml:space="preserve"> uz ekonomiku </w:t>
      </w:r>
      <w:r w:rsidR="008F5D8F" w:rsidRPr="004E6412">
        <w:rPr>
          <w:rFonts w:ascii="Times New Roman" w:hAnsi="Times New Roman"/>
        </w:rPr>
        <w:t>i dizajn brodova te</w:t>
      </w:r>
      <w:r w:rsidRPr="004E6412">
        <w:rPr>
          <w:rFonts w:ascii="Times New Roman" w:hAnsi="Times New Roman"/>
        </w:rPr>
        <w:t xml:space="preserve"> promjene</w:t>
      </w:r>
      <w:r w:rsidR="008F5D8F" w:rsidRPr="004E6412">
        <w:rPr>
          <w:rFonts w:ascii="Times New Roman" w:hAnsi="Times New Roman"/>
        </w:rPr>
        <w:t xml:space="preserve"> u zakonodavstvu</w:t>
      </w:r>
      <w:r w:rsidRPr="004E6412">
        <w:rPr>
          <w:rFonts w:ascii="Times New Roman" w:hAnsi="Times New Roman"/>
        </w:rPr>
        <w:t>.</w:t>
      </w:r>
    </w:p>
    <w:p w:rsidR="001B41B0" w:rsidRPr="004E6412" w:rsidRDefault="001B41B0" w:rsidP="001B41B0">
      <w:pPr>
        <w:pStyle w:val="ListParagraph"/>
        <w:rPr>
          <w:rFonts w:ascii="Times New Roman" w:hAnsi="Times New Roman"/>
        </w:rPr>
      </w:pPr>
    </w:p>
    <w:p w:rsidR="001B41B0" w:rsidRPr="004E6412" w:rsidRDefault="001B41B0" w:rsidP="001B41B0">
      <w:pPr>
        <w:rPr>
          <w:szCs w:val="24"/>
        </w:rPr>
      </w:pPr>
    </w:p>
    <w:p w:rsidR="001B41B0" w:rsidRPr="004E6412" w:rsidRDefault="001B41B0" w:rsidP="00D001B9">
      <w:pPr>
        <w:pStyle w:val="Heading3"/>
      </w:pPr>
      <w:bookmarkStart w:id="933" w:name="_Toc366154331"/>
      <w:bookmarkStart w:id="934" w:name="_Toc366154451"/>
      <w:bookmarkStart w:id="935" w:name="_Toc366409998"/>
      <w:bookmarkStart w:id="936" w:name="_Toc372088071"/>
      <w:bookmarkStart w:id="937" w:name="_Toc378069131"/>
      <w:r w:rsidRPr="004E6412">
        <w:t>Stanje i perspektive razvoja u Republici Hrvatskoj</w:t>
      </w:r>
      <w:bookmarkEnd w:id="933"/>
      <w:bookmarkEnd w:id="934"/>
      <w:bookmarkEnd w:id="935"/>
      <w:bookmarkEnd w:id="936"/>
      <w:bookmarkEnd w:id="937"/>
    </w:p>
    <w:p w:rsidR="001B41B0" w:rsidRPr="004E6412" w:rsidRDefault="001B41B0" w:rsidP="001B41B0"/>
    <w:p w:rsidR="003C0C92" w:rsidRPr="004E6412" w:rsidRDefault="003C0C92" w:rsidP="00B15A78">
      <w:pPr>
        <w:numPr>
          <w:ilvl w:val="0"/>
          <w:numId w:val="165"/>
        </w:numPr>
        <w:rPr>
          <w:sz w:val="22"/>
        </w:rPr>
      </w:pPr>
      <w:r w:rsidRPr="004E6412">
        <w:rPr>
          <w:sz w:val="22"/>
        </w:rPr>
        <w:t xml:space="preserve">Analizirajući pojedinačne financijske izvještaje najvećih 100 poduzeća </w:t>
      </w:r>
      <w:r w:rsidR="00547AE1" w:rsidRPr="004E6412">
        <w:rPr>
          <w:sz w:val="22"/>
        </w:rPr>
        <w:t xml:space="preserve">u okviru </w:t>
      </w:r>
      <w:r w:rsidRPr="004E6412">
        <w:rPr>
          <w:sz w:val="22"/>
        </w:rPr>
        <w:t xml:space="preserve">djelatnosti C30, utvrđena su znatna odstupanja pokazatelja profitabilnosti pojedinih </w:t>
      </w:r>
      <w:r w:rsidR="004823E2" w:rsidRPr="004E6412">
        <w:rPr>
          <w:sz w:val="22"/>
        </w:rPr>
        <w:t>poduzeća</w:t>
      </w:r>
      <w:r w:rsidRPr="004E6412">
        <w:rPr>
          <w:sz w:val="22"/>
        </w:rPr>
        <w:t xml:space="preserve"> od prosjeka.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S obzirom da se radi o poduzećima koja u slučaju C30 čine 65,19% ukupnih prihoda cjelokupne djelatnosti, njihov</w:t>
      </w:r>
      <w:r w:rsidR="00547AE1" w:rsidRPr="004E6412">
        <w:rPr>
          <w:sz w:val="22"/>
        </w:rPr>
        <w:t>i</w:t>
      </w:r>
      <w:r w:rsidRPr="004E6412">
        <w:rPr>
          <w:sz w:val="22"/>
        </w:rPr>
        <w:t xml:space="preserve"> poslovni rezultati izuzetno mnogo utječu na poslovni rezultat cjelokupne djelatnosti.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Radi se o sljedećim poduzećima: Brodosplit brodogradilište d.o.o., Brodograđevna industrija 3. Maj d.d., Br</w:t>
      </w:r>
      <w:r w:rsidR="00547AE1" w:rsidRPr="004E6412">
        <w:rPr>
          <w:sz w:val="22"/>
        </w:rPr>
        <w:t>odogradilište Viktor Lenac d.d. te</w:t>
      </w:r>
      <w:r w:rsidRPr="004E6412">
        <w:rPr>
          <w:sz w:val="22"/>
        </w:rPr>
        <w:t xml:space="preserve"> Brodogradilište kraljevica d.d. u stečaju. To nisu jedina poduzeća iz prerađivačke industrije koja po nekom pokazatelju znatno odstupaju od prosjeka. Međutim</w:t>
      </w:r>
      <w:r w:rsidR="00547AE1" w:rsidRPr="004E6412">
        <w:rPr>
          <w:sz w:val="22"/>
        </w:rPr>
        <w:t>,</w:t>
      </w:r>
      <w:r w:rsidRPr="004E6412">
        <w:rPr>
          <w:sz w:val="22"/>
        </w:rPr>
        <w:t xml:space="preserve"> ova poduz</w:t>
      </w:r>
      <w:r w:rsidR="00547AE1" w:rsidRPr="004E6412">
        <w:rPr>
          <w:sz w:val="22"/>
        </w:rPr>
        <w:t xml:space="preserve">eća povezuje još jedan kriterij – </w:t>
      </w:r>
      <w:r w:rsidRPr="004E6412">
        <w:rPr>
          <w:sz w:val="22"/>
        </w:rPr>
        <w:t xml:space="preserve">udio države u vlasništvu veći od 50% (mješovito vlasništvo) i znatna dugogodišnja ulaganja, isplaćene subvencije i </w:t>
      </w:r>
      <w:r w:rsidRPr="004E6412">
        <w:rPr>
          <w:sz w:val="22"/>
        </w:rPr>
        <w:lastRenderedPageBreak/>
        <w:t xml:space="preserve">poticaji od strane države. Analizom poslovanja tih tvrtki s obzirom na opseg javno dostupnih podataka, </w:t>
      </w:r>
      <w:r w:rsidR="004823E2" w:rsidRPr="004E6412">
        <w:rPr>
          <w:sz w:val="22"/>
        </w:rPr>
        <w:t>utvrđeno</w:t>
      </w:r>
      <w:r w:rsidR="00547AE1" w:rsidRPr="004E6412">
        <w:rPr>
          <w:sz w:val="22"/>
        </w:rPr>
        <w:t xml:space="preserve"> je da je iznimno</w:t>
      </w:r>
      <w:r w:rsidRPr="004E6412">
        <w:rPr>
          <w:sz w:val="22"/>
        </w:rPr>
        <w:t xml:space="preserve"> visoka ili niska profitabilnost ovih poduzeća dobrim dijelom rezultat državnog utjecaja u vidu izdanih subvencija, zatim pretvaranja duga u imovinu, otpisa obveza i slično.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Iz tog</w:t>
      </w:r>
      <w:r w:rsidR="00547AE1" w:rsidRPr="004E6412">
        <w:rPr>
          <w:sz w:val="22"/>
        </w:rPr>
        <w:t xml:space="preserve">a se razloga </w:t>
      </w:r>
      <w:r w:rsidRPr="004E6412">
        <w:rPr>
          <w:sz w:val="22"/>
        </w:rPr>
        <w:t>izdvaja analiza profitabilnosti djelatnosti C30 te se navodi stupanj profitabilnosti bez utjecaja navedenih poduzeća.</w:t>
      </w:r>
    </w:p>
    <w:p w:rsidR="003C0C92" w:rsidRPr="004E6412" w:rsidRDefault="003C0C92" w:rsidP="003C0C92">
      <w:pPr>
        <w:rPr>
          <w:sz w:val="22"/>
        </w:rPr>
      </w:pPr>
    </w:p>
    <w:p w:rsidR="003C0C92" w:rsidRPr="007D0CFD" w:rsidRDefault="003C0C92" w:rsidP="007D0CFD">
      <w:pPr>
        <w:pStyle w:val="Heading5"/>
        <w:rPr>
          <w:rStyle w:val="IntenseEmphasis"/>
          <w:b/>
          <w:bCs w:val="0"/>
          <w:iCs w:val="0"/>
          <w:color w:val="548DD4" w:themeColor="text2" w:themeTint="99"/>
          <w:sz w:val="20"/>
        </w:rPr>
      </w:pPr>
      <w:bookmarkStart w:id="938" w:name="_Toc372088173"/>
      <w:bookmarkStart w:id="939" w:name="_Toc377551108"/>
      <w:bookmarkStart w:id="940" w:name="_Toc37763529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96</w:t>
      </w:r>
      <w:r w:rsidRPr="007D0CFD">
        <w:rPr>
          <w:rStyle w:val="IntenseEmphasis"/>
          <w:b/>
          <w:bCs w:val="0"/>
          <w:iCs w:val="0"/>
          <w:color w:val="548DD4" w:themeColor="text2" w:themeTint="99"/>
          <w:sz w:val="20"/>
        </w:rPr>
        <w:t>. Neto profitne stope izdvojenih poduzeća</w:t>
      </w:r>
      <w:bookmarkEnd w:id="938"/>
      <w:bookmarkEnd w:id="939"/>
      <w:bookmarkEnd w:id="940"/>
    </w:p>
    <w:tbl>
      <w:tblPr>
        <w:tblW w:w="5000" w:type="pct"/>
        <w:tblLook w:val="04A0" w:firstRow="1" w:lastRow="0" w:firstColumn="1" w:lastColumn="0" w:noHBand="0" w:noVBand="1"/>
      </w:tblPr>
      <w:tblGrid>
        <w:gridCol w:w="5386"/>
        <w:gridCol w:w="1886"/>
        <w:gridCol w:w="2014"/>
      </w:tblGrid>
      <w:tr w:rsidR="003C0C92" w:rsidRPr="004E6412" w:rsidTr="003C0C92">
        <w:trPr>
          <w:trHeight w:val="317"/>
        </w:trPr>
        <w:tc>
          <w:tcPr>
            <w:tcW w:w="285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Naziv poslovnog subjekta</w:t>
            </w:r>
          </w:p>
        </w:tc>
        <w:tc>
          <w:tcPr>
            <w:tcW w:w="1039"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NETO PROFITNA MARŽA 2012.</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ROA 2012.</w:t>
            </w:r>
          </w:p>
        </w:tc>
      </w:tr>
      <w:tr w:rsidR="003C0C92" w:rsidRPr="004E6412" w:rsidTr="003C0C92">
        <w:trPr>
          <w:trHeight w:val="720"/>
        </w:trPr>
        <w:tc>
          <w:tcPr>
            <w:tcW w:w="2853"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039"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BRODOSPLIT-BRODOGRADILIŠTE D.O.O.</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79,69%</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301,97%</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BRODOGRAĐEVNA INDUSTRIJA 3.</w:t>
            </w:r>
            <w:r w:rsidR="00547AE1" w:rsidRPr="004E6412">
              <w:rPr>
                <w:rFonts w:eastAsia="Times New Roman"/>
                <w:sz w:val="22"/>
                <w:lang w:eastAsia="hr-HR"/>
              </w:rPr>
              <w:t xml:space="preserve"> </w:t>
            </w:r>
            <w:r w:rsidRPr="004E6412">
              <w:rPr>
                <w:rFonts w:eastAsia="Times New Roman"/>
                <w:sz w:val="22"/>
                <w:lang w:eastAsia="hr-HR"/>
              </w:rPr>
              <w:t>MAJ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59,17%</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113,06%</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VIKTOR LENAC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-11,66%</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-8,35%</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KRALJEVICA D.D. U STEČAJU</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-491,22%</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-493,53%</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o</w:t>
      </w:r>
      <w:r w:rsidRPr="004E6412">
        <w:rPr>
          <w:sz w:val="20"/>
          <w:szCs w:val="20"/>
        </w:rPr>
        <w:t>brada autora.</w:t>
      </w:r>
    </w:p>
    <w:p w:rsidR="003C0C92" w:rsidRPr="004E6412" w:rsidRDefault="003C0C92" w:rsidP="00B15A78">
      <w:pPr>
        <w:numPr>
          <w:ilvl w:val="0"/>
          <w:numId w:val="166"/>
        </w:numPr>
        <w:spacing w:after="200"/>
        <w:rPr>
          <w:sz w:val="22"/>
        </w:rPr>
      </w:pPr>
      <w:r w:rsidRPr="004E6412">
        <w:rPr>
          <w:sz w:val="22"/>
        </w:rPr>
        <w:t xml:space="preserve">U gornjoj tablici prikazane su vrijednosti ostvarenih profitnih stopa izdvojenih poduzeća. Tako visoke vrijednosti iskrivljuju rezultate analize profitabilnosti na razini djelatnosti. </w:t>
      </w:r>
      <w:r w:rsidR="00547AE1" w:rsidRPr="004E6412">
        <w:rPr>
          <w:sz w:val="22"/>
        </w:rPr>
        <w:t xml:space="preserve">Brodogradilište Viktor Lenac </w:t>
      </w:r>
      <w:r w:rsidRPr="004E6412">
        <w:rPr>
          <w:sz w:val="22"/>
        </w:rPr>
        <w:t xml:space="preserve">izdvojeno </w:t>
      </w:r>
      <w:r w:rsidR="00547AE1" w:rsidRPr="004E6412">
        <w:rPr>
          <w:sz w:val="22"/>
        </w:rPr>
        <w:t xml:space="preserve">je </w:t>
      </w:r>
      <w:r w:rsidRPr="004E6412">
        <w:rPr>
          <w:sz w:val="22"/>
        </w:rPr>
        <w:t>zbog velikog financijskog utjecaja države, unatoč nižim negativnim stopama profitabilnosti.</w:t>
      </w:r>
    </w:p>
    <w:p w:rsidR="003C0C92" w:rsidRPr="007D0CFD" w:rsidRDefault="003C0C92" w:rsidP="007D0CFD">
      <w:pPr>
        <w:pStyle w:val="Heading5"/>
        <w:rPr>
          <w:rStyle w:val="IntenseEmphasis"/>
          <w:b/>
          <w:bCs w:val="0"/>
          <w:iCs w:val="0"/>
          <w:color w:val="548DD4" w:themeColor="text2" w:themeTint="99"/>
          <w:sz w:val="20"/>
        </w:rPr>
      </w:pPr>
      <w:bookmarkStart w:id="941" w:name="_Toc372088174"/>
      <w:bookmarkStart w:id="942" w:name="_Toc377551109"/>
      <w:bookmarkStart w:id="943" w:name="_Toc37763529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97</w:t>
      </w:r>
      <w:r w:rsidRPr="007D0CFD">
        <w:rPr>
          <w:rStyle w:val="IntenseEmphasis"/>
          <w:b/>
          <w:bCs w:val="0"/>
          <w:iCs w:val="0"/>
          <w:color w:val="548DD4" w:themeColor="text2" w:themeTint="99"/>
          <w:sz w:val="20"/>
        </w:rPr>
        <w:t>. Izabrani podaci i pokazatelji profitabilnosti djelatnosti C30 bez utjecaja izdvojenih poduzeća</w:t>
      </w:r>
      <w:bookmarkEnd w:id="941"/>
      <w:bookmarkEnd w:id="942"/>
      <w:bookmarkEnd w:id="943"/>
    </w:p>
    <w:tbl>
      <w:tblPr>
        <w:tblW w:w="5000" w:type="pct"/>
        <w:tblLook w:val="04A0" w:firstRow="1" w:lastRow="0" w:firstColumn="1" w:lastColumn="0" w:noHBand="0" w:noVBand="1"/>
      </w:tblPr>
      <w:tblGrid>
        <w:gridCol w:w="6651"/>
        <w:gridCol w:w="2635"/>
      </w:tblGrid>
      <w:tr w:rsidR="003C0C92" w:rsidRPr="004E6412" w:rsidTr="003F00B3">
        <w:trPr>
          <w:trHeight w:val="300"/>
        </w:trPr>
        <w:tc>
          <w:tcPr>
            <w:tcW w:w="3581" w:type="pct"/>
            <w:tcBorders>
              <w:top w:val="nil"/>
              <w:left w:val="nil"/>
              <w:bottom w:val="nil"/>
              <w:right w:val="nil"/>
            </w:tcBorders>
            <w:shd w:val="clear" w:color="auto" w:fill="auto"/>
            <w:noWrap/>
            <w:vAlign w:val="center"/>
          </w:tcPr>
          <w:p w:rsidR="003C0C92" w:rsidRPr="004E6412" w:rsidRDefault="003C0C92" w:rsidP="003C0C92">
            <w:pPr>
              <w:rPr>
                <w:rFonts w:eastAsia="Times New Roman"/>
                <w:color w:val="000000"/>
                <w:lang w:eastAsia="hr-HR"/>
              </w:rPr>
            </w:pPr>
          </w:p>
        </w:tc>
        <w:tc>
          <w:tcPr>
            <w:tcW w:w="1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b/>
                <w:bCs/>
                <w:color w:val="000000"/>
                <w:lang w:eastAsia="hr-HR"/>
              </w:rPr>
            </w:pPr>
            <w:r w:rsidRPr="004E6412">
              <w:rPr>
                <w:rFonts w:eastAsia="Times New Roman"/>
                <w:b/>
                <w:bCs/>
                <w:color w:val="000000"/>
                <w:sz w:val="22"/>
                <w:lang w:eastAsia="hr-HR"/>
              </w:rPr>
              <w:t>2012.</w:t>
            </w:r>
          </w:p>
        </w:tc>
      </w:tr>
      <w:tr w:rsidR="003C0C92" w:rsidRPr="004E6412" w:rsidTr="003F00B3">
        <w:trPr>
          <w:trHeight w:val="300"/>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BROJ ZAPOSLENIH</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7.013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UKUPNO AKTIVA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4.156.159.383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PRIHODI</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3.013.382.986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DOBIT ILI GUBITAK RAZDOBLJA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-873.631.638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PRIHODI OD PRODAJE U INOZEMSTVU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1.812.406.953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UVOZ U RAZDOBLJU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735.383.205 HRK</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NETO PROFITNA MARŽA</w:t>
            </w:r>
          </w:p>
        </w:tc>
        <w:tc>
          <w:tcPr>
            <w:tcW w:w="1419" w:type="pct"/>
            <w:tcBorders>
              <w:top w:val="single" w:sz="4" w:space="0" w:color="auto"/>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color w:val="000000"/>
                <w:lang w:eastAsia="hr-HR"/>
              </w:rPr>
            </w:pPr>
            <w:r w:rsidRPr="004E6412">
              <w:rPr>
                <w:rFonts w:eastAsia="Times New Roman"/>
                <w:color w:val="000000"/>
                <w:sz w:val="22"/>
                <w:lang w:eastAsia="hr-HR"/>
              </w:rPr>
              <w:t>-28,99%</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ROA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lang w:eastAsia="hr-HR"/>
              </w:rPr>
            </w:pPr>
            <w:r w:rsidRPr="004E6412">
              <w:rPr>
                <w:rFonts w:eastAsia="Times New Roman"/>
                <w:sz w:val="22"/>
                <w:lang w:eastAsia="hr-HR"/>
              </w:rPr>
              <w:t>-21,02%</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 PO ZAPOSLENOM</w:t>
            </w:r>
            <w:r w:rsidR="00547AE1" w:rsidRPr="00907034">
              <w:rPr>
                <w:rFonts w:eastAsia="Times New Roman"/>
                <w:bCs/>
                <w:sz w:val="22"/>
                <w:lang w:eastAsia="hr-HR"/>
              </w:rPr>
              <w:t>E</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429.685 HRK</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w:t>
      </w:r>
      <w:r w:rsidRPr="004E6412">
        <w:rPr>
          <w:sz w:val="20"/>
          <w:szCs w:val="20"/>
        </w:rPr>
        <w:t>obrada autora.</w:t>
      </w:r>
    </w:p>
    <w:p w:rsidR="003C0C92" w:rsidRPr="004E6412" w:rsidRDefault="006B73AA" w:rsidP="00B15A78">
      <w:pPr>
        <w:numPr>
          <w:ilvl w:val="0"/>
          <w:numId w:val="166"/>
        </w:numPr>
        <w:spacing w:after="200"/>
        <w:rPr>
          <w:sz w:val="22"/>
        </w:rPr>
      </w:pPr>
      <w:r w:rsidRPr="004E6412">
        <w:rPr>
          <w:sz w:val="22"/>
        </w:rPr>
        <w:t>Iz</w:t>
      </w:r>
      <w:r w:rsidR="003C0C92" w:rsidRPr="004E6412">
        <w:rPr>
          <w:sz w:val="22"/>
        </w:rPr>
        <w:t xml:space="preserve"> Tablic</w:t>
      </w:r>
      <w:r w:rsidR="00752DF8" w:rsidRPr="004E6412">
        <w:rPr>
          <w:sz w:val="22"/>
        </w:rPr>
        <w:t>e</w:t>
      </w:r>
      <w:r w:rsidR="003C0C92" w:rsidRPr="004E6412">
        <w:rPr>
          <w:sz w:val="22"/>
        </w:rPr>
        <w:t xml:space="preserve"> </w:t>
      </w:r>
      <w:r w:rsidR="009313C9" w:rsidRPr="004E6412">
        <w:rPr>
          <w:sz w:val="22"/>
        </w:rPr>
        <w:t>97</w:t>
      </w:r>
      <w:r w:rsidR="00547AE1" w:rsidRPr="004E6412">
        <w:rPr>
          <w:sz w:val="22"/>
        </w:rPr>
        <w:t xml:space="preserve">. </w:t>
      </w:r>
      <w:r w:rsidRPr="004E6412">
        <w:rPr>
          <w:sz w:val="22"/>
        </w:rPr>
        <w:t>v</w:t>
      </w:r>
      <w:r w:rsidR="003C0C92" w:rsidRPr="004E6412">
        <w:rPr>
          <w:sz w:val="22"/>
        </w:rPr>
        <w:t xml:space="preserve">idljivo </w:t>
      </w:r>
      <w:r w:rsidR="00547AE1" w:rsidRPr="004E6412">
        <w:rPr>
          <w:sz w:val="22"/>
        </w:rPr>
        <w:t xml:space="preserve">je </w:t>
      </w:r>
      <w:r w:rsidR="003C0C92" w:rsidRPr="004E6412">
        <w:rPr>
          <w:sz w:val="22"/>
        </w:rPr>
        <w:t>da se ukupna profitabilnost djelatnosti C30 znatno pogoršava kada se isključi</w:t>
      </w:r>
      <w:r w:rsidR="00547AE1" w:rsidRPr="004E6412">
        <w:rPr>
          <w:sz w:val="22"/>
        </w:rPr>
        <w:t xml:space="preserve"> utjecaj izdvojenih poduzeća. S</w:t>
      </w:r>
      <w:r w:rsidR="003C0C92" w:rsidRPr="004E6412">
        <w:rPr>
          <w:sz w:val="22"/>
        </w:rPr>
        <w:t xml:space="preserve"> njihovim utjecajem ROA djelatnosti C</w:t>
      </w:r>
      <w:r w:rsidR="00547AE1" w:rsidRPr="004E6412">
        <w:rPr>
          <w:sz w:val="22"/>
        </w:rPr>
        <w:t>30 iznosi</w:t>
      </w:r>
      <w:r w:rsidR="003C0C92" w:rsidRPr="004E6412">
        <w:rPr>
          <w:sz w:val="22"/>
        </w:rPr>
        <w:t xml:space="preserve"> 45,94% u 2012., dok bez njihovog utjecaja iznosi -21,02%. Profitabilnost djelatnosti postaje visoko negativna, što potvrđuje i neto profitna marža od -28,99%.</w:t>
      </w:r>
    </w:p>
    <w:p w:rsidR="003C0C92" w:rsidRPr="004E6412" w:rsidRDefault="003C0C92" w:rsidP="00B15A78">
      <w:pPr>
        <w:numPr>
          <w:ilvl w:val="0"/>
          <w:numId w:val="166"/>
        </w:numPr>
        <w:spacing w:after="200"/>
        <w:rPr>
          <w:sz w:val="22"/>
        </w:rPr>
      </w:pPr>
      <w:r w:rsidRPr="004E6412">
        <w:rPr>
          <w:sz w:val="22"/>
        </w:rPr>
        <w:t xml:space="preserve">Zaključuje se kako se djelatnost C30 može i treba promatrati kao cjelina u sklopu industrijske analize jer sva poduzeća iz ove industrije </w:t>
      </w:r>
      <w:r w:rsidR="004823E2" w:rsidRPr="004E6412">
        <w:rPr>
          <w:sz w:val="22"/>
        </w:rPr>
        <w:t>čine</w:t>
      </w:r>
      <w:r w:rsidR="00547AE1" w:rsidRPr="004E6412">
        <w:rPr>
          <w:sz w:val="22"/>
        </w:rPr>
        <w:t xml:space="preserve"> stanje takvim</w:t>
      </w:r>
      <w:r w:rsidRPr="004E6412">
        <w:rPr>
          <w:sz w:val="22"/>
        </w:rPr>
        <w:t xml:space="preserve"> kakvo </w:t>
      </w:r>
      <w:r w:rsidR="00547AE1" w:rsidRPr="004E6412">
        <w:rPr>
          <w:sz w:val="22"/>
        </w:rPr>
        <w:t xml:space="preserve">ono </w:t>
      </w:r>
      <w:r w:rsidRPr="004E6412">
        <w:rPr>
          <w:sz w:val="22"/>
        </w:rPr>
        <w:t xml:space="preserve">jest. Međutim, spuštajući se na razinu djelatnosti valja s oprezom promatrati financijske pokazatelje djelatnosti C30 zbog velikog </w:t>
      </w:r>
      <w:r w:rsidR="00547AE1" w:rsidRPr="004E6412">
        <w:rPr>
          <w:sz w:val="22"/>
        </w:rPr>
        <w:t>utjecaja državnih novčanih i ne</w:t>
      </w:r>
      <w:r w:rsidRPr="004E6412">
        <w:rPr>
          <w:sz w:val="22"/>
        </w:rPr>
        <w:t>novčanih intervencija, koje su u ovim slučajevima u 2012. godini značajno izmijenile</w:t>
      </w:r>
      <w:r w:rsidR="00547AE1" w:rsidRPr="004E6412">
        <w:rPr>
          <w:sz w:val="22"/>
        </w:rPr>
        <w:t xml:space="preserve"> profitabilnost prethodno navedenih</w:t>
      </w:r>
      <w:r w:rsidRPr="004E6412">
        <w:rPr>
          <w:sz w:val="22"/>
        </w:rPr>
        <w:t xml:space="preserve"> </w:t>
      </w:r>
      <w:r w:rsidRPr="004E6412">
        <w:rPr>
          <w:sz w:val="22"/>
        </w:rPr>
        <w:lastRenderedPageBreak/>
        <w:t>poduzeća, a time i profitabilnost cjelokupne djelatnosti zbog visokog udjela tih poduzeća u ukupnoj aktivi, prihodima i općenito volumenu proizvodnje.</w:t>
      </w:r>
    </w:p>
    <w:p w:rsidR="003C0C92" w:rsidRPr="004E6412" w:rsidRDefault="003C0C92" w:rsidP="006B73AA">
      <w:pPr>
        <w:pStyle w:val="ListParagraph"/>
        <w:spacing w:after="0"/>
        <w:jc w:val="both"/>
        <w:rPr>
          <w:rFonts w:ascii="Times New Roman" w:hAnsi="Times New Roman"/>
        </w:rPr>
      </w:pPr>
    </w:p>
    <w:p w:rsidR="001B41B0" w:rsidRPr="004E6412" w:rsidRDefault="00547AE1" w:rsidP="001B41B0">
      <w:pPr>
        <w:pStyle w:val="ListParagraph"/>
        <w:numPr>
          <w:ilvl w:val="0"/>
          <w:numId w:val="57"/>
        </w:numPr>
        <w:spacing w:after="0"/>
        <w:jc w:val="both"/>
        <w:rPr>
          <w:rFonts w:ascii="Times New Roman" w:hAnsi="Times New Roman"/>
        </w:rPr>
      </w:pPr>
      <w:r w:rsidRPr="004E6412">
        <w:rPr>
          <w:rFonts w:ascii="Times New Roman" w:hAnsi="Times New Roman"/>
        </w:rPr>
        <w:t>Analiza u nastavku provedena na temelju podataka o svim</w:t>
      </w:r>
      <w:r w:rsidR="001B41B0" w:rsidRPr="004E6412">
        <w:rPr>
          <w:rFonts w:ascii="Times New Roman" w:hAnsi="Times New Roman"/>
        </w:rPr>
        <w:t xml:space="preserve"> poduzeć</w:t>
      </w:r>
      <w:r w:rsidRPr="004E6412">
        <w:rPr>
          <w:rFonts w:ascii="Times New Roman" w:hAnsi="Times New Roman"/>
        </w:rPr>
        <w:t>im</w:t>
      </w:r>
      <w:r w:rsidR="001B41B0" w:rsidRPr="004E6412">
        <w:rPr>
          <w:rFonts w:ascii="Times New Roman" w:hAnsi="Times New Roman"/>
        </w:rPr>
        <w:t>a iz djelatnosti.</w:t>
      </w:r>
    </w:p>
    <w:p w:rsidR="001B41B0" w:rsidRPr="004E6412" w:rsidRDefault="001B41B0" w:rsidP="001B41B0"/>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 djelatnost u 2012. broji 274 poduzeća, od kojih se najveći broj nalazi u poddjelatnosti  C30.1 Gradnj</w:t>
      </w:r>
      <w:r w:rsidR="00547AE1" w:rsidRPr="004E6412">
        <w:rPr>
          <w:rFonts w:ascii="Times New Roman" w:hAnsi="Times New Roman"/>
        </w:rPr>
        <w:t>a brodova i čamaca (251 poduzeće</w:t>
      </w:r>
      <w:r w:rsidRPr="004E6412">
        <w:rPr>
          <w:rFonts w:ascii="Times New Roman" w:hAnsi="Times New Roman"/>
        </w:rPr>
        <w:t xml:space="preserve"> odnosno 91,61% ukupnog</w:t>
      </w:r>
      <w:r w:rsidR="00547AE1" w:rsidRPr="004E6412">
        <w:rPr>
          <w:rFonts w:ascii="Times New Roman" w:hAnsi="Times New Roman"/>
        </w:rPr>
        <w:t>a</w:t>
      </w:r>
      <w:r w:rsidRPr="004E6412">
        <w:rPr>
          <w:rFonts w:ascii="Times New Roman" w:hAnsi="Times New Roman"/>
        </w:rPr>
        <w:t xml:space="preserve"> broja).</w:t>
      </w:r>
      <w:r w:rsidR="004823E2" w:rsidRPr="004E6412">
        <w:rPr>
          <w:rFonts w:ascii="Times New Roman" w:hAnsi="Times New Roman"/>
        </w:rPr>
        <w:t xml:space="preserve"> </w:t>
      </w:r>
      <w:r w:rsidRPr="004E6412">
        <w:rPr>
          <w:rFonts w:ascii="Times New Roman" w:hAnsi="Times New Roman"/>
        </w:rPr>
        <w:t>Broj zaposlenih se u promatrane tri godine (2010.</w:t>
      </w:r>
      <w:r w:rsidR="00547AE1" w:rsidRPr="004E6412">
        <w:rPr>
          <w:rFonts w:ascii="Times New Roman" w:hAnsi="Times New Roman"/>
        </w:rPr>
        <w:t xml:space="preserve"> – </w:t>
      </w:r>
      <w:r w:rsidRPr="004E6412">
        <w:rPr>
          <w:rFonts w:ascii="Times New Roman" w:hAnsi="Times New Roman"/>
        </w:rPr>
        <w:t>2012.) povećao za 3,51%.</w:t>
      </w:r>
      <w:r w:rsidR="004823E2" w:rsidRPr="004E6412">
        <w:rPr>
          <w:rFonts w:ascii="Times New Roman" w:hAnsi="Times New Roman"/>
        </w:rPr>
        <w:t xml:space="preserve"> </w:t>
      </w:r>
      <w:r w:rsidRPr="004E6412">
        <w:rPr>
          <w:rFonts w:ascii="Times New Roman" w:hAnsi="Times New Roman"/>
        </w:rPr>
        <w:t>Tri najveća poduzeća po kriteriju ukupnog</w:t>
      </w:r>
      <w:r w:rsidR="00547AE1" w:rsidRPr="004E6412">
        <w:rPr>
          <w:rFonts w:ascii="Times New Roman" w:hAnsi="Times New Roman"/>
        </w:rPr>
        <w:t>a</w:t>
      </w:r>
      <w:r w:rsidRPr="004E6412">
        <w:rPr>
          <w:rFonts w:ascii="Times New Roman" w:hAnsi="Times New Roman"/>
        </w:rPr>
        <w:t xml:space="preserve"> prihoda su Brodosplit-brodogradilište d.o.o</w:t>
      </w:r>
      <w:r w:rsidR="00547AE1" w:rsidRPr="004E6412">
        <w:rPr>
          <w:rFonts w:ascii="Times New Roman" w:hAnsi="Times New Roman"/>
        </w:rPr>
        <w:t>., Brodograđevna industrija 3. Maj d.d. te</w:t>
      </w:r>
      <w:r w:rsidRPr="004E6412">
        <w:rPr>
          <w:rFonts w:ascii="Times New Roman" w:hAnsi="Times New Roman"/>
        </w:rPr>
        <w:t xml:space="preserve"> Uljanik brodogradilište d.d. Prema strukturi kapitala, metodom obračuna ponderiranog</w:t>
      </w:r>
      <w:r w:rsidR="00547AE1" w:rsidRPr="004E6412">
        <w:rPr>
          <w:rFonts w:ascii="Times New Roman" w:hAnsi="Times New Roman"/>
        </w:rPr>
        <w:t>a</w:t>
      </w:r>
      <w:r w:rsidRPr="004E6412">
        <w:rPr>
          <w:rFonts w:ascii="Times New Roman" w:hAnsi="Times New Roman"/>
        </w:rPr>
        <w:t xml:space="preserve"> udjela inozemnog</w:t>
      </w:r>
      <w:r w:rsidR="00547AE1" w:rsidRPr="004E6412">
        <w:rPr>
          <w:rFonts w:ascii="Times New Roman" w:hAnsi="Times New Roman"/>
        </w:rPr>
        <w:t>a</w:t>
      </w:r>
      <w:r w:rsidRPr="004E6412">
        <w:rPr>
          <w:rFonts w:ascii="Times New Roman" w:hAnsi="Times New Roman"/>
        </w:rPr>
        <w:t xml:space="preserve"> i domaćeg kapitala, 97,52</w:t>
      </w:r>
      <w:r w:rsidR="00547AE1" w:rsidRPr="004E6412">
        <w:rPr>
          <w:rFonts w:ascii="Times New Roman" w:hAnsi="Times New Roman"/>
        </w:rPr>
        <w:t>% kapitala je domaćeg</w:t>
      </w:r>
      <w:r w:rsidRPr="004E6412">
        <w:rPr>
          <w:rFonts w:ascii="Times New Roman" w:hAnsi="Times New Roman"/>
        </w:rPr>
        <w:t>, a</w:t>
      </w:r>
      <w:r w:rsidR="00547AE1" w:rsidRPr="004E6412">
        <w:rPr>
          <w:rFonts w:ascii="Times New Roman" w:hAnsi="Times New Roman"/>
        </w:rPr>
        <w:t xml:space="preserve"> ostatak je inozemnog porijekla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w:t>
      </w:r>
      <w:r w:rsidR="00547AE1" w:rsidRPr="004E6412">
        <w:rPr>
          <w:rFonts w:ascii="Times New Roman" w:hAnsi="Times New Roman"/>
        </w:rPr>
        <w:t xml:space="preserve"> aktiva (pasiva) djelatnosti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 xml:space="preserve">smanjena </w:t>
      </w:r>
      <w:r w:rsidR="00547AE1" w:rsidRPr="004E6412">
        <w:rPr>
          <w:rFonts w:ascii="Times New Roman" w:hAnsi="Times New Roman"/>
        </w:rPr>
        <w:t xml:space="preserve">u razdoblju </w:t>
      </w:r>
      <w:r w:rsidRPr="004E6412">
        <w:rPr>
          <w:rFonts w:ascii="Times New Roman" w:hAnsi="Times New Roman"/>
        </w:rPr>
        <w:t>2010.</w:t>
      </w:r>
      <w:r w:rsidR="00547AE1" w:rsidRPr="004E6412">
        <w:rPr>
          <w:rFonts w:ascii="Times New Roman" w:hAnsi="Times New Roman"/>
        </w:rPr>
        <w:t xml:space="preserve"> – </w:t>
      </w:r>
      <w:r w:rsidRPr="004E6412">
        <w:rPr>
          <w:rFonts w:ascii="Times New Roman" w:hAnsi="Times New Roman"/>
        </w:rPr>
        <w:t>2012. za 13,67%. Omjer veličina dugotrajne i kratkotrajne i</w:t>
      </w:r>
      <w:r w:rsidR="00547AE1" w:rsidRPr="004E6412">
        <w:rPr>
          <w:rFonts w:ascii="Times New Roman" w:hAnsi="Times New Roman"/>
        </w:rPr>
        <w:t>movine</w:t>
      </w:r>
      <w:r w:rsidRPr="004E6412">
        <w:rPr>
          <w:rFonts w:ascii="Times New Roman" w:hAnsi="Times New Roman"/>
        </w:rPr>
        <w:t xml:space="preserve"> mijenjao </w:t>
      </w:r>
      <w:r w:rsidR="00547AE1" w:rsidRPr="004E6412">
        <w:rPr>
          <w:rFonts w:ascii="Times New Roman" w:hAnsi="Times New Roman"/>
        </w:rPr>
        <w:t>se tijekom</w:t>
      </w:r>
      <w:r w:rsidRPr="004E6412">
        <w:rPr>
          <w:rFonts w:ascii="Times New Roman" w:hAnsi="Times New Roman"/>
        </w:rPr>
        <w:t xml:space="preserve"> tri</w:t>
      </w:r>
      <w:r w:rsidR="00547AE1" w:rsidRPr="004E6412">
        <w:rPr>
          <w:rFonts w:ascii="Times New Roman" w:hAnsi="Times New Roman"/>
        </w:rPr>
        <w:t>ju promatranih godina</w:t>
      </w:r>
      <w:r w:rsidRPr="004E6412">
        <w:rPr>
          <w:rFonts w:ascii="Times New Roman" w:hAnsi="Times New Roman"/>
        </w:rPr>
        <w:t>, da bi obje kategorije imovine u 2012. završile na približno istim vrijednostima. Gledajuć</w:t>
      </w:r>
      <w:r w:rsidR="00547AE1" w:rsidRPr="004E6412">
        <w:rPr>
          <w:rFonts w:ascii="Times New Roman" w:hAnsi="Times New Roman"/>
        </w:rPr>
        <w:t xml:space="preserve">i trogodišnji vremenski okvir, kratkotrajna imovina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smanjena</w:t>
      </w:r>
      <w:r w:rsidR="00547AE1" w:rsidRPr="004E6412">
        <w:rPr>
          <w:rFonts w:ascii="Times New Roman" w:hAnsi="Times New Roman"/>
        </w:rPr>
        <w:t>,</w:t>
      </w:r>
      <w:r w:rsidRPr="004E6412">
        <w:rPr>
          <w:rFonts w:ascii="Times New Roman" w:hAnsi="Times New Roman"/>
        </w:rPr>
        <w:t xml:space="preserve"> a dugotrajna </w:t>
      </w:r>
      <w:r w:rsidR="00547AE1" w:rsidRPr="004E6412">
        <w:rPr>
          <w:rFonts w:ascii="Times New Roman" w:hAnsi="Times New Roman"/>
        </w:rPr>
        <w:t xml:space="preserve">je </w:t>
      </w:r>
      <w:r w:rsidRPr="004E6412">
        <w:rPr>
          <w:rFonts w:ascii="Times New Roman" w:hAnsi="Times New Roman"/>
        </w:rPr>
        <w:t>povećana. U udjelima kratkotrajne imovine najveći udio činila su potraživanja (47,55% u 2012.).</w:t>
      </w:r>
      <w:r w:rsidR="004823E2" w:rsidRPr="004E6412">
        <w:rPr>
          <w:rFonts w:ascii="Times New Roman" w:hAnsi="Times New Roman"/>
        </w:rPr>
        <w:t xml:space="preserve"> </w:t>
      </w:r>
      <w:r w:rsidRPr="004E6412">
        <w:rPr>
          <w:rFonts w:ascii="Times New Roman" w:hAnsi="Times New Roman"/>
        </w:rPr>
        <w:t>U d</w:t>
      </w:r>
      <w:r w:rsidR="00547AE1" w:rsidRPr="004E6412">
        <w:rPr>
          <w:rFonts w:ascii="Times New Roman" w:hAnsi="Times New Roman"/>
        </w:rPr>
        <w:t>ugotrajnoj imovini najveći udio</w:t>
      </w:r>
      <w:r w:rsidRPr="004E6412">
        <w:rPr>
          <w:rFonts w:ascii="Times New Roman" w:hAnsi="Times New Roman"/>
        </w:rPr>
        <w:t xml:space="preserve"> imala je materijalna (proizvodna) imovina. U 2012. taj udio iznosio je 76,67%.</w:t>
      </w:r>
      <w:r w:rsidR="004823E2" w:rsidRPr="004E6412">
        <w:rPr>
          <w:rFonts w:ascii="Times New Roman" w:hAnsi="Times New Roman"/>
        </w:rPr>
        <w:t xml:space="preserve"> </w:t>
      </w:r>
      <w:r w:rsidRPr="004E6412">
        <w:rPr>
          <w:rFonts w:ascii="Times New Roman" w:hAnsi="Times New Roman"/>
        </w:rPr>
        <w:t>U strukturi pasive u 2010. i 2011. zabilježen je negativan kapital u ovoj djelatnosti u iznosu od -</w:t>
      </w:r>
      <w:r w:rsidR="00547AE1" w:rsidRPr="004E6412">
        <w:rPr>
          <w:rFonts w:ascii="Times New Roman" w:hAnsi="Times New Roman"/>
        </w:rPr>
        <w:t>2,94 odnosno -2,54 milijarde kuna</w:t>
      </w:r>
      <w:r w:rsidRPr="004E6412">
        <w:rPr>
          <w:rFonts w:ascii="Times New Roman" w:hAnsi="Times New Roman"/>
        </w:rPr>
        <w:t xml:space="preserve">. </w:t>
      </w:r>
      <w:r w:rsidR="00547AE1" w:rsidRPr="004E6412">
        <w:rPr>
          <w:rFonts w:ascii="Times New Roman" w:hAnsi="Times New Roman"/>
        </w:rPr>
        <w:t xml:space="preserve">Dugoročne obveze djelatnosti </w:t>
      </w:r>
      <w:r w:rsidRPr="004E6412">
        <w:rPr>
          <w:rFonts w:ascii="Times New Roman" w:hAnsi="Times New Roman"/>
        </w:rPr>
        <w:t xml:space="preserve">po godinama </w:t>
      </w:r>
      <w:r w:rsidR="00547AE1" w:rsidRPr="004E6412">
        <w:rPr>
          <w:rFonts w:ascii="Times New Roman" w:hAnsi="Times New Roman"/>
        </w:rPr>
        <w:t xml:space="preserve">se </w:t>
      </w:r>
      <w:r w:rsidRPr="004E6412">
        <w:rPr>
          <w:rFonts w:ascii="Times New Roman" w:hAnsi="Times New Roman"/>
        </w:rPr>
        <w:t xml:space="preserve">kreću </w:t>
      </w:r>
      <w:r w:rsidR="00547AE1" w:rsidRPr="004E6412">
        <w:rPr>
          <w:rFonts w:ascii="Times New Roman" w:hAnsi="Times New Roman"/>
        </w:rPr>
        <w:t>između 2,10 i 3,07 milijardi kuna</w:t>
      </w:r>
      <w:r w:rsidRPr="004E6412">
        <w:rPr>
          <w:rFonts w:ascii="Times New Roman" w:hAnsi="Times New Roman"/>
        </w:rPr>
        <w:t xml:space="preserve"> i ne predstavljaju značajnije opterećenje, dok su kratkoročne obveze u većini promatranog</w:t>
      </w:r>
      <w:r w:rsidR="00547AE1" w:rsidRPr="004E6412">
        <w:rPr>
          <w:rFonts w:ascii="Times New Roman" w:hAnsi="Times New Roman"/>
        </w:rPr>
        <w:t>a</w:t>
      </w:r>
      <w:r w:rsidRPr="004E6412">
        <w:rPr>
          <w:rFonts w:ascii="Times New Roman" w:hAnsi="Times New Roman"/>
        </w:rPr>
        <w:t xml:space="preserve"> trogodišnjeg razdoblja činile daleko najveći dio zaduženja ove djelatnosti.</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w:t>
      </w:r>
      <w:r w:rsidR="00721E0A" w:rsidRPr="004E6412">
        <w:rPr>
          <w:rFonts w:ascii="Times New Roman" w:hAnsi="Times New Roman"/>
        </w:rPr>
        <w:t xml:space="preserve">kupan prihod ove djelatnosti </w:t>
      </w:r>
      <w:r w:rsidRPr="004E6412">
        <w:rPr>
          <w:rFonts w:ascii="Times New Roman" w:hAnsi="Times New Roman"/>
        </w:rPr>
        <w:t>u promatranom</w:t>
      </w:r>
      <w:r w:rsidR="00721E0A" w:rsidRPr="004E6412">
        <w:rPr>
          <w:rFonts w:ascii="Times New Roman" w:hAnsi="Times New Roman"/>
        </w:rPr>
        <w:t>e je</w:t>
      </w:r>
      <w:r w:rsidRPr="004E6412">
        <w:rPr>
          <w:rFonts w:ascii="Times New Roman" w:hAnsi="Times New Roman"/>
        </w:rPr>
        <w:t xml:space="preserve"> razdoblju poveća</w:t>
      </w:r>
      <w:r w:rsidR="00721E0A" w:rsidRPr="004E6412">
        <w:rPr>
          <w:rFonts w:ascii="Times New Roman" w:hAnsi="Times New Roman"/>
        </w:rPr>
        <w:t>n za 1,86% na 8,65 milijardi kuna</w:t>
      </w:r>
      <w:r w:rsidRPr="004E6412">
        <w:rPr>
          <w:rFonts w:ascii="Times New Roman" w:hAnsi="Times New Roman"/>
        </w:rPr>
        <w:t>. Ističe se izuzetno visoka stopa smanjenja ukupnih rashoda i to za 3</w:t>
      </w:r>
      <w:r w:rsidR="00721E0A" w:rsidRPr="004E6412">
        <w:rPr>
          <w:rFonts w:ascii="Times New Roman" w:hAnsi="Times New Roman"/>
        </w:rPr>
        <w:t>9,86% na 5,43 milijarde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analize bilance i računa dobiti i gubitka jasno se vidi kako je poslovanje ove djelatnosti u 2010. bilo u velikim financijskim problemima. U naredne dvije godine financijsko stanje se poboljšalo. Obveze su znatno smanjene, vrijednost vlasničkog kapitala je zbog povećanja rezervi i ostvarene dobiti razdoblja posta</w:t>
      </w:r>
      <w:r w:rsidR="00721E0A" w:rsidRPr="004E6412">
        <w:rPr>
          <w:rFonts w:ascii="Times New Roman" w:hAnsi="Times New Roman"/>
        </w:rPr>
        <w:t>la pozitivna, a naglo su porasli</w:t>
      </w:r>
      <w:r w:rsidRPr="004E6412">
        <w:rPr>
          <w:rFonts w:ascii="Times New Roman" w:hAnsi="Times New Roman"/>
        </w:rPr>
        <w:t xml:space="preserve"> i pokazatelji profitabilnosti. Vrlo velikim smanjenjem poslovnih i financijskih rashoda ova djelatnost se financijski donekle oporavila u promatranom</w:t>
      </w:r>
      <w:r w:rsidR="00721E0A" w:rsidRPr="004E6412">
        <w:rPr>
          <w:rFonts w:ascii="Times New Roman" w:hAnsi="Times New Roman"/>
        </w:rPr>
        <w:t>e razdoblju. I</w:t>
      </w:r>
      <w:r w:rsidRPr="004E6412">
        <w:rPr>
          <w:rFonts w:ascii="Times New Roman" w:hAnsi="Times New Roman"/>
        </w:rPr>
        <w:t xml:space="preserve"> dalje </w:t>
      </w:r>
      <w:r w:rsidR="00721E0A" w:rsidRPr="004E6412">
        <w:rPr>
          <w:rFonts w:ascii="Times New Roman" w:hAnsi="Times New Roman"/>
        </w:rPr>
        <w:t xml:space="preserve">su problematične </w:t>
      </w:r>
      <w:r w:rsidRPr="004E6412">
        <w:rPr>
          <w:rFonts w:ascii="Times New Roman" w:hAnsi="Times New Roman"/>
        </w:rPr>
        <w:t>velike vrijednosti prenesenog</w:t>
      </w:r>
      <w:r w:rsidR="00721E0A" w:rsidRPr="004E6412">
        <w:rPr>
          <w:rFonts w:ascii="Times New Roman" w:hAnsi="Times New Roman"/>
        </w:rPr>
        <w:t>a</w:t>
      </w:r>
      <w:r w:rsidRPr="004E6412">
        <w:rPr>
          <w:rFonts w:ascii="Times New Roman" w:hAnsi="Times New Roman"/>
        </w:rPr>
        <w:t xml:space="preserve"> gubitka.</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Izvoz i uvoz </w:t>
      </w:r>
      <w:r w:rsidR="001B41B0" w:rsidRPr="004E6412">
        <w:rPr>
          <w:rFonts w:ascii="Times New Roman" w:hAnsi="Times New Roman"/>
        </w:rPr>
        <w:t xml:space="preserve">prepolovljeni </w:t>
      </w:r>
      <w:r w:rsidRPr="004E6412">
        <w:rPr>
          <w:rFonts w:ascii="Times New Roman" w:hAnsi="Times New Roman"/>
        </w:rPr>
        <w:t xml:space="preserve">su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 (zbog čega je za gotovo 50% smanjen udio izvoza i uvoza u ukupnom</w:t>
      </w:r>
      <w:r w:rsidRPr="004E6412">
        <w:rPr>
          <w:rFonts w:ascii="Times New Roman" w:hAnsi="Times New Roman"/>
        </w:rPr>
        <w:t>e</w:t>
      </w:r>
      <w:r w:rsidR="001B41B0" w:rsidRPr="004E6412">
        <w:rPr>
          <w:rFonts w:ascii="Times New Roman" w:hAnsi="Times New Roman"/>
        </w:rPr>
        <w:t xml:space="preserve"> izvozu i uvozu prerađivačke industrije), iako je neto izvoz i dalje ostao pozitivan </w:t>
      </w:r>
      <w:r w:rsidRPr="004E6412">
        <w:rPr>
          <w:rFonts w:ascii="Times New Roman" w:hAnsi="Times New Roman"/>
        </w:rPr>
        <w:t>i na solidnih 1,87 milijardi kuna u odnosu na 2,63 milijarde kuna</w:t>
      </w:r>
      <w:r w:rsidR="001B41B0" w:rsidRPr="004E6412">
        <w:rPr>
          <w:rFonts w:ascii="Times New Roman" w:hAnsi="Times New Roman"/>
        </w:rPr>
        <w:t xml:space="preserve"> iz 2010. Vanjskotrgovinska razmjena je smanjena. Bruto dodana vrijednost djelatnosti povećana je u promatranom</w:t>
      </w:r>
      <w:r w:rsidRPr="004E6412">
        <w:rPr>
          <w:rFonts w:ascii="Times New Roman" w:hAnsi="Times New Roman"/>
        </w:rPr>
        <w:t>e</w:t>
      </w:r>
      <w:r w:rsidR="001B41B0" w:rsidRPr="004E6412">
        <w:rPr>
          <w:rFonts w:ascii="Times New Roman" w:hAnsi="Times New Roman"/>
        </w:rPr>
        <w:t xml:space="preserve"> razdoblju za visokih 194,57</w:t>
      </w:r>
      <w:r w:rsidRPr="004E6412">
        <w:rPr>
          <w:rFonts w:ascii="Times New Roman" w:hAnsi="Times New Roman"/>
        </w:rPr>
        <w:t>% na 5,62 milijarde kuna</w:t>
      </w:r>
      <w:r w:rsidR="001B41B0" w:rsidRPr="004E6412">
        <w:rPr>
          <w:rFonts w:ascii="Times New Roman" w:hAnsi="Times New Roman"/>
        </w:rPr>
        <w:t>, zbog čega je narastao i nje</w:t>
      </w:r>
      <w:r w:rsidRPr="004E6412">
        <w:rPr>
          <w:rFonts w:ascii="Times New Roman" w:hAnsi="Times New Roman"/>
        </w:rPr>
        <w:t>zi</w:t>
      </w:r>
      <w:r w:rsidR="001B41B0" w:rsidRPr="004E6412">
        <w:rPr>
          <w:rFonts w:ascii="Times New Roman" w:hAnsi="Times New Roman"/>
        </w:rPr>
        <w:t>n udio u bruto dodanoj vrijednosti prerađivačke industrije i ukupnog gospodarstva.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Obilježje cjelokupne djelatnosti je niska likvidnost u sve tri promatrane godine (2010</w:t>
      </w:r>
      <w:r w:rsidR="00721E0A" w:rsidRPr="004E6412">
        <w:rPr>
          <w:rFonts w:ascii="Times New Roman" w:hAnsi="Times New Roman"/>
        </w:rPr>
        <w:t xml:space="preserve">. – </w:t>
      </w:r>
      <w:r w:rsidRPr="004E6412">
        <w:rPr>
          <w:rFonts w:ascii="Times New Roman" w:hAnsi="Times New Roman"/>
        </w:rPr>
        <w:t xml:space="preserve">2012.). Likvidnost se osjetno poboljšala u 2011. i posebice u 2012. zbog smanjenja </w:t>
      </w:r>
      <w:r w:rsidRPr="004E6412">
        <w:rPr>
          <w:rFonts w:ascii="Times New Roman" w:hAnsi="Times New Roman"/>
        </w:rPr>
        <w:lastRenderedPageBreak/>
        <w:t>opterećenja po kratkoročnom</w:t>
      </w:r>
      <w:r w:rsidR="00721E0A" w:rsidRPr="004E6412">
        <w:rPr>
          <w:rFonts w:ascii="Times New Roman" w:hAnsi="Times New Roman"/>
        </w:rPr>
        <w:t>e</w:t>
      </w:r>
      <w:r w:rsidRPr="004E6412">
        <w:rPr>
          <w:rFonts w:ascii="Times New Roman" w:hAnsi="Times New Roman"/>
        </w:rPr>
        <w:t xml:space="preserve"> dugu. No</w:t>
      </w:r>
      <w:r w:rsidR="00721E0A" w:rsidRPr="004E6412">
        <w:rPr>
          <w:rFonts w:ascii="Times New Roman" w:hAnsi="Times New Roman"/>
        </w:rPr>
        <w:t>,</w:t>
      </w:r>
      <w:r w:rsidRPr="004E6412">
        <w:rPr>
          <w:rFonts w:ascii="Times New Roman" w:hAnsi="Times New Roman"/>
        </w:rPr>
        <w:t xml:space="preserve"> i dalje ova djelatnost nema dovoljno likvidne imovine za pokriće tekućih obveza, zbog čega je ovisna o kreditima i zajmovima za likvidnost.</w:t>
      </w:r>
    </w:p>
    <w:p w:rsidR="001B41B0" w:rsidRPr="004E6412" w:rsidRDefault="001B41B0" w:rsidP="001B41B0">
      <w:pPr>
        <w:pStyle w:val="ListParagraph"/>
        <w:rPr>
          <w:rFonts w:ascii="Times New Roman" w:hAnsi="Times New Roman"/>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Zaduženost djelatnosti </w:t>
      </w:r>
      <w:r w:rsidR="001B41B0" w:rsidRPr="004E6412">
        <w:rPr>
          <w:rFonts w:ascii="Times New Roman" w:hAnsi="Times New Roman"/>
        </w:rPr>
        <w:t xml:space="preserve">bila </w:t>
      </w:r>
      <w:r w:rsidRPr="004E6412">
        <w:rPr>
          <w:rFonts w:ascii="Times New Roman" w:hAnsi="Times New Roman"/>
        </w:rPr>
        <w:t xml:space="preserve">je </w:t>
      </w:r>
      <w:r w:rsidR="001B41B0" w:rsidRPr="004E6412">
        <w:rPr>
          <w:rFonts w:ascii="Times New Roman" w:hAnsi="Times New Roman"/>
        </w:rPr>
        <w:t>vrlo visoka 2010.</w:t>
      </w:r>
      <w:r w:rsidRPr="004E6412">
        <w:rPr>
          <w:rFonts w:ascii="Times New Roman" w:hAnsi="Times New Roman"/>
        </w:rPr>
        <w:t xml:space="preserve"> – </w:t>
      </w:r>
      <w:r w:rsidR="001B41B0" w:rsidRPr="004E6412">
        <w:rPr>
          <w:rFonts w:ascii="Times New Roman" w:hAnsi="Times New Roman"/>
        </w:rPr>
        <w:t xml:space="preserve">2012. uz osjetno smanjenje zaduženosti u 2012. Posebno se izdvaja 2010. godina u kojoj je djelatnost imala negativan </w:t>
      </w:r>
      <w:r w:rsidRPr="004E6412">
        <w:rPr>
          <w:rFonts w:ascii="Times New Roman" w:hAnsi="Times New Roman"/>
        </w:rPr>
        <w:t xml:space="preserve">kapital i vrlo visok iznos duga. Naime, </w:t>
      </w:r>
      <w:r w:rsidR="001B41B0" w:rsidRPr="004E6412">
        <w:rPr>
          <w:rFonts w:ascii="Times New Roman" w:hAnsi="Times New Roman"/>
        </w:rPr>
        <w:t>81% izvora imovine dolazi od vanjskih izvora u 2012. Dugotrajna imovina financirana je prvenstveno dugoro</w:t>
      </w:r>
      <w:r w:rsidRPr="004E6412">
        <w:rPr>
          <w:rFonts w:ascii="Times New Roman" w:hAnsi="Times New Roman"/>
        </w:rPr>
        <w:t>čnim dugom (kreditima), a čimbenik</w:t>
      </w:r>
      <w:r w:rsidR="001B41B0" w:rsidRPr="004E6412">
        <w:rPr>
          <w:rFonts w:ascii="Times New Roman" w:hAnsi="Times New Roman"/>
        </w:rPr>
        <w:t xml:space="preserve"> zaduženosti je izuzetno visok (11,81 puta više obveza o</w:t>
      </w:r>
      <w:r w:rsidRPr="004E6412">
        <w:rPr>
          <w:rFonts w:ascii="Times New Roman" w:hAnsi="Times New Roman"/>
        </w:rPr>
        <w:t>d vrijednosti čistog novčanog tije</w:t>
      </w:r>
      <w:r w:rsidR="001B41B0" w:rsidRPr="004E6412">
        <w:rPr>
          <w:rFonts w:ascii="Times New Roman" w:hAnsi="Times New Roman"/>
        </w:rPr>
        <w:t>ka u 2012.). Najveća ukupna zaduženost zabilježena je u poddjelatnosti C30.1 Gradnja brodova i čamaca.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Broj zaposlenih u djelatnosti C21 po godinama 2010.</w:t>
      </w:r>
      <w:r w:rsidR="00721E0A" w:rsidRPr="004E6412">
        <w:rPr>
          <w:rFonts w:ascii="Times New Roman" w:hAnsi="Times New Roman"/>
        </w:rPr>
        <w:t xml:space="preserve"> – </w:t>
      </w:r>
      <w:r w:rsidRPr="004E6412">
        <w:rPr>
          <w:rFonts w:ascii="Times New Roman" w:hAnsi="Times New Roman"/>
        </w:rPr>
        <w:t>2012</w:t>
      </w:r>
      <w:r w:rsidR="00721E0A" w:rsidRPr="004E6412">
        <w:rPr>
          <w:rFonts w:ascii="Times New Roman" w:hAnsi="Times New Roman"/>
        </w:rPr>
        <w:t>. K</w:t>
      </w:r>
      <w:r w:rsidRPr="004E6412">
        <w:rPr>
          <w:rFonts w:ascii="Times New Roman" w:hAnsi="Times New Roman"/>
        </w:rPr>
        <w:t>retao</w:t>
      </w:r>
      <w:r w:rsidR="00721E0A" w:rsidRPr="004E6412">
        <w:rPr>
          <w:rFonts w:ascii="Times New Roman" w:hAnsi="Times New Roman"/>
        </w:rPr>
        <w:t xml:space="preserve"> se</w:t>
      </w:r>
      <w:r w:rsidRPr="004E6412">
        <w:rPr>
          <w:rFonts w:ascii="Times New Roman" w:hAnsi="Times New Roman"/>
        </w:rPr>
        <w:t xml:space="preserve"> redom 11.376, 13.007 i 11.776, što je rast od 3,51%. U prerađivačkoj industriji to predstavlja 5,25% zaposlenih u 2012.</w:t>
      </w:r>
      <w:r w:rsidR="00721E0A" w:rsidRPr="004E6412">
        <w:rPr>
          <w:rFonts w:ascii="Times New Roman" w:hAnsi="Times New Roman"/>
        </w:rPr>
        <w:t xml:space="preserve"> </w:t>
      </w:r>
      <w:r w:rsidRPr="004E6412">
        <w:rPr>
          <w:rFonts w:ascii="Times New Roman" w:hAnsi="Times New Roman"/>
        </w:rPr>
        <w:t>Najveći udio zaposlenih ima srednju stručnu spremu (30,26% u 2012.), a slijede KV radnici s udjelom od 26,31% u 2012.</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Poddjelatnost C30.1 Gradnja brodova i čamaca je prema udjelima u ukupnoj aktivi (pasivi) djelatnosti i prema apsolutnim vrijednostima aktive (pasive) bila najveća u sve tri promatrane godine (2010.</w:t>
      </w:r>
      <w:r w:rsidR="00721E0A" w:rsidRPr="004E6412">
        <w:rPr>
          <w:rFonts w:ascii="Times New Roman" w:hAnsi="Times New Roman"/>
        </w:rPr>
        <w:t xml:space="preserve"> – </w:t>
      </w:r>
      <w:r w:rsidRPr="004E6412">
        <w:rPr>
          <w:rFonts w:ascii="Times New Roman" w:hAnsi="Times New Roman"/>
        </w:rPr>
        <w:t xml:space="preserve">2012.). Udjeli su iznosili više od 74%. Zapravo, većina zaključaka iz analize djelatnosti odnosi se na poddjelatnost C30.1. Ova poddjelatnost ujedno najviše doprinosi pokazateljima ukupne zaduženosti </w:t>
      </w:r>
      <w:r w:rsidR="00721E0A" w:rsidRPr="004E6412">
        <w:rPr>
          <w:rFonts w:ascii="Times New Roman" w:hAnsi="Times New Roman"/>
        </w:rPr>
        <w:t>djelatnosti. Praktički sveukupni iznos zarade</w:t>
      </w:r>
      <w:r w:rsidRPr="004E6412">
        <w:rPr>
          <w:rFonts w:ascii="Times New Roman" w:hAnsi="Times New Roman"/>
        </w:rPr>
        <w:t xml:space="preserve"> nakon amortizacije, kamata i poreza ostvaren je u poddjelatnosti C30.1 Gradnja brodova i čamaca. Ova poddjelatnost čini više od 90% bruto dodane vrijednosti djelatnosti, a u vanjskoj trgovini čini preko 94% udjela u sve tri promatrane godine. Udjeli poddjelatnosti u broju zaposlenih djelatnosti odgovaraju udjelima u aktivi (pasivi). Očekivano najviše (&gt;80%) zapošljava poddjelatnost C30.1.</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Proces izgradnje broda </w:t>
      </w:r>
      <w:r w:rsidR="001B41B0" w:rsidRPr="004E6412">
        <w:rPr>
          <w:rFonts w:ascii="Times New Roman" w:hAnsi="Times New Roman"/>
        </w:rPr>
        <w:t xml:space="preserve">vremenski </w:t>
      </w:r>
      <w:r w:rsidRPr="004E6412">
        <w:rPr>
          <w:rFonts w:ascii="Times New Roman" w:hAnsi="Times New Roman"/>
        </w:rPr>
        <w:t xml:space="preserve">je zahtijevan zbog čega </w:t>
      </w:r>
      <w:r w:rsidR="001B41B0" w:rsidRPr="004E6412">
        <w:rPr>
          <w:rFonts w:ascii="Times New Roman" w:hAnsi="Times New Roman"/>
        </w:rPr>
        <w:t xml:space="preserve">djelatnost nije u stanju trenutno </w:t>
      </w:r>
      <w:r w:rsidRPr="004E6412">
        <w:rPr>
          <w:rFonts w:ascii="Times New Roman" w:hAnsi="Times New Roman"/>
        </w:rPr>
        <w:t xml:space="preserve">se </w:t>
      </w:r>
      <w:r w:rsidR="001B41B0" w:rsidRPr="004E6412">
        <w:rPr>
          <w:rFonts w:ascii="Times New Roman" w:hAnsi="Times New Roman"/>
        </w:rPr>
        <w:t xml:space="preserve">prilagoditi realnoj gospodarskoj situaciji.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Hrvatska brodogradilišta većinom su se usmjerila na proizvodnju brodova za prijevoz tekućih i rasutih tereta, brodova za prijevoz suhih tereta, brodov</w:t>
      </w:r>
      <w:r w:rsidR="00721E0A" w:rsidRPr="004E6412">
        <w:rPr>
          <w:rFonts w:ascii="Times New Roman" w:hAnsi="Times New Roman"/>
        </w:rPr>
        <w:t>a za prijevoz automobila i drugih</w:t>
      </w:r>
      <w:r w:rsidRPr="004E6412">
        <w:rPr>
          <w:rFonts w:ascii="Times New Roman" w:hAnsi="Times New Roman"/>
        </w:rPr>
        <w:t xml:space="preserve">, dok se brodogradilišta srednje veličine uglavnom bave gradnjom i popravkom brodova </w:t>
      </w:r>
      <w:r w:rsidR="00721E0A" w:rsidRPr="004E6412">
        <w:rPr>
          <w:rFonts w:ascii="Times New Roman" w:hAnsi="Times New Roman"/>
        </w:rPr>
        <w:t xml:space="preserve">obalne plovidbe. Važan segment </w:t>
      </w:r>
      <w:r w:rsidRPr="004E6412">
        <w:rPr>
          <w:rFonts w:ascii="Times New Roman" w:hAnsi="Times New Roman"/>
        </w:rPr>
        <w:t>predstavljaju i rekonstrukcije i preinake brodova gdje hrvatska brodog</w:t>
      </w:r>
      <w:r w:rsidR="00721E0A" w:rsidRPr="004E6412">
        <w:rPr>
          <w:rFonts w:ascii="Times New Roman" w:hAnsi="Times New Roman"/>
        </w:rPr>
        <w:t>radnja ima tradiciju i preporuke</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Ponuda radne snage (brodomontera, zavarivača, brodocjevara te tehničara brodograđevnog i strojarskog usmjerenja) nije zadovoljavajuća po pitanju potrebnih znanja i vještina, zbog čega poduzeća moraju ulagati dodatna financijska sredstva u izobrazbu zaposlenika kako bi </w:t>
      </w:r>
      <w:r w:rsidR="00721E0A" w:rsidRPr="004E6412">
        <w:rPr>
          <w:rFonts w:ascii="Times New Roman" w:hAnsi="Times New Roman"/>
        </w:rPr>
        <w:t>se mogli rasporediti</w:t>
      </w:r>
      <w:r w:rsidRPr="004E6412">
        <w:rPr>
          <w:rFonts w:ascii="Times New Roman" w:hAnsi="Times New Roman"/>
        </w:rPr>
        <w:t xml:space="preserve"> na konkretna radna mjesta. Do stabilizacije situacije na svjetskom brodograđevnom tržištu ne očekuju se nova zapošljavanja u hrvatskoj brodograđevnoj industriji. </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Osuvremenjivanje tehnologija </w:t>
      </w:r>
      <w:r w:rsidR="001B41B0" w:rsidRPr="004E6412">
        <w:rPr>
          <w:rFonts w:ascii="Times New Roman" w:hAnsi="Times New Roman"/>
        </w:rPr>
        <w:t xml:space="preserve">nužno </w:t>
      </w:r>
      <w:r w:rsidRPr="004E6412">
        <w:rPr>
          <w:rFonts w:ascii="Times New Roman" w:hAnsi="Times New Roman"/>
        </w:rPr>
        <w:t xml:space="preserve">je </w:t>
      </w:r>
      <w:r w:rsidR="001B41B0" w:rsidRPr="004E6412">
        <w:rPr>
          <w:rFonts w:ascii="Times New Roman" w:hAnsi="Times New Roman"/>
        </w:rPr>
        <w:t>kako bi se zadržao korak s globalnom konkurencijom i povećala produktivnost proiz</w:t>
      </w:r>
      <w:r w:rsidRPr="004E6412">
        <w:rPr>
          <w:rFonts w:ascii="Times New Roman" w:hAnsi="Times New Roman"/>
        </w:rPr>
        <w:t>vodnje. Ipak, potrebno je istaknuti</w:t>
      </w:r>
      <w:r w:rsidR="001B41B0" w:rsidRPr="004E6412">
        <w:rPr>
          <w:rFonts w:ascii="Times New Roman" w:hAnsi="Times New Roman"/>
        </w:rPr>
        <w:t xml:space="preserve"> da hrvatska poduzeća iz ove djelatnosti trenutno nemaju dovoljno financijskih sredstava za takva ulaganja, a pristup va</w:t>
      </w:r>
      <w:r w:rsidRPr="004E6412">
        <w:rPr>
          <w:rFonts w:ascii="Times New Roman" w:hAnsi="Times New Roman"/>
        </w:rPr>
        <w:t xml:space="preserve">njskim izvorima financiranja </w:t>
      </w:r>
      <w:r w:rsidR="001B41B0" w:rsidRPr="004E6412">
        <w:rPr>
          <w:rFonts w:ascii="Times New Roman" w:hAnsi="Times New Roman"/>
        </w:rPr>
        <w:t xml:space="preserve">skup </w:t>
      </w:r>
      <w:r w:rsidRPr="004E6412">
        <w:rPr>
          <w:rFonts w:ascii="Times New Roman" w:hAnsi="Times New Roman"/>
        </w:rPr>
        <w:t xml:space="preserve">je </w:t>
      </w:r>
      <w:r w:rsidR="001B41B0" w:rsidRPr="004E6412">
        <w:rPr>
          <w:rFonts w:ascii="Times New Roman" w:hAnsi="Times New Roman"/>
        </w:rPr>
        <w:t xml:space="preserve">i teško ostvariv. Financiranje brodogradilišta ostaje </w:t>
      </w:r>
      <w:r w:rsidR="001B41B0" w:rsidRPr="004E6412">
        <w:rPr>
          <w:rFonts w:ascii="Times New Roman" w:hAnsi="Times New Roman"/>
        </w:rPr>
        <w:lastRenderedPageBreak/>
        <w:t xml:space="preserve">jedno od ključnih pitanja zbog nepovoljnih uvjeta financiranja i nemogućnosti pribavljanja odgovarajućih jamstava.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is</w:t>
      </w:r>
      <w:r w:rsidR="00721E0A" w:rsidRPr="004E6412">
        <w:rPr>
          <w:rFonts w:ascii="Times New Roman" w:hAnsi="Times New Roman"/>
        </w:rPr>
        <w:t>tih razloga brodogradilišta veoma</w:t>
      </w:r>
      <w:r w:rsidRPr="004E6412">
        <w:rPr>
          <w:rFonts w:ascii="Times New Roman" w:hAnsi="Times New Roman"/>
        </w:rPr>
        <w:t xml:space="preserve"> malo sredstava ulažu u procese istraživanja i razvoja, dok trendovi u svijetu ukazuju na modernizaciju svjetskih brodogradilišta i znatna ulaganja u razvoj novih brodova koji će biti učinkovitiji u potrošnji goriva, imati svrsishodnija dizajnerska rješenja i biti ekološki prihvatljivija. Razvoj takvih brodova d</w:t>
      </w:r>
      <w:r w:rsidR="00721E0A" w:rsidRPr="004E6412">
        <w:rPr>
          <w:rFonts w:ascii="Times New Roman" w:hAnsi="Times New Roman"/>
        </w:rPr>
        <w:t xml:space="preserve">odatno će sniziti cijene </w:t>
      </w:r>
      <w:r w:rsidRPr="004E6412">
        <w:rPr>
          <w:rFonts w:ascii="Times New Roman" w:hAnsi="Times New Roman"/>
        </w:rPr>
        <w:t xml:space="preserve">brodova kakvi se trenutno proizvode. Stoga je nužno čim prije krenuti s procesima restrukturiranja radi podizanja postojećih razina produktivnosti i investiranja u nova tehnološka rješenja. </w:t>
      </w:r>
    </w:p>
    <w:p w:rsidR="001B41B0" w:rsidRPr="004E6412" w:rsidRDefault="001B41B0" w:rsidP="001B41B0">
      <w:pPr>
        <w:pStyle w:val="ListParagraph"/>
        <w:rPr>
          <w:rFonts w:ascii="Times New Roman" w:hAnsi="Times New Roman"/>
        </w:rPr>
      </w:pP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944" w:name="_Toc372088072"/>
      <w:bookmarkStart w:id="945" w:name="_Toc378069132"/>
      <w:r w:rsidRPr="004E6412">
        <w:rPr>
          <w:rFonts w:eastAsia="Calibri"/>
        </w:rPr>
        <w:lastRenderedPageBreak/>
        <w:t>Zaključni prikaz pokazatelja</w:t>
      </w:r>
      <w:bookmarkEnd w:id="944"/>
      <w:bookmarkEnd w:id="945"/>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946" w:name="_Toc372088175"/>
      <w:bookmarkStart w:id="947" w:name="_Toc377551110"/>
      <w:bookmarkStart w:id="948" w:name="_Toc37763529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98</w:t>
      </w:r>
      <w:r w:rsidRPr="007D0CFD">
        <w:rPr>
          <w:rStyle w:val="IntenseEmphasis"/>
          <w:b/>
          <w:bCs w:val="0"/>
          <w:iCs w:val="0"/>
          <w:color w:val="548DD4" w:themeColor="text2" w:themeTint="99"/>
          <w:sz w:val="20"/>
        </w:rPr>
        <w:t>. Kvantitativni pokazatelji (C30)</w:t>
      </w:r>
      <w:bookmarkEnd w:id="946"/>
      <w:bookmarkEnd w:id="947"/>
      <w:bookmarkEnd w:id="948"/>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99,90</w:t>
            </w:r>
          </w:p>
        </w:tc>
        <w:tc>
          <w:tcPr>
            <w:tcW w:w="968" w:type="pct"/>
            <w:shd w:val="clear" w:color="auto" w:fill="auto"/>
            <w:noWrap/>
          </w:tcPr>
          <w:p w:rsidR="001B41B0" w:rsidRPr="004E6412" w:rsidRDefault="001B41B0" w:rsidP="001B41B0">
            <w:pPr>
              <w:jc w:val="right"/>
            </w:pPr>
            <w:r w:rsidRPr="004E6412">
              <w:rPr>
                <w:sz w:val="22"/>
              </w:rPr>
              <w:t>100,60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78,2</w:t>
            </w:r>
          </w:p>
        </w:tc>
        <w:tc>
          <w:tcPr>
            <w:tcW w:w="968" w:type="pct"/>
            <w:shd w:val="clear" w:color="auto" w:fill="auto"/>
            <w:noWrap/>
          </w:tcPr>
          <w:p w:rsidR="001B41B0" w:rsidRPr="004E6412" w:rsidRDefault="001B41B0" w:rsidP="001B41B0">
            <w:pPr>
              <w:jc w:val="right"/>
            </w:pPr>
            <w:r w:rsidRPr="004E6412">
              <w:rPr>
                <w:sz w:val="22"/>
              </w:rPr>
              <w:t>102,5</w:t>
            </w:r>
          </w:p>
        </w:tc>
        <w:tc>
          <w:tcPr>
            <w:tcW w:w="1100" w:type="pct"/>
            <w:shd w:val="clear" w:color="auto" w:fill="auto"/>
            <w:noWrap/>
          </w:tcPr>
          <w:p w:rsidR="001B41B0" w:rsidRPr="004E6412" w:rsidRDefault="00A61190" w:rsidP="001B41B0">
            <w:pPr>
              <w:jc w:val="right"/>
            </w:pPr>
            <w:r w:rsidRPr="004E6412">
              <w:rPr>
                <w:sz w:val="22"/>
              </w:rPr>
              <w:t>97,1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11.376</w:t>
            </w:r>
          </w:p>
        </w:tc>
        <w:tc>
          <w:tcPr>
            <w:tcW w:w="968" w:type="pct"/>
            <w:shd w:val="clear" w:color="auto" w:fill="auto"/>
            <w:noWrap/>
          </w:tcPr>
          <w:p w:rsidR="001B41B0" w:rsidRPr="004E6412" w:rsidRDefault="001B41B0" w:rsidP="001B41B0">
            <w:pPr>
              <w:jc w:val="right"/>
            </w:pPr>
            <w:r w:rsidRPr="004E6412">
              <w:rPr>
                <w:sz w:val="22"/>
              </w:rPr>
              <w:t>13.007</w:t>
            </w:r>
          </w:p>
        </w:tc>
        <w:tc>
          <w:tcPr>
            <w:tcW w:w="1100" w:type="pct"/>
            <w:shd w:val="clear" w:color="auto" w:fill="auto"/>
            <w:noWrap/>
          </w:tcPr>
          <w:p w:rsidR="001B41B0" w:rsidRPr="004E6412" w:rsidRDefault="001B41B0" w:rsidP="001B41B0">
            <w:pPr>
              <w:jc w:val="right"/>
            </w:pPr>
            <w:r w:rsidRPr="004E6412">
              <w:rPr>
                <w:sz w:val="22"/>
              </w:rPr>
              <w:t>11.776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8.497.778.694</w:t>
            </w:r>
          </w:p>
        </w:tc>
        <w:tc>
          <w:tcPr>
            <w:tcW w:w="968" w:type="pct"/>
            <w:shd w:val="clear" w:color="auto" w:fill="auto"/>
            <w:noWrap/>
          </w:tcPr>
          <w:p w:rsidR="001B41B0" w:rsidRPr="004E6412" w:rsidRDefault="001B41B0" w:rsidP="001B41B0">
            <w:pPr>
              <w:jc w:val="right"/>
            </w:pPr>
            <w:r w:rsidRPr="004E6412">
              <w:rPr>
                <w:sz w:val="22"/>
              </w:rPr>
              <w:t>10.296.555.622</w:t>
            </w:r>
          </w:p>
        </w:tc>
        <w:tc>
          <w:tcPr>
            <w:tcW w:w="1100" w:type="pct"/>
            <w:shd w:val="clear" w:color="auto" w:fill="auto"/>
            <w:noWrap/>
          </w:tcPr>
          <w:p w:rsidR="001B41B0" w:rsidRPr="004E6412" w:rsidRDefault="001B41B0" w:rsidP="001B41B0">
            <w:pPr>
              <w:jc w:val="right"/>
            </w:pPr>
            <w:r w:rsidRPr="004E6412">
              <w:rPr>
                <w:sz w:val="22"/>
              </w:rPr>
              <w:t>8.655.522.472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251.277.655</w:t>
            </w:r>
          </w:p>
        </w:tc>
        <w:tc>
          <w:tcPr>
            <w:tcW w:w="968" w:type="pct"/>
            <w:shd w:val="clear" w:color="auto" w:fill="auto"/>
            <w:noWrap/>
          </w:tcPr>
          <w:p w:rsidR="001B41B0" w:rsidRPr="004E6412" w:rsidRDefault="001B41B0" w:rsidP="001B41B0">
            <w:pPr>
              <w:jc w:val="right"/>
            </w:pPr>
            <w:r w:rsidRPr="004E6412">
              <w:rPr>
                <w:sz w:val="22"/>
              </w:rPr>
              <w:t>4.699.330.357</w:t>
            </w:r>
          </w:p>
        </w:tc>
        <w:tc>
          <w:tcPr>
            <w:tcW w:w="1100" w:type="pct"/>
            <w:shd w:val="clear" w:color="auto" w:fill="auto"/>
            <w:noWrap/>
          </w:tcPr>
          <w:p w:rsidR="001B41B0" w:rsidRPr="004E6412" w:rsidRDefault="001B41B0" w:rsidP="001B41B0">
            <w:pPr>
              <w:jc w:val="right"/>
            </w:pPr>
            <w:r w:rsidRPr="004E6412">
              <w:rPr>
                <w:sz w:val="22"/>
              </w:rPr>
              <w:t>3.522.131.036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0,46</w:t>
            </w:r>
          </w:p>
        </w:tc>
        <w:tc>
          <w:tcPr>
            <w:tcW w:w="968" w:type="pct"/>
            <w:shd w:val="clear" w:color="auto" w:fill="auto"/>
            <w:noWrap/>
          </w:tcPr>
          <w:p w:rsidR="001B41B0" w:rsidRPr="004E6412" w:rsidRDefault="001B41B0" w:rsidP="001B41B0">
            <w:pPr>
              <w:jc w:val="right"/>
            </w:pPr>
            <w:r w:rsidRPr="004E6412">
              <w:rPr>
                <w:sz w:val="22"/>
              </w:rPr>
              <w:t>113,51</w:t>
            </w:r>
          </w:p>
        </w:tc>
        <w:tc>
          <w:tcPr>
            <w:tcW w:w="1100" w:type="pct"/>
            <w:shd w:val="clear" w:color="auto" w:fill="auto"/>
            <w:noWrap/>
          </w:tcPr>
          <w:p w:rsidR="001B41B0" w:rsidRPr="004E6412" w:rsidRDefault="001B41B0" w:rsidP="001B41B0">
            <w:pPr>
              <w:jc w:val="right"/>
            </w:pPr>
            <w:r w:rsidRPr="004E6412">
              <w:rPr>
                <w:sz w:val="22"/>
              </w:rPr>
              <w:t>94,23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746.992</w:t>
            </w:r>
          </w:p>
        </w:tc>
        <w:tc>
          <w:tcPr>
            <w:tcW w:w="968" w:type="pct"/>
            <w:shd w:val="clear" w:color="auto" w:fill="auto"/>
            <w:noWrap/>
          </w:tcPr>
          <w:p w:rsidR="001B41B0" w:rsidRPr="004E6412" w:rsidRDefault="001B41B0" w:rsidP="001B41B0">
            <w:pPr>
              <w:jc w:val="right"/>
            </w:pPr>
            <w:r w:rsidRPr="004E6412">
              <w:rPr>
                <w:sz w:val="22"/>
              </w:rPr>
              <w:t>791.616</w:t>
            </w:r>
          </w:p>
        </w:tc>
        <w:tc>
          <w:tcPr>
            <w:tcW w:w="1100" w:type="pct"/>
            <w:shd w:val="clear" w:color="auto" w:fill="auto"/>
            <w:noWrap/>
          </w:tcPr>
          <w:p w:rsidR="001B41B0" w:rsidRPr="004E6412" w:rsidRDefault="001B41B0" w:rsidP="001B41B0">
            <w:pPr>
              <w:jc w:val="right"/>
            </w:pPr>
            <w:r w:rsidRPr="004E6412">
              <w:rPr>
                <w:sz w:val="22"/>
              </w:rPr>
              <w:t>735.014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1.909.882.359</w:t>
            </w:r>
          </w:p>
        </w:tc>
        <w:tc>
          <w:tcPr>
            <w:tcW w:w="968" w:type="pct"/>
            <w:shd w:val="clear" w:color="auto" w:fill="auto"/>
            <w:noWrap/>
          </w:tcPr>
          <w:p w:rsidR="001B41B0" w:rsidRPr="004E6412" w:rsidRDefault="001B41B0" w:rsidP="001B41B0">
            <w:pPr>
              <w:jc w:val="right"/>
            </w:pPr>
            <w:r w:rsidRPr="004E6412">
              <w:rPr>
                <w:sz w:val="22"/>
              </w:rPr>
              <w:t>6.666.609.417</w:t>
            </w:r>
          </w:p>
        </w:tc>
        <w:tc>
          <w:tcPr>
            <w:tcW w:w="1100" w:type="pct"/>
            <w:shd w:val="clear" w:color="auto" w:fill="auto"/>
            <w:noWrap/>
          </w:tcPr>
          <w:p w:rsidR="001B41B0" w:rsidRPr="004E6412" w:rsidRDefault="001B41B0" w:rsidP="001B41B0">
            <w:pPr>
              <w:jc w:val="right"/>
            </w:pPr>
            <w:r w:rsidRPr="004E6412">
              <w:rPr>
                <w:sz w:val="22"/>
              </w:rPr>
              <w:t>5.625.971.913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17.519</w:t>
            </w:r>
          </w:p>
        </w:tc>
        <w:tc>
          <w:tcPr>
            <w:tcW w:w="968" w:type="pct"/>
            <w:shd w:val="clear" w:color="auto" w:fill="auto"/>
            <w:noWrap/>
          </w:tcPr>
          <w:p w:rsidR="001B41B0" w:rsidRPr="004E6412" w:rsidRDefault="001B41B0" w:rsidP="001B41B0">
            <w:pPr>
              <w:jc w:val="right"/>
            </w:pPr>
            <w:r w:rsidRPr="004E6412">
              <w:rPr>
                <w:sz w:val="22"/>
              </w:rPr>
              <w:t>297.830</w:t>
            </w:r>
          </w:p>
        </w:tc>
        <w:tc>
          <w:tcPr>
            <w:tcW w:w="1100" w:type="pct"/>
            <w:shd w:val="clear" w:color="auto" w:fill="auto"/>
            <w:noWrap/>
          </w:tcPr>
          <w:p w:rsidR="001B41B0" w:rsidRPr="004E6412" w:rsidRDefault="001B41B0" w:rsidP="001B41B0">
            <w:pPr>
              <w:jc w:val="right"/>
            </w:pPr>
            <w:r w:rsidRPr="004E6412">
              <w:rPr>
                <w:sz w:val="22"/>
              </w:rPr>
              <w:t>332.537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70.906</w:t>
            </w:r>
          </w:p>
        </w:tc>
        <w:tc>
          <w:tcPr>
            <w:tcW w:w="968" w:type="pct"/>
            <w:shd w:val="clear" w:color="auto" w:fill="auto"/>
            <w:noWrap/>
          </w:tcPr>
          <w:p w:rsidR="001B41B0" w:rsidRPr="004E6412" w:rsidRDefault="001B41B0" w:rsidP="001B41B0">
            <w:pPr>
              <w:jc w:val="right"/>
            </w:pPr>
            <w:r w:rsidRPr="004E6412">
              <w:rPr>
                <w:sz w:val="22"/>
              </w:rPr>
              <w:t>15.166</w:t>
            </w:r>
          </w:p>
        </w:tc>
        <w:tc>
          <w:tcPr>
            <w:tcW w:w="1100" w:type="pct"/>
            <w:shd w:val="clear" w:color="auto" w:fill="auto"/>
            <w:noWrap/>
          </w:tcPr>
          <w:p w:rsidR="001B41B0" w:rsidRPr="004E6412" w:rsidRDefault="001B41B0" w:rsidP="001B41B0">
            <w:pPr>
              <w:jc w:val="right"/>
            </w:pPr>
            <w:r w:rsidRPr="004E6412">
              <w:rPr>
                <w:sz w:val="22"/>
              </w:rPr>
              <w:t>59.801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2,324</w:t>
            </w:r>
          </w:p>
        </w:tc>
        <w:tc>
          <w:tcPr>
            <w:tcW w:w="968" w:type="pct"/>
            <w:shd w:val="clear" w:color="auto" w:fill="auto"/>
            <w:noWrap/>
          </w:tcPr>
          <w:p w:rsidR="001B41B0" w:rsidRPr="004E6412" w:rsidRDefault="001B41B0" w:rsidP="001B41B0">
            <w:pPr>
              <w:jc w:val="right"/>
            </w:pPr>
            <w:r w:rsidRPr="004E6412">
              <w:rPr>
                <w:sz w:val="22"/>
              </w:rPr>
              <w:t>2,788</w:t>
            </w:r>
          </w:p>
        </w:tc>
        <w:tc>
          <w:tcPr>
            <w:tcW w:w="1100" w:type="pct"/>
            <w:shd w:val="clear" w:color="auto" w:fill="auto"/>
            <w:noWrap/>
          </w:tcPr>
          <w:p w:rsidR="001B41B0" w:rsidRPr="004E6412" w:rsidRDefault="001B41B0" w:rsidP="001B41B0">
            <w:pPr>
              <w:jc w:val="right"/>
            </w:pPr>
            <w:r w:rsidRPr="004E6412">
              <w:rPr>
                <w:sz w:val="22"/>
              </w:rPr>
              <w:t>3,193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2.635.559.375</w:t>
            </w:r>
          </w:p>
        </w:tc>
        <w:tc>
          <w:tcPr>
            <w:tcW w:w="968" w:type="pct"/>
            <w:shd w:val="clear" w:color="auto" w:fill="auto"/>
            <w:noWrap/>
          </w:tcPr>
          <w:p w:rsidR="001B41B0" w:rsidRPr="004E6412" w:rsidRDefault="001B41B0" w:rsidP="001B41B0">
            <w:pPr>
              <w:jc w:val="right"/>
            </w:pPr>
            <w:r w:rsidRPr="004E6412">
              <w:rPr>
                <w:sz w:val="22"/>
              </w:rPr>
              <w:t>1.927.112.764</w:t>
            </w:r>
          </w:p>
        </w:tc>
        <w:tc>
          <w:tcPr>
            <w:tcW w:w="1100" w:type="pct"/>
            <w:shd w:val="clear" w:color="auto" w:fill="auto"/>
            <w:noWrap/>
          </w:tcPr>
          <w:p w:rsidR="001B41B0" w:rsidRPr="004E6412" w:rsidRDefault="001B41B0" w:rsidP="001B41B0">
            <w:pPr>
              <w:jc w:val="right"/>
            </w:pPr>
            <w:r w:rsidRPr="004E6412">
              <w:rPr>
                <w:sz w:val="22"/>
              </w:rPr>
              <w:t>1.878.257.684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54,44</w:t>
            </w:r>
          </w:p>
        </w:tc>
        <w:tc>
          <w:tcPr>
            <w:tcW w:w="968" w:type="pct"/>
            <w:shd w:val="clear" w:color="auto" w:fill="auto"/>
            <w:noWrap/>
          </w:tcPr>
          <w:p w:rsidR="001B41B0" w:rsidRPr="004E6412" w:rsidRDefault="001B41B0" w:rsidP="001B41B0">
            <w:pPr>
              <w:jc w:val="right"/>
            </w:pPr>
            <w:r w:rsidRPr="004E6412">
              <w:rPr>
                <w:sz w:val="22"/>
              </w:rPr>
              <w:t>29,18</w:t>
            </w:r>
          </w:p>
        </w:tc>
        <w:tc>
          <w:tcPr>
            <w:tcW w:w="1100" w:type="pct"/>
            <w:shd w:val="clear" w:color="auto" w:fill="auto"/>
            <w:noWrap/>
          </w:tcPr>
          <w:p w:rsidR="001B41B0" w:rsidRPr="004E6412" w:rsidRDefault="001B41B0" w:rsidP="001B41B0">
            <w:pPr>
              <w:jc w:val="right"/>
            </w:pPr>
            <w:r w:rsidRPr="004E6412">
              <w:rPr>
                <w:sz w:val="22"/>
              </w:rPr>
              <w:t>31,60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1,416</w:t>
            </w:r>
          </w:p>
        </w:tc>
        <w:tc>
          <w:tcPr>
            <w:tcW w:w="968" w:type="pct"/>
            <w:shd w:val="clear" w:color="auto" w:fill="auto"/>
            <w:noWrap/>
          </w:tcPr>
          <w:p w:rsidR="001B41B0" w:rsidRPr="004E6412" w:rsidRDefault="001B41B0" w:rsidP="001B41B0">
            <w:pPr>
              <w:jc w:val="right"/>
            </w:pPr>
            <w:r w:rsidRPr="004E6412">
              <w:rPr>
                <w:sz w:val="22"/>
              </w:rPr>
              <w:t>1,800</w:t>
            </w:r>
          </w:p>
        </w:tc>
        <w:tc>
          <w:tcPr>
            <w:tcW w:w="1100" w:type="pct"/>
            <w:shd w:val="clear" w:color="auto" w:fill="auto"/>
            <w:noWrap/>
          </w:tcPr>
          <w:p w:rsidR="001B41B0" w:rsidRPr="004E6412" w:rsidRDefault="001B41B0" w:rsidP="001B41B0">
            <w:pPr>
              <w:jc w:val="right"/>
            </w:pPr>
            <w:r w:rsidRPr="004E6412">
              <w:rPr>
                <w:sz w:val="22"/>
              </w:rPr>
              <w:t>2,104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721E0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4,81</w:t>
            </w:r>
          </w:p>
        </w:tc>
        <w:tc>
          <w:tcPr>
            <w:tcW w:w="968" w:type="pct"/>
            <w:shd w:val="clear" w:color="auto" w:fill="auto"/>
            <w:noWrap/>
          </w:tcPr>
          <w:p w:rsidR="001B41B0" w:rsidRPr="004E6412" w:rsidRDefault="001B41B0" w:rsidP="001B41B0">
            <w:pPr>
              <w:jc w:val="right"/>
            </w:pPr>
            <w:r w:rsidRPr="004E6412">
              <w:rPr>
                <w:sz w:val="22"/>
              </w:rPr>
              <w:t>14,36</w:t>
            </w:r>
          </w:p>
        </w:tc>
        <w:tc>
          <w:tcPr>
            <w:tcW w:w="1100" w:type="pct"/>
            <w:shd w:val="clear" w:color="auto" w:fill="auto"/>
            <w:noWrap/>
          </w:tcPr>
          <w:p w:rsidR="001B41B0" w:rsidRPr="004E6412" w:rsidRDefault="001B41B0" w:rsidP="001B41B0">
            <w:pPr>
              <w:jc w:val="right"/>
            </w:pPr>
            <w:r w:rsidRPr="004E6412">
              <w:rPr>
                <w:sz w:val="22"/>
              </w:rPr>
              <w:t>12,30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0,602</w:t>
            </w:r>
          </w:p>
        </w:tc>
        <w:tc>
          <w:tcPr>
            <w:tcW w:w="968" w:type="pct"/>
            <w:shd w:val="clear" w:color="auto" w:fill="auto"/>
            <w:noWrap/>
          </w:tcPr>
          <w:p w:rsidR="001B41B0" w:rsidRPr="004E6412" w:rsidRDefault="001B41B0" w:rsidP="001B41B0">
            <w:pPr>
              <w:jc w:val="right"/>
            </w:pPr>
            <w:r w:rsidRPr="004E6412">
              <w:rPr>
                <w:sz w:val="22"/>
              </w:rPr>
              <w:t>0,528</w:t>
            </w:r>
          </w:p>
        </w:tc>
        <w:tc>
          <w:tcPr>
            <w:tcW w:w="1100" w:type="pct"/>
            <w:shd w:val="clear" w:color="auto" w:fill="auto"/>
            <w:noWrap/>
          </w:tcPr>
          <w:p w:rsidR="001B41B0" w:rsidRPr="004E6412" w:rsidRDefault="001B41B0" w:rsidP="001B41B0">
            <w:pPr>
              <w:jc w:val="right"/>
            </w:pPr>
            <w:r w:rsidRPr="004E6412">
              <w:rPr>
                <w:sz w:val="22"/>
              </w:rPr>
              <w:t>0,477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167.887</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512.540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477.749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0,89</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3,01</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2,52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0,17</w:t>
            </w:r>
          </w:p>
        </w:tc>
        <w:tc>
          <w:tcPr>
            <w:tcW w:w="1100" w:type="pct"/>
            <w:shd w:val="clear" w:color="auto" w:fill="auto"/>
            <w:noWrap/>
          </w:tcPr>
          <w:p w:rsidR="001B41B0" w:rsidRPr="004E6412" w:rsidRDefault="001B41B0" w:rsidP="001B41B0">
            <w:pPr>
              <w:jc w:val="right"/>
            </w:pPr>
            <w:r w:rsidRPr="004E6412">
              <w:rPr>
                <w:sz w:val="22"/>
              </w:rPr>
              <w:t>0,22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1,31</w:t>
            </w:r>
          </w:p>
        </w:tc>
        <w:tc>
          <w:tcPr>
            <w:tcW w:w="968" w:type="pct"/>
            <w:shd w:val="clear" w:color="auto" w:fill="auto"/>
            <w:noWrap/>
          </w:tcPr>
          <w:p w:rsidR="001B41B0" w:rsidRPr="004E6412" w:rsidRDefault="001B41B0" w:rsidP="001B41B0">
            <w:pPr>
              <w:jc w:val="right"/>
            </w:pPr>
            <w:r w:rsidRPr="004E6412">
              <w:rPr>
                <w:sz w:val="22"/>
              </w:rPr>
              <w:t>1,14</w:t>
            </w:r>
          </w:p>
        </w:tc>
        <w:tc>
          <w:tcPr>
            <w:tcW w:w="1100" w:type="pct"/>
            <w:shd w:val="clear" w:color="auto" w:fill="auto"/>
            <w:noWrap/>
          </w:tcPr>
          <w:p w:rsidR="001B41B0" w:rsidRPr="004E6412" w:rsidRDefault="001B41B0" w:rsidP="001B41B0">
            <w:pPr>
              <w:jc w:val="right"/>
            </w:pPr>
            <w:r w:rsidRPr="004E6412">
              <w:rPr>
                <w:sz w:val="22"/>
              </w:rPr>
              <w:t>0,81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49" w:name="_Toc372088176"/>
      <w:bookmarkStart w:id="950" w:name="_Toc377551111"/>
      <w:bookmarkStart w:id="951" w:name="_Toc37763530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99</w:t>
      </w:r>
      <w:r w:rsidRPr="007D0CFD">
        <w:rPr>
          <w:rStyle w:val="IntenseEmphasis"/>
          <w:b/>
          <w:bCs w:val="0"/>
          <w:iCs w:val="0"/>
          <w:color w:val="548DD4" w:themeColor="text2" w:themeTint="99"/>
          <w:sz w:val="20"/>
        </w:rPr>
        <w:t>. Kvalitativni pokazatelji (C30)</w:t>
      </w:r>
      <w:bookmarkEnd w:id="949"/>
      <w:bookmarkEnd w:id="950"/>
      <w:bookmarkEnd w:id="9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721E0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9918E2" w:rsidRPr="004E6412">
              <w:rPr>
                <w:sz w:val="22"/>
              </w:rPr>
              <w:t>na snaga dostupna, ali neprikladna</w:t>
            </w:r>
            <w:r w:rsidRPr="004E6412">
              <w:rPr>
                <w:sz w:val="22"/>
              </w:rPr>
              <w:t xml:space="preserve"> po pitanju potrebnih znanja i vještina.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9918E2" w:rsidP="0097195F">
            <w:pPr>
              <w:spacing w:line="240" w:lineRule="auto"/>
              <w:rPr>
                <w:sz w:val="22"/>
              </w:rPr>
            </w:pPr>
            <w:r w:rsidRPr="004E6412">
              <w:rPr>
                <w:sz w:val="22"/>
              </w:rPr>
              <w:t>Radi se o krajnjim</w:t>
            </w:r>
            <w:r w:rsidR="001B41B0" w:rsidRPr="004E6412">
              <w:rPr>
                <w:sz w:val="22"/>
              </w:rPr>
              <w:t xml:space="preserve"> proizvodima većinom namijenjenim</w:t>
            </w:r>
            <w:r w:rsidRPr="004E6412">
              <w:rPr>
                <w:sz w:val="22"/>
              </w:rPr>
              <w:t>a</w:t>
            </w:r>
            <w:r w:rsidR="001B41B0" w:rsidRPr="004E6412">
              <w:rPr>
                <w:sz w:val="22"/>
              </w:rPr>
              <w:t xml:space="preserve"> stranim korporativnim kupcima (osim u slučaju čamaca i manjih brodova).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Na razini djelatnosti primjetan je snažan</w:t>
            </w:r>
            <w:r w:rsidR="009918E2" w:rsidRPr="004E6412">
              <w:rPr>
                <w:sz w:val="22"/>
              </w:rPr>
              <w:t xml:space="preserve"> utjecaj državnih novčanih i ne</w:t>
            </w:r>
            <w:r w:rsidRPr="004E6412">
              <w:rPr>
                <w:sz w:val="22"/>
              </w:rPr>
              <w:t xml:space="preserve">novčanih intervencija na ostvarene poslovne rezultate pojedinih poduzeća, a koje su značajno izmijenile profitabilnost cjelokupne djelatnosti zbog visokog udjela tih poduzeća u ukupnoj aktivi, prihodima i općenito volumenu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w:t>
            </w:r>
            <w:r w:rsidR="009918E2" w:rsidRPr="004E6412">
              <w:rPr>
                <w:sz w:val="22"/>
              </w:rPr>
              <w:t>centracija. 3 poduzeća ostvaruju</w:t>
            </w:r>
            <w:r w:rsidRPr="004E6412">
              <w:rPr>
                <w:sz w:val="22"/>
              </w:rPr>
              <w:t xml:space="preserve"> 80% prihoda djelatnosti. 13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9918E2" w:rsidP="0097195F">
            <w:pPr>
              <w:spacing w:line="240" w:lineRule="auto"/>
              <w:rPr>
                <w:sz w:val="22"/>
              </w:rPr>
            </w:pPr>
            <w:r w:rsidRPr="004E6412">
              <w:rPr>
                <w:sz w:val="22"/>
              </w:rPr>
              <w:t xml:space="preserve">Izvozni potencijal </w:t>
            </w:r>
            <w:r w:rsidR="001B41B0" w:rsidRPr="004E6412">
              <w:rPr>
                <w:sz w:val="22"/>
              </w:rPr>
              <w:t xml:space="preserve">relativno </w:t>
            </w:r>
            <w:r w:rsidRPr="004E6412">
              <w:rPr>
                <w:sz w:val="22"/>
              </w:rPr>
              <w:t xml:space="preserve">je </w:t>
            </w:r>
            <w:r w:rsidR="001B41B0" w:rsidRPr="004E6412">
              <w:rPr>
                <w:sz w:val="22"/>
              </w:rPr>
              <w:t>visok, no bud</w:t>
            </w:r>
            <w:r w:rsidRPr="004E6412">
              <w:rPr>
                <w:sz w:val="22"/>
              </w:rPr>
              <w:t>ući da se očekuju značajne prom</w:t>
            </w:r>
            <w:r w:rsidR="001B41B0" w:rsidRPr="004E6412">
              <w:rPr>
                <w:sz w:val="22"/>
              </w:rPr>
              <w:t>jene u strukturi potražnje, ostvare</w:t>
            </w:r>
            <w:r w:rsidRPr="004E6412">
              <w:rPr>
                <w:sz w:val="22"/>
              </w:rPr>
              <w:t>nje izvoznog potencijala ovisit</w:t>
            </w:r>
            <w:r w:rsidR="001B41B0" w:rsidRPr="004E6412">
              <w:rPr>
                <w:sz w:val="22"/>
              </w:rPr>
              <w:t xml:space="preserve"> će o tome hoće li se i na koji način industrija prilagoditi postavljenim zahtjevima.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w:t>
            </w:r>
            <w:r w:rsidR="009918E2" w:rsidRPr="004E6412">
              <w:rPr>
                <w:sz w:val="22"/>
              </w:rPr>
              <w:t xml:space="preserve">ncijal rasta i zapošljavanja </w:t>
            </w:r>
            <w:r w:rsidRPr="004E6412">
              <w:rPr>
                <w:sz w:val="22"/>
              </w:rPr>
              <w:t xml:space="preserve">trenutno </w:t>
            </w:r>
            <w:r w:rsidR="009918E2" w:rsidRPr="004E6412">
              <w:rPr>
                <w:sz w:val="22"/>
              </w:rPr>
              <w:t>je slab</w:t>
            </w:r>
            <w:r w:rsidRPr="004E6412">
              <w:rPr>
                <w:sz w:val="22"/>
              </w:rPr>
              <w:t xml:space="preserve"> s obzirom na stanja i kretanja u domaćem gospodarstvu, kao i svjetske trendove. Nužna su ulaganja u tehnološku opremljenost i istraživanje i razvoj. Najveći gubitak ostvaruje poddjelatnost C30.2 Proizvodnja že</w:t>
            </w:r>
            <w:r w:rsidR="009918E2" w:rsidRPr="004E6412">
              <w:rPr>
                <w:sz w:val="22"/>
              </w:rPr>
              <w:t>ljezničkih lokomotiva i tračn</w:t>
            </w:r>
            <w:r w:rsidRPr="004E6412">
              <w:rPr>
                <w:sz w:val="22"/>
              </w:rPr>
              <w:t xml:space="preserve">ih vozila.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pStyle w:val="ListParagraph"/>
        <w:spacing w:after="0"/>
        <w:jc w:val="both"/>
        <w:rPr>
          <w:rFonts w:ascii="Times New Roman" w:hAnsi="Times New Roman"/>
        </w:rPr>
        <w:sectPr w:rsidR="001B41B0" w:rsidRPr="004E6412" w:rsidSect="00047DB1">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52" w:name="_Toc365387010"/>
      <w:bookmarkStart w:id="953" w:name="_Toc365992566"/>
      <w:bookmarkStart w:id="954" w:name="_Toc366152996"/>
      <w:bookmarkStart w:id="955" w:name="_Toc366154332"/>
      <w:bookmarkStart w:id="956" w:name="_Toc366154452"/>
      <w:bookmarkStart w:id="957" w:name="_Toc366409999"/>
      <w:bookmarkStart w:id="958" w:name="_Toc372088073"/>
      <w:bookmarkStart w:id="959" w:name="_Toc378069133"/>
      <w:r w:rsidRPr="004E6412">
        <w:lastRenderedPageBreak/>
        <w:t>C31 Proizvodnja namještaja</w:t>
      </w:r>
      <w:bookmarkEnd w:id="952"/>
      <w:bookmarkEnd w:id="953"/>
      <w:bookmarkEnd w:id="954"/>
      <w:bookmarkEnd w:id="955"/>
      <w:bookmarkEnd w:id="956"/>
      <w:bookmarkEnd w:id="957"/>
      <w:bookmarkEnd w:id="958"/>
      <w:bookmarkEnd w:id="959"/>
    </w:p>
    <w:p w:rsidR="001B41B0" w:rsidRPr="004E6412" w:rsidRDefault="001B41B0" w:rsidP="001B41B0">
      <w:pPr>
        <w:rPr>
          <w:lang w:eastAsia="hr-HR"/>
        </w:rPr>
      </w:pPr>
    </w:p>
    <w:p w:rsidR="001B41B0" w:rsidRPr="004E6412" w:rsidRDefault="00DE4CA7" w:rsidP="001B41B0">
      <w:pPr>
        <w:rPr>
          <w:sz w:val="22"/>
        </w:rPr>
      </w:pPr>
      <w:r w:rsidRPr="004E6412">
        <w:rPr>
          <w:sz w:val="22"/>
        </w:rPr>
        <w:t>Djelatnost Proizvodnje</w:t>
      </w:r>
      <w:r w:rsidR="001B41B0" w:rsidRPr="004E6412">
        <w:rPr>
          <w:sz w:val="22"/>
        </w:rPr>
        <w:t xml:space="preserve"> namještaja (C 31) obuhvaća poddjelatnosti proizvodnje namještaja za poslovne i prodajne prostore (C31.01), proizvodnje kuhinjskog namještaja (C31.02), proizvodnje madraca (C31.03) i proizvodnje ostalog namještaja (C31.09). </w:t>
      </w:r>
    </w:p>
    <w:p w:rsidR="001B41B0" w:rsidRPr="004E6412" w:rsidRDefault="001B41B0" w:rsidP="001B41B0"/>
    <w:p w:rsidR="001B41B0" w:rsidRPr="004E6412" w:rsidRDefault="001B41B0" w:rsidP="00D001B9">
      <w:pPr>
        <w:pStyle w:val="Heading3"/>
      </w:pPr>
      <w:bookmarkStart w:id="960" w:name="_Toc365992567"/>
      <w:bookmarkStart w:id="961" w:name="_Toc366154333"/>
      <w:bookmarkStart w:id="962" w:name="_Toc366154453"/>
      <w:bookmarkStart w:id="963" w:name="_Toc366410000"/>
      <w:bookmarkStart w:id="964" w:name="_Toc372088074"/>
      <w:bookmarkStart w:id="965" w:name="_Toc378069134"/>
      <w:r w:rsidRPr="004E6412">
        <w:t>Globalni trendovi razvoja</w:t>
      </w:r>
      <w:bookmarkEnd w:id="960"/>
      <w:bookmarkEnd w:id="961"/>
      <w:bookmarkEnd w:id="962"/>
      <w:bookmarkEnd w:id="963"/>
      <w:bookmarkEnd w:id="964"/>
      <w:bookmarkEnd w:id="965"/>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Zemlje koje se tradicionalno bave proizvodnjom namještaja i dalje zauzimaju preko 70% svjetskog trž</w:t>
      </w:r>
      <w:r w:rsidR="00DE4CA7" w:rsidRPr="004E6412">
        <w:rPr>
          <w:rFonts w:ascii="Times New Roman" w:hAnsi="Times New Roman"/>
          <w:bCs/>
        </w:rPr>
        <w:t>išta. Istovremeno, Kina</w:t>
      </w:r>
      <w:r w:rsidRPr="004E6412">
        <w:rPr>
          <w:rFonts w:ascii="Times New Roman" w:hAnsi="Times New Roman"/>
          <w:bCs/>
        </w:rPr>
        <w:t xml:space="preserve">, zemlje Jugoistočne Azije, Poljska i Meksiko razvile su vlastite konkurentske prednosti i pokrivaju skoro 30% svjetskog tržišta proizvodnje namještaja. Danas je Kina svjetsko središte proizvodnje i izložbeni centar namještaja.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Kanadski s</w:t>
      </w:r>
      <w:r w:rsidR="00DE4CA7" w:rsidRPr="004E6412">
        <w:rPr>
          <w:rFonts w:ascii="Times New Roman" w:hAnsi="Times New Roman"/>
          <w:bCs/>
        </w:rPr>
        <w:t xml:space="preserve">ektor proizvodnje namještaja </w:t>
      </w:r>
      <w:r w:rsidRPr="004E6412">
        <w:rPr>
          <w:rFonts w:ascii="Times New Roman" w:hAnsi="Times New Roman"/>
          <w:bCs/>
        </w:rPr>
        <w:t xml:space="preserve">peti </w:t>
      </w:r>
      <w:r w:rsidR="00DE4CA7" w:rsidRPr="004E6412">
        <w:rPr>
          <w:rFonts w:ascii="Times New Roman" w:hAnsi="Times New Roman"/>
          <w:bCs/>
        </w:rPr>
        <w:t xml:space="preserve">je </w:t>
      </w:r>
      <w:r w:rsidRPr="004E6412">
        <w:rPr>
          <w:rFonts w:ascii="Times New Roman" w:hAnsi="Times New Roman"/>
          <w:bCs/>
        </w:rPr>
        <w:t>najve</w:t>
      </w:r>
      <w:r w:rsidR="00DE4CA7" w:rsidRPr="004E6412">
        <w:rPr>
          <w:rFonts w:ascii="Times New Roman" w:hAnsi="Times New Roman"/>
          <w:bCs/>
        </w:rPr>
        <w:t>ći izvoznik u svijetu, dok gotovo</w:t>
      </w:r>
      <w:r w:rsidRPr="004E6412">
        <w:rPr>
          <w:rFonts w:ascii="Times New Roman" w:hAnsi="Times New Roman"/>
          <w:bCs/>
        </w:rPr>
        <w:t xml:space="preserve"> pola svjetske proizvodnje namještaja otpada na proizvodnju namještaja u zemljama EU</w:t>
      </w:r>
      <w:r w:rsidR="00DE4CA7" w:rsidRPr="004E6412">
        <w:rPr>
          <w:rFonts w:ascii="Times New Roman" w:hAnsi="Times New Roman"/>
          <w:bCs/>
        </w:rPr>
        <w:t>-a</w:t>
      </w:r>
      <w:r w:rsidRPr="004E6412">
        <w:rPr>
          <w:rFonts w:ascii="Times New Roman" w:hAnsi="Times New Roman"/>
          <w:bCs/>
        </w:rPr>
        <w:t>. Među eur</w:t>
      </w:r>
      <w:r w:rsidR="00DE4CA7" w:rsidRPr="004E6412">
        <w:rPr>
          <w:rFonts w:ascii="Times New Roman" w:hAnsi="Times New Roman"/>
          <w:bCs/>
        </w:rPr>
        <w:t>opskim zemljama</w:t>
      </w:r>
      <w:r w:rsidRPr="004E6412">
        <w:rPr>
          <w:rFonts w:ascii="Times New Roman" w:hAnsi="Times New Roman"/>
          <w:bCs/>
        </w:rPr>
        <w:t xml:space="preserve"> Njemačka je najveći proizvođač namještaja s oko 27% ukupne proizvodnje namještaja iz EU</w:t>
      </w:r>
      <w:r w:rsidR="00DE4CA7" w:rsidRPr="004E6412">
        <w:rPr>
          <w:rFonts w:ascii="Times New Roman" w:hAnsi="Times New Roman"/>
          <w:bCs/>
        </w:rPr>
        <w:t>-a. Slijede je</w:t>
      </w:r>
      <w:r w:rsidRPr="004E6412">
        <w:rPr>
          <w:rFonts w:ascii="Times New Roman" w:hAnsi="Times New Roman"/>
          <w:bCs/>
        </w:rPr>
        <w:t xml:space="preserve"> Italija (21,6%), Francuska (13,5%) i Velika Britanija (10,4%).</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rPr>
        <w:t>Dizajn proizvoda te estetska i funkcionalna kvaliteta važan su aspekt proizvodnog</w:t>
      </w:r>
      <w:r w:rsidR="00DE4CA7" w:rsidRPr="004E6412">
        <w:rPr>
          <w:rFonts w:ascii="Times New Roman" w:hAnsi="Times New Roman"/>
        </w:rPr>
        <w:t>a</w:t>
      </w:r>
      <w:r w:rsidRPr="004E6412">
        <w:rPr>
          <w:rFonts w:ascii="Times New Roman" w:hAnsi="Times New Roman"/>
        </w:rPr>
        <w:t xml:space="preserve"> procesa ove djelatnosti, a k</w:t>
      </w:r>
      <w:r w:rsidR="00DE4CA7" w:rsidRPr="004E6412">
        <w:rPr>
          <w:rFonts w:ascii="Times New Roman" w:hAnsi="Times New Roman"/>
          <w:bCs/>
        </w:rPr>
        <w:t xml:space="preserve">upac </w:t>
      </w:r>
      <w:r w:rsidRPr="004E6412">
        <w:rPr>
          <w:rFonts w:ascii="Times New Roman" w:hAnsi="Times New Roman"/>
          <w:bCs/>
        </w:rPr>
        <w:t>određuje trendove u proizvodnji. Globalni trendovi p</w:t>
      </w:r>
      <w:r w:rsidR="00DE4CA7" w:rsidRPr="004E6412">
        <w:rPr>
          <w:rFonts w:ascii="Times New Roman" w:hAnsi="Times New Roman"/>
          <w:bCs/>
        </w:rPr>
        <w:t>roizvodnje namještaja uključuju</w:t>
      </w:r>
      <w:r w:rsidRPr="004E6412">
        <w:rPr>
          <w:rFonts w:ascii="Times New Roman" w:hAnsi="Times New Roman"/>
          <w:bCs/>
        </w:rPr>
        <w:t xml:space="preserve"> proizvodnju ekološkog namještaja, proizvodnju namještaja manjeg profila, proizvodnju multifunkcionalnog namještaja, tehnološki dizajn namještaja, popularnost vintage namještaja, sve veći značaj namještaja za vanjske prostore, izradu namještaja po želji kupca</w:t>
      </w:r>
      <w:r w:rsidR="00DE4CA7" w:rsidRPr="004E6412">
        <w:rPr>
          <w:rFonts w:ascii="Times New Roman" w:hAnsi="Times New Roman"/>
          <w:bCs/>
        </w:rPr>
        <w:t>, specijaliziranost u madracima</w:t>
      </w:r>
      <w:r w:rsidRPr="004E6412">
        <w:rPr>
          <w:rFonts w:ascii="Times New Roman" w:hAnsi="Times New Roman"/>
          <w:bCs/>
        </w:rPr>
        <w:t xml:space="preserve"> te kožni namještaj.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rPr>
      </w:pPr>
      <w:r w:rsidRPr="004E6412">
        <w:rPr>
          <w:rFonts w:ascii="Times New Roman" w:hAnsi="Times New Roman"/>
        </w:rPr>
        <w:t>Vodeće zemlje u izvozu uredskog namještaja u razdoblju 2002.</w:t>
      </w:r>
      <w:r w:rsidR="00DE4CA7" w:rsidRPr="004E6412">
        <w:rPr>
          <w:rFonts w:ascii="Times New Roman" w:hAnsi="Times New Roman"/>
        </w:rPr>
        <w:t xml:space="preserve"> – </w:t>
      </w:r>
      <w:r w:rsidRPr="004E6412">
        <w:rPr>
          <w:rFonts w:ascii="Times New Roman" w:hAnsi="Times New Roman"/>
        </w:rPr>
        <w:t>2012</w:t>
      </w:r>
      <w:r w:rsidR="00DE4CA7" w:rsidRPr="004E6412">
        <w:rPr>
          <w:rFonts w:ascii="Times New Roman" w:hAnsi="Times New Roman"/>
        </w:rPr>
        <w:t>. su</w:t>
      </w:r>
      <w:r w:rsidRPr="004E6412">
        <w:rPr>
          <w:rFonts w:ascii="Times New Roman" w:hAnsi="Times New Roman"/>
        </w:rPr>
        <w:t xml:space="preserve"> Kina, Njemačka, Kanada, Italija, SAD i Švedska. Daleko najveći uvoznik uredskog</w:t>
      </w:r>
      <w:r w:rsidR="00DE4CA7" w:rsidRPr="004E6412">
        <w:rPr>
          <w:rFonts w:ascii="Times New Roman" w:hAnsi="Times New Roman"/>
        </w:rPr>
        <w:t>a</w:t>
      </w:r>
      <w:r w:rsidRPr="004E6412">
        <w:rPr>
          <w:rFonts w:ascii="Times New Roman" w:hAnsi="Times New Roman"/>
        </w:rPr>
        <w:t xml:space="preserve"> namještaja u istom</w:t>
      </w:r>
      <w:r w:rsidR="00DE4CA7" w:rsidRPr="004E6412">
        <w:rPr>
          <w:rFonts w:ascii="Times New Roman" w:hAnsi="Times New Roman"/>
        </w:rPr>
        <w:t>e</w:t>
      </w:r>
      <w:r w:rsidRPr="004E6412">
        <w:rPr>
          <w:rFonts w:ascii="Times New Roman" w:hAnsi="Times New Roman"/>
        </w:rPr>
        <w:t xml:space="preserve"> razdoblju bio je SAD kojemu je najveći dobavljač bila Kina. Od ostalih zemalja uvoznic</w:t>
      </w:r>
      <w:r w:rsidR="00681957" w:rsidRPr="004E6412">
        <w:rPr>
          <w:rFonts w:ascii="Times New Roman" w:hAnsi="Times New Roman"/>
        </w:rPr>
        <w:t>a uredskog namještaja ističu se</w:t>
      </w:r>
      <w:r w:rsidRPr="004E6412">
        <w:rPr>
          <w:rFonts w:ascii="Times New Roman" w:hAnsi="Times New Roman"/>
        </w:rPr>
        <w:t xml:space="preserve"> Njemačka, Francuska, Kanada, U</w:t>
      </w:r>
      <w:r w:rsidR="00681957" w:rsidRPr="004E6412">
        <w:rPr>
          <w:rFonts w:ascii="Times New Roman" w:hAnsi="Times New Roman"/>
        </w:rPr>
        <w:t xml:space="preserve">jedinjeno </w:t>
      </w:r>
      <w:r w:rsidRPr="004E6412">
        <w:rPr>
          <w:rFonts w:ascii="Times New Roman" w:hAnsi="Times New Roman"/>
        </w:rPr>
        <w:t>K</w:t>
      </w:r>
      <w:r w:rsidR="00681957" w:rsidRPr="004E6412">
        <w:rPr>
          <w:rFonts w:ascii="Times New Roman" w:hAnsi="Times New Roman"/>
        </w:rPr>
        <w:t>raljevstvo</w:t>
      </w:r>
      <w:r w:rsidRPr="004E6412">
        <w:rPr>
          <w:rFonts w:ascii="Times New Roman" w:hAnsi="Times New Roman"/>
        </w:rPr>
        <w:t xml:space="preserve"> i Belgija. Vodeće tvrtke </w:t>
      </w:r>
      <w:r w:rsidR="00681957" w:rsidRPr="004E6412">
        <w:rPr>
          <w:rFonts w:ascii="Times New Roman" w:hAnsi="Times New Roman"/>
        </w:rPr>
        <w:t>globalnog tržišta namještaja su</w:t>
      </w:r>
      <w:r w:rsidRPr="004E6412">
        <w:rPr>
          <w:rFonts w:ascii="Times New Roman" w:hAnsi="Times New Roman"/>
        </w:rPr>
        <w:t xml:space="preserve"> talijanska tvrtka Natuzzi, švedska IKEA i tvrtka Samson Holding sa sjedištem u Kini. U </w:t>
      </w:r>
      <w:r w:rsidR="00681957" w:rsidRPr="004E6412">
        <w:rPr>
          <w:rFonts w:ascii="Times New Roman" w:hAnsi="Times New Roman"/>
        </w:rPr>
        <w:t xml:space="preserve">sam </w:t>
      </w:r>
      <w:r w:rsidRPr="004E6412">
        <w:rPr>
          <w:rFonts w:ascii="Times New Roman" w:hAnsi="Times New Roman"/>
        </w:rPr>
        <w:t>vrh američkih proizvođača namještaja spadaju La-Z-Boy, Furniture Brands International, HNI, Steelcase, Sealy i Herman Miller.</w:t>
      </w:r>
    </w:p>
    <w:p w:rsidR="001B41B0" w:rsidRPr="004E6412" w:rsidRDefault="001B41B0" w:rsidP="001B41B0"/>
    <w:p w:rsidR="001B41B0" w:rsidRPr="004E6412" w:rsidRDefault="001B41B0" w:rsidP="00D001B9">
      <w:pPr>
        <w:pStyle w:val="Heading3"/>
      </w:pPr>
      <w:bookmarkStart w:id="966" w:name="_Toc365992568"/>
      <w:bookmarkStart w:id="967" w:name="_Toc366154334"/>
      <w:bookmarkStart w:id="968" w:name="_Toc366154454"/>
      <w:bookmarkStart w:id="969" w:name="_Toc366410001"/>
      <w:bookmarkStart w:id="970" w:name="_Toc372088075"/>
      <w:bookmarkStart w:id="971" w:name="_Toc378069135"/>
      <w:r w:rsidRPr="004E6412">
        <w:t>Trendovi razvoja u Europskoj uniji</w:t>
      </w:r>
      <w:bookmarkEnd w:id="966"/>
      <w:bookmarkEnd w:id="967"/>
      <w:bookmarkEnd w:id="968"/>
      <w:bookmarkEnd w:id="969"/>
      <w:bookmarkEnd w:id="970"/>
      <w:bookmarkEnd w:id="971"/>
    </w:p>
    <w:p w:rsidR="001B41B0" w:rsidRPr="004E6412" w:rsidRDefault="001B41B0" w:rsidP="001B41B0">
      <w:pPr>
        <w:pStyle w:val="ListParagraph"/>
        <w:numPr>
          <w:ilvl w:val="0"/>
          <w:numId w:val="59"/>
        </w:numPr>
        <w:spacing w:after="0"/>
        <w:jc w:val="both"/>
        <w:rPr>
          <w:rFonts w:ascii="Times New Roman" w:hAnsi="Times New Roman"/>
        </w:rPr>
      </w:pPr>
      <w:r w:rsidRPr="004E6412">
        <w:rPr>
          <w:rFonts w:ascii="Times New Roman" w:hAnsi="Times New Roman"/>
        </w:rPr>
        <w:t>U proizvodnji EU27, na djelatnost proizvodnje namještaja otpada 0,6% svih poduzeća, 0,8% svih zaposlenih i 0,5% ukupno ostvarene dodane vrijednosti. Produktivnost rada u promatranoj djelatnosti bila je nešto niža od produktivnosti drugih djelatnosti. Nadalje, unutar prerađivačke industrije EU27 djelatnost proizvodnje namještaja čini 3,5% proizvodnje i 1,9% ostvarene dodane vrijednosti industrije u 2010.</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U EU27</w:t>
      </w:r>
      <w:r w:rsidR="001B41B0" w:rsidRPr="004E6412">
        <w:rPr>
          <w:rFonts w:ascii="Times New Roman" w:hAnsi="Times New Roman"/>
        </w:rPr>
        <w:t xml:space="preserve"> poddjelatnost Proizvodnja ostalog namještaja imala je najveći udio u ostvarenoj ukupnoj dodanoj vrijednosti djelatnosti (više od 50% vrijednosti) kao i u udjelu radne snage (skoro dvije trećine radne snage) koju zapošljava djelatnost proizvodnje namještaja. </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 xml:space="preserve">Produktivnost rada </w:t>
      </w:r>
      <w:r w:rsidR="001B41B0" w:rsidRPr="004E6412">
        <w:rPr>
          <w:rFonts w:ascii="Times New Roman" w:hAnsi="Times New Roman"/>
        </w:rPr>
        <w:t xml:space="preserve">niska </w:t>
      </w:r>
      <w:r w:rsidRPr="004E6412">
        <w:rPr>
          <w:rFonts w:ascii="Times New Roman" w:hAnsi="Times New Roman"/>
        </w:rPr>
        <w:t>je pa</w:t>
      </w:r>
      <w:r w:rsidR="001B41B0" w:rsidRPr="004E6412">
        <w:rPr>
          <w:rFonts w:ascii="Times New Roman" w:hAnsi="Times New Roman"/>
        </w:rPr>
        <w:t xml:space="preserve"> je poddjelatnost Proizvodnja ostalog namještaja u 2010. ostvarila samo 24,5 tisuća eura po zaposlenoj osobi. </w:t>
      </w:r>
    </w:p>
    <w:p w:rsidR="001B41B0" w:rsidRPr="004E6412" w:rsidRDefault="001B41B0" w:rsidP="001B41B0">
      <w:pPr>
        <w:rPr>
          <w:sz w:val="22"/>
        </w:rPr>
      </w:pPr>
    </w:p>
    <w:p w:rsidR="001B41B0" w:rsidRPr="004E6412" w:rsidRDefault="001B41B0" w:rsidP="001B41B0">
      <w:pPr>
        <w:pStyle w:val="ListParagraph"/>
        <w:numPr>
          <w:ilvl w:val="0"/>
          <w:numId w:val="59"/>
        </w:numPr>
        <w:spacing w:after="0"/>
        <w:jc w:val="both"/>
        <w:rPr>
          <w:rFonts w:ascii="Times New Roman" w:hAnsi="Times New Roman"/>
          <w:bCs/>
        </w:rPr>
      </w:pPr>
      <w:r w:rsidRPr="004E6412">
        <w:rPr>
          <w:rFonts w:ascii="Times New Roman" w:hAnsi="Times New Roman"/>
          <w:bCs/>
        </w:rPr>
        <w:t xml:space="preserve">U 2010. Njemačka, Italija i Velika Britanija imale su, među zemljama članicama, najveći iznos dodane vrijednosti u djelatnosti proizvodnje namještaja. Slijede ih Španjolska i Francuska. Njemačka je ostvarila najveću dodanu vrijednost u svakoj od četiri poddjelatnosti proizvodnje namještaja. Prema broju poduzeća u proizvodnji namještaja te broju zaposlenih osoba može se vidjeti kako najveći udio od zemalja članica ima Italija. Prema broju zaposlenih osoba u proizvodnji namještaja vidljivo je da Italiju slijede Poljska i Njemačka. Litva je bila vodeća zemlja prema specijalizaciji u proizvodnji namještaja 2010. </w:t>
      </w:r>
    </w:p>
    <w:p w:rsidR="001B41B0" w:rsidRPr="004E6412" w:rsidRDefault="001B41B0" w:rsidP="001B41B0"/>
    <w:p w:rsidR="001B41B0" w:rsidRPr="004E6412" w:rsidRDefault="001B41B0" w:rsidP="00D001B9">
      <w:pPr>
        <w:pStyle w:val="Heading3"/>
      </w:pPr>
      <w:bookmarkStart w:id="972" w:name="_Toc365992569"/>
      <w:bookmarkStart w:id="973" w:name="_Toc366154335"/>
      <w:bookmarkStart w:id="974" w:name="_Toc366154455"/>
      <w:bookmarkStart w:id="975" w:name="_Toc366410002"/>
      <w:bookmarkStart w:id="976" w:name="_Toc372088076"/>
      <w:bookmarkStart w:id="977" w:name="_Toc378069136"/>
      <w:r w:rsidRPr="004E6412">
        <w:t>Stanje i perspektive razvoja u Republici Hrvatskoj</w:t>
      </w:r>
      <w:bookmarkEnd w:id="972"/>
      <w:bookmarkEnd w:id="973"/>
      <w:bookmarkEnd w:id="974"/>
      <w:bookmarkEnd w:id="975"/>
      <w:bookmarkEnd w:id="976"/>
      <w:bookmarkEnd w:id="977"/>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U Hrvatskoj</w:t>
      </w:r>
      <w:r w:rsidR="001B41B0" w:rsidRPr="004E6412">
        <w:rPr>
          <w:rFonts w:ascii="Times New Roman" w:hAnsi="Times New Roman"/>
        </w:rPr>
        <w:t xml:space="preserve"> djelatnost Proizvodnja namještaja u 2012. broji 585 poduzeća. Konc</w:t>
      </w:r>
      <w:r w:rsidRPr="004E6412">
        <w:rPr>
          <w:rFonts w:ascii="Times New Roman" w:hAnsi="Times New Roman"/>
        </w:rPr>
        <w:t xml:space="preserve">entracija u ovoj djelatnosti </w:t>
      </w:r>
      <w:r w:rsidR="001B41B0" w:rsidRPr="004E6412">
        <w:rPr>
          <w:rFonts w:ascii="Times New Roman" w:hAnsi="Times New Roman"/>
        </w:rPr>
        <w:t xml:space="preserve">razmjerno </w:t>
      </w:r>
      <w:r w:rsidRPr="004E6412">
        <w:rPr>
          <w:rFonts w:ascii="Times New Roman" w:hAnsi="Times New Roman"/>
        </w:rPr>
        <w:t xml:space="preserve">je </w:t>
      </w:r>
      <w:r w:rsidR="001B41B0" w:rsidRPr="004E6412">
        <w:rPr>
          <w:rFonts w:ascii="Times New Roman" w:hAnsi="Times New Roman"/>
        </w:rPr>
        <w:t>visoka. Nai</w:t>
      </w:r>
      <w:r w:rsidRPr="004E6412">
        <w:rPr>
          <w:rFonts w:ascii="Times New Roman" w:hAnsi="Times New Roman"/>
        </w:rPr>
        <w:t>me, 49 od 585 poduzeća ostvaruje</w:t>
      </w:r>
      <w:r w:rsidR="001B41B0" w:rsidRPr="004E6412">
        <w:rPr>
          <w:rFonts w:ascii="Times New Roman" w:hAnsi="Times New Roman"/>
        </w:rPr>
        <w:t xml:space="preserve"> gotovo 80% ukupnih</w:t>
      </w:r>
      <w:r w:rsidRPr="004E6412">
        <w:rPr>
          <w:rFonts w:ascii="Times New Roman" w:hAnsi="Times New Roman"/>
        </w:rPr>
        <w:t xml:space="preserve"> prihoda, 100 poduzeća ostvaruje</w:t>
      </w:r>
      <w:r w:rsidR="001B41B0" w:rsidRPr="004E6412">
        <w:rPr>
          <w:rFonts w:ascii="Times New Roman" w:hAnsi="Times New Roman"/>
        </w:rPr>
        <w:t xml:space="preserve"> gotovo 80% ukupne aktive, 68 poduzeća ostvaruje gotovo 80% ukupnog proja z</w:t>
      </w:r>
      <w:r w:rsidRPr="004E6412">
        <w:rPr>
          <w:rFonts w:ascii="Times New Roman" w:hAnsi="Times New Roman"/>
        </w:rPr>
        <w:t>aposlenih, 20 poduzeća ostvaruje</w:t>
      </w:r>
      <w:r w:rsidR="001B41B0" w:rsidRPr="004E6412">
        <w:rPr>
          <w:rFonts w:ascii="Times New Roman" w:hAnsi="Times New Roman"/>
        </w:rPr>
        <w:t xml:space="preserve"> gotovo 8</w:t>
      </w:r>
      <w:r w:rsidRPr="004E6412">
        <w:rPr>
          <w:rFonts w:ascii="Times New Roman" w:hAnsi="Times New Roman"/>
        </w:rPr>
        <w:t>0% izvoza, dok 29 poduzeća ostvaruje</w:t>
      </w:r>
      <w:r w:rsidR="001B41B0" w:rsidRPr="004E6412">
        <w:rPr>
          <w:rFonts w:ascii="Times New Roman" w:hAnsi="Times New Roman"/>
        </w:rPr>
        <w:t xml:space="preserve"> gotovo 80% uvoza djelatnos</w:t>
      </w:r>
      <w:r w:rsidRPr="004E6412">
        <w:rPr>
          <w:rFonts w:ascii="Times New Roman" w:hAnsi="Times New Roman"/>
        </w:rPr>
        <w:t>ti. U udjelu vlasništva prevladava</w:t>
      </w:r>
      <w:r w:rsidR="001B41B0" w:rsidRPr="004E6412">
        <w:rPr>
          <w:rFonts w:ascii="Times New Roman" w:hAnsi="Times New Roman"/>
        </w:rPr>
        <w:t xml:space="preserve"> udio domaćeg vlasništva (73,29%) u odnosu na 16,89% stranog</w:t>
      </w:r>
      <w:r w:rsidRPr="004E6412">
        <w:rPr>
          <w:rFonts w:ascii="Times New Roman" w:hAnsi="Times New Roman"/>
        </w:rPr>
        <w:t>a</w:t>
      </w:r>
      <w:r w:rsidR="001B41B0" w:rsidRPr="004E6412">
        <w:rPr>
          <w:rFonts w:ascii="Times New Roman" w:hAnsi="Times New Roman"/>
        </w:rPr>
        <w:t xml:space="preserve"> vlasništva. Udjeli su dobiveni na uzorku od 100 najvećih poduzeća metodom obračuna ponderiranog</w:t>
      </w:r>
      <w:r w:rsidRPr="004E6412">
        <w:rPr>
          <w:rFonts w:ascii="Times New Roman" w:hAnsi="Times New Roman"/>
        </w:rPr>
        <w:t>a</w:t>
      </w:r>
      <w:r w:rsidR="001B41B0" w:rsidRPr="004E6412">
        <w:rPr>
          <w:rFonts w:ascii="Times New Roman" w:hAnsi="Times New Roman"/>
        </w:rPr>
        <w:t xml:space="preserve"> udjela inozemnog</w:t>
      </w:r>
      <w:r w:rsidRPr="004E6412">
        <w:rPr>
          <w:rFonts w:ascii="Times New Roman" w:hAnsi="Times New Roman"/>
        </w:rPr>
        <w:t>a</w:t>
      </w:r>
      <w:r w:rsidR="001B41B0" w:rsidRPr="004E6412">
        <w:rPr>
          <w:rFonts w:ascii="Times New Roman" w:hAnsi="Times New Roman"/>
        </w:rPr>
        <w:t xml:space="preserve"> i domaćeg</w:t>
      </w:r>
      <w:r w:rsidRPr="004E6412">
        <w:rPr>
          <w:rFonts w:ascii="Times New Roman" w:hAnsi="Times New Roman"/>
        </w:rPr>
        <w:t>a</w:t>
      </w:r>
      <w:r w:rsidR="001B41B0" w:rsidRPr="004E6412">
        <w:rPr>
          <w:rFonts w:ascii="Times New Roman" w:hAnsi="Times New Roman"/>
        </w:rPr>
        <w:t xml:space="preserve"> kapitala (ponder je ukupni prihod).</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Ukupna aktiva (pasiva) djelatnosti je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ostala gotovo nepr</w:t>
      </w:r>
      <w:r w:rsidR="00681957" w:rsidRPr="004E6412">
        <w:rPr>
          <w:rFonts w:ascii="Times New Roman" w:hAnsi="Times New Roman"/>
        </w:rPr>
        <w:t>omijenjena na 4,78 milijardi kuna</w:t>
      </w:r>
      <w:r w:rsidRPr="004E6412">
        <w:rPr>
          <w:rFonts w:ascii="Times New Roman" w:hAnsi="Times New Roman"/>
        </w:rPr>
        <w:t>, uz iznimku 2011. kad</w:t>
      </w:r>
      <w:r w:rsidR="00681957" w:rsidRPr="004E6412">
        <w:rPr>
          <w:rFonts w:ascii="Times New Roman" w:hAnsi="Times New Roman"/>
        </w:rPr>
        <w:t>a je iznosila 5,01 milijardu kuna</w:t>
      </w:r>
      <w:r w:rsidRPr="004E6412">
        <w:rPr>
          <w:rFonts w:ascii="Times New Roman" w:hAnsi="Times New Roman"/>
        </w:rPr>
        <w:t>. Ističe se smanjenje stavke kapitala i rezervi</w:t>
      </w:r>
      <w:r w:rsidR="00681957" w:rsidRPr="004E6412">
        <w:rPr>
          <w:rFonts w:ascii="Times New Roman" w:hAnsi="Times New Roman"/>
        </w:rPr>
        <w:t xml:space="preserve"> za 29,10% na 1,44 milijarde kuna</w:t>
      </w:r>
      <w:r w:rsidRPr="004E6412">
        <w:rPr>
          <w:rFonts w:ascii="Times New Roman" w:hAnsi="Times New Roman"/>
        </w:rPr>
        <w:t xml:space="preserv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w:t>
      </w:r>
      <w:r w:rsidRPr="004E6412">
        <w:rPr>
          <w:rFonts w:ascii="Times New Roman" w:hAnsi="Times New Roman"/>
        </w:rPr>
        <w:t xml:space="preserve"> 2012</w:t>
      </w:r>
      <w:r w:rsidR="00681957" w:rsidRPr="004E6412">
        <w:rPr>
          <w:rFonts w:ascii="Times New Roman" w:hAnsi="Times New Roman"/>
        </w:rPr>
        <w:t xml:space="preserve">.). Smanjenje kapitala </w:t>
      </w:r>
      <w:r w:rsidRPr="004E6412">
        <w:rPr>
          <w:rFonts w:ascii="Times New Roman" w:hAnsi="Times New Roman"/>
        </w:rPr>
        <w:t xml:space="preserve">rezultat </w:t>
      </w:r>
      <w:r w:rsidR="00681957" w:rsidRPr="004E6412">
        <w:rPr>
          <w:rFonts w:ascii="Times New Roman" w:hAnsi="Times New Roman"/>
        </w:rPr>
        <w:t xml:space="preserve">je </w:t>
      </w:r>
      <w:r w:rsidRPr="004E6412">
        <w:rPr>
          <w:rFonts w:ascii="Times New Roman" w:hAnsi="Times New Roman"/>
        </w:rPr>
        <w:t>povećanja prenesenog</w:t>
      </w:r>
      <w:r w:rsidR="00681957" w:rsidRPr="004E6412">
        <w:rPr>
          <w:rFonts w:ascii="Times New Roman" w:hAnsi="Times New Roman"/>
        </w:rPr>
        <w:t>a</w:t>
      </w:r>
      <w:r w:rsidRPr="004E6412">
        <w:rPr>
          <w:rFonts w:ascii="Times New Roman" w:hAnsi="Times New Roman"/>
        </w:rPr>
        <w:t xml:space="preserve"> gubitka i istovremenog</w:t>
      </w:r>
      <w:r w:rsidR="00681957" w:rsidRPr="004E6412">
        <w:rPr>
          <w:rFonts w:ascii="Times New Roman" w:hAnsi="Times New Roman"/>
        </w:rPr>
        <w:t>a</w:t>
      </w:r>
      <w:r w:rsidRPr="004E6412">
        <w:rPr>
          <w:rFonts w:ascii="Times New Roman" w:hAnsi="Times New Roman"/>
        </w:rPr>
        <w:t xml:space="preserve"> smanjenja zadržane dobiti, što govori o poremećaju u poslovnom i financijskom rezultatu. </w:t>
      </w:r>
    </w:p>
    <w:p w:rsidR="001B41B0" w:rsidRPr="004E6412" w:rsidRDefault="001B41B0" w:rsidP="001B41B0">
      <w:pPr>
        <w:pStyle w:val="ListParagraph"/>
        <w:rPr>
          <w:rFonts w:ascii="Times New Roman" w:hAnsi="Times New Roman"/>
        </w:rPr>
      </w:pPr>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Ukupni prihodi i rashodi </w:t>
      </w:r>
      <w:r w:rsidR="001B41B0" w:rsidRPr="004E6412">
        <w:rPr>
          <w:rFonts w:ascii="Times New Roman" w:hAnsi="Times New Roman"/>
        </w:rPr>
        <w:t xml:space="preserve">povećali </w:t>
      </w:r>
      <w:r w:rsidRPr="004E6412">
        <w:rPr>
          <w:rFonts w:ascii="Times New Roman" w:hAnsi="Times New Roman"/>
        </w:rPr>
        <w:t xml:space="preserve">su se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w:t>
      </w:r>
      <w:r w:rsidR="001B41B0" w:rsidRPr="004E6412">
        <w:rPr>
          <w:rFonts w:ascii="Times New Roman" w:hAnsi="Times New Roman"/>
        </w:rPr>
        <w:t xml:space="preserve"> i t</w:t>
      </w:r>
      <w:r w:rsidRPr="004E6412">
        <w:rPr>
          <w:rFonts w:ascii="Times New Roman" w:hAnsi="Times New Roman"/>
        </w:rPr>
        <w:t>o za 0,78% na 3,25 milijardi kuna</w:t>
      </w:r>
      <w:r w:rsidR="001B41B0" w:rsidRPr="004E6412">
        <w:rPr>
          <w:rFonts w:ascii="Times New Roman" w:hAnsi="Times New Roman"/>
        </w:rPr>
        <w:t xml:space="preserve"> (ukupni prihod), odnosn</w:t>
      </w:r>
      <w:r w:rsidRPr="004E6412">
        <w:rPr>
          <w:rFonts w:ascii="Times New Roman" w:hAnsi="Times New Roman"/>
        </w:rPr>
        <w:t>o za 9,32% na 3,35 milijardi kuna</w:t>
      </w:r>
      <w:r w:rsidR="001B41B0" w:rsidRPr="004E6412">
        <w:rPr>
          <w:rFonts w:ascii="Times New Roman" w:hAnsi="Times New Roman"/>
        </w:rPr>
        <w:t xml:space="preserve"> (ukupni rashod). Dakle, došlo je do povećanja obujma poslovanja ove djelatnosti.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 sve tri godine (2010.</w:t>
      </w:r>
      <w:r w:rsidR="00681957" w:rsidRPr="004E6412">
        <w:rPr>
          <w:rFonts w:ascii="Times New Roman" w:hAnsi="Times New Roman"/>
        </w:rPr>
        <w:t xml:space="preserve"> – </w:t>
      </w:r>
      <w:r w:rsidRPr="004E6412">
        <w:rPr>
          <w:rFonts w:ascii="Times New Roman" w:hAnsi="Times New Roman"/>
        </w:rPr>
        <w:t xml:space="preserve">2012.) ova je djelatnost bila neprofitabilna, s time da je ostvareni neto gubitak u 2012. povećan u odnosu na imovinu, kapital i investicije. EBITDA je smanjena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za 29,40% na 140,89 milij</w:t>
      </w:r>
      <w:r w:rsidR="00681957" w:rsidRPr="004E6412">
        <w:rPr>
          <w:rFonts w:ascii="Times New Roman" w:hAnsi="Times New Roman"/>
        </w:rPr>
        <w:t>una kuna</w:t>
      </w:r>
      <w:r w:rsidRPr="004E6412">
        <w:rPr>
          <w:rFonts w:ascii="Times New Roman" w:hAnsi="Times New Roman"/>
        </w:rPr>
        <w:t>, što govori o osjetnom pogoršanju isplativosti poslovanja u proizvodnji namještaja.</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Trgovinska bilanca i ukupan o</w:t>
      </w:r>
      <w:r w:rsidR="00681957" w:rsidRPr="004E6412">
        <w:rPr>
          <w:rFonts w:ascii="Times New Roman" w:hAnsi="Times New Roman"/>
        </w:rPr>
        <w:t xml:space="preserve">bujam trgovine s inozemstvom </w:t>
      </w:r>
      <w:r w:rsidRPr="004E6412">
        <w:rPr>
          <w:rFonts w:ascii="Times New Roman" w:hAnsi="Times New Roman"/>
        </w:rPr>
        <w:t>povećani</w:t>
      </w:r>
      <w:r w:rsidR="00681957" w:rsidRPr="004E6412">
        <w:rPr>
          <w:rFonts w:ascii="Times New Roman" w:hAnsi="Times New Roman"/>
        </w:rPr>
        <w:t xml:space="preserve"> su</w:t>
      </w:r>
      <w:r w:rsidRPr="004E6412">
        <w:rPr>
          <w:rFonts w:ascii="Times New Roman" w:hAnsi="Times New Roman"/>
        </w:rPr>
        <w:t xml:space="preserve"> u </w:t>
      </w:r>
      <w:r w:rsidR="00681957" w:rsidRPr="004E6412">
        <w:rPr>
          <w:rFonts w:ascii="Times New Roman" w:hAnsi="Times New Roman"/>
        </w:rPr>
        <w:t xml:space="preserve">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te je povećan njihov doprinos trgovinskoj bila</w:t>
      </w:r>
      <w:r w:rsidR="00681957" w:rsidRPr="004E6412">
        <w:rPr>
          <w:rFonts w:ascii="Times New Roman" w:hAnsi="Times New Roman"/>
        </w:rPr>
        <w:t>nci prerađivačke industrije. Usporedne</w:t>
      </w:r>
      <w:r w:rsidRPr="004E6412">
        <w:rPr>
          <w:rFonts w:ascii="Times New Roman" w:hAnsi="Times New Roman"/>
        </w:rPr>
        <w:t xml:space="preserve"> prednosti ove djelatnosti su se u trgovini s inozemstvom povećale. Izvoz je u promatranom</w:t>
      </w:r>
      <w:r w:rsidR="00681957" w:rsidRPr="004E6412">
        <w:rPr>
          <w:rFonts w:ascii="Times New Roman" w:hAnsi="Times New Roman"/>
        </w:rPr>
        <w:t>e</w:t>
      </w:r>
      <w:r w:rsidRPr="004E6412">
        <w:rPr>
          <w:rFonts w:ascii="Times New Roman" w:hAnsi="Times New Roman"/>
        </w:rPr>
        <w:t xml:space="preserve"> razdoblju</w:t>
      </w:r>
      <w:r w:rsidR="00681957" w:rsidRPr="004E6412">
        <w:rPr>
          <w:rFonts w:ascii="Times New Roman" w:hAnsi="Times New Roman"/>
        </w:rPr>
        <w:t xml:space="preserve">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povećan</w:t>
      </w:r>
      <w:r w:rsidR="00681957" w:rsidRPr="004E6412">
        <w:rPr>
          <w:rFonts w:ascii="Times New Roman" w:hAnsi="Times New Roman"/>
        </w:rPr>
        <w:t xml:space="preserve"> za 21,69% na 1,29 milijardi kuna</w:t>
      </w:r>
      <w:r w:rsidRPr="004E6412">
        <w:rPr>
          <w:rFonts w:ascii="Times New Roman" w:hAnsi="Times New Roman"/>
        </w:rPr>
        <w:t xml:space="preserve">, uvoz je povećan </w:t>
      </w:r>
      <w:r w:rsidR="00681957" w:rsidRPr="004E6412">
        <w:rPr>
          <w:rFonts w:ascii="Times New Roman" w:hAnsi="Times New Roman"/>
        </w:rPr>
        <w:t>za 11,97% na 628,23 milijuna kuna, a</w:t>
      </w:r>
      <w:r w:rsidRPr="004E6412">
        <w:rPr>
          <w:rFonts w:ascii="Times New Roman" w:hAnsi="Times New Roman"/>
        </w:rPr>
        <w:t xml:space="preserve"> time </w:t>
      </w:r>
      <w:r w:rsidR="00681957" w:rsidRPr="004E6412">
        <w:rPr>
          <w:rFonts w:ascii="Times New Roman" w:hAnsi="Times New Roman"/>
        </w:rPr>
        <w:t xml:space="preserve">je </w:t>
      </w:r>
      <w:r w:rsidRPr="004E6412">
        <w:rPr>
          <w:rFonts w:ascii="Times New Roman" w:hAnsi="Times New Roman"/>
        </w:rPr>
        <w:t>neto izvoz povećan za 32,57% na 6</w:t>
      </w:r>
      <w:r w:rsidR="00681957" w:rsidRPr="004E6412">
        <w:rPr>
          <w:rFonts w:ascii="Times New Roman" w:hAnsi="Times New Roman"/>
        </w:rPr>
        <w:t>65,27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Bruto dodana vrijednost djelatnosti iskazuje trend smanjivanja u cjelokupnom</w:t>
      </w:r>
      <w:r w:rsidR="00681957" w:rsidRPr="004E6412">
        <w:rPr>
          <w:rFonts w:ascii="Times New Roman" w:hAnsi="Times New Roman"/>
        </w:rPr>
        <w:t>e</w:t>
      </w:r>
      <w:r w:rsidRPr="004E6412">
        <w:rPr>
          <w:rFonts w:ascii="Times New Roman" w:hAnsi="Times New Roman"/>
        </w:rPr>
        <w:t xml:space="preserve"> promatranom razdoblju</w:t>
      </w:r>
      <w:r w:rsidR="00681957" w:rsidRPr="004E6412">
        <w:rPr>
          <w:rFonts w:ascii="Times New Roman" w:hAnsi="Times New Roman"/>
        </w:rPr>
        <w:t xml:space="preserve"> (-11,12% na 805,91 milijun kuna</w:t>
      </w:r>
      <w:r w:rsidRPr="004E6412">
        <w:rPr>
          <w:rFonts w:ascii="Times New Roman" w:hAnsi="Times New Roman"/>
        </w:rPr>
        <w:t>). Udio dotacija, državnih potpora i subvencija u</w:t>
      </w:r>
      <w:r w:rsidR="00681957" w:rsidRPr="004E6412">
        <w:rPr>
          <w:rFonts w:ascii="Times New Roman" w:hAnsi="Times New Roman"/>
        </w:rPr>
        <w:t xml:space="preserve"> ukupnom prihodu djelatnosti </w:t>
      </w:r>
      <w:r w:rsidRPr="004E6412">
        <w:rPr>
          <w:rFonts w:ascii="Times New Roman" w:hAnsi="Times New Roman"/>
        </w:rPr>
        <w:t xml:space="preserve">na relativno </w:t>
      </w:r>
      <w:r w:rsidR="00681957" w:rsidRPr="004E6412">
        <w:rPr>
          <w:rFonts w:ascii="Times New Roman" w:hAnsi="Times New Roman"/>
        </w:rPr>
        <w:t xml:space="preserve">je </w:t>
      </w:r>
      <w:r w:rsidRPr="004E6412">
        <w:rPr>
          <w:rFonts w:ascii="Times New Roman" w:hAnsi="Times New Roman"/>
        </w:rPr>
        <w:t>niskoj razini (0,31% u 2012.), što</w:t>
      </w:r>
      <w:r w:rsidR="00100678" w:rsidRPr="004E6412">
        <w:rPr>
          <w:rFonts w:ascii="Times New Roman" w:hAnsi="Times New Roman"/>
        </w:rPr>
        <w:t xml:space="preserve"> znači da financijska učinkovitost</w:t>
      </w:r>
      <w:r w:rsidRPr="004E6412">
        <w:rPr>
          <w:rFonts w:ascii="Times New Roman" w:hAnsi="Times New Roman"/>
        </w:rPr>
        <w:t xml:space="preserve"> djelatnosti ne ovisi o prihodima iz državnih izvora. Analizom specijalizacije utvrđena je umjereno visoka intraindustrijska razmjena pripadajuće djelatnosti.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lastRenderedPageBreak/>
        <w:t>Proi</w:t>
      </w:r>
      <w:r w:rsidR="00100678" w:rsidRPr="004E6412">
        <w:rPr>
          <w:rFonts w:ascii="Times New Roman" w:hAnsi="Times New Roman"/>
        </w:rPr>
        <w:t>zvodnost rada i kapitala u stalnom je</w:t>
      </w:r>
      <w:r w:rsidR="006B73AA" w:rsidRPr="004E6412">
        <w:rPr>
          <w:rFonts w:ascii="Times New Roman" w:hAnsi="Times New Roman"/>
        </w:rPr>
        <w:t xml:space="preserve"> </w:t>
      </w:r>
      <w:r w:rsidR="00100678" w:rsidRPr="004E6412">
        <w:rPr>
          <w:rFonts w:ascii="Times New Roman" w:hAnsi="Times New Roman"/>
        </w:rPr>
        <w:t>pad</w:t>
      </w:r>
      <w:r w:rsidR="009A0466" w:rsidRPr="004E6412">
        <w:rPr>
          <w:rFonts w:ascii="Times New Roman" w:hAnsi="Times New Roman"/>
        </w:rPr>
        <w:t>u</w:t>
      </w:r>
      <w:r w:rsidR="006B73AA" w:rsidRPr="004E6412">
        <w:rPr>
          <w:rFonts w:ascii="Times New Roman" w:hAnsi="Times New Roman"/>
        </w:rPr>
        <w:t xml:space="preserve"> </w:t>
      </w:r>
      <w:r w:rsidR="00100678" w:rsidRPr="004E6412">
        <w:rPr>
          <w:rFonts w:ascii="Times New Roman" w:hAnsi="Times New Roman"/>
        </w:rPr>
        <w:t xml:space="preserve">u razdoblju </w:t>
      </w:r>
      <w:r w:rsidR="006B73AA" w:rsidRPr="004E6412">
        <w:rPr>
          <w:rFonts w:ascii="Times New Roman" w:hAnsi="Times New Roman"/>
        </w:rPr>
        <w:t>2010.</w:t>
      </w:r>
      <w:r w:rsidR="00100678" w:rsidRPr="004E6412">
        <w:rPr>
          <w:rFonts w:ascii="Times New Roman" w:hAnsi="Times New Roman"/>
        </w:rPr>
        <w:t xml:space="preserve"> – </w:t>
      </w:r>
      <w:r w:rsidR="006B73AA" w:rsidRPr="004E6412">
        <w:rPr>
          <w:rFonts w:ascii="Times New Roman" w:hAnsi="Times New Roman"/>
        </w:rPr>
        <w:t xml:space="preserve">2012. </w:t>
      </w:r>
      <w:r w:rsidR="00100678" w:rsidRPr="004E6412">
        <w:rPr>
          <w:rFonts w:ascii="Times New Roman" w:hAnsi="Times New Roman"/>
        </w:rPr>
        <w:t xml:space="preserve">Bruto dodana vrijednost </w:t>
      </w:r>
      <w:r w:rsidR="009A0466" w:rsidRPr="004E6412">
        <w:rPr>
          <w:rFonts w:ascii="Times New Roman" w:hAnsi="Times New Roman"/>
        </w:rPr>
        <w:t>padala</w:t>
      </w:r>
      <w:r w:rsidR="00100678" w:rsidRPr="004E6412">
        <w:rPr>
          <w:rFonts w:ascii="Times New Roman" w:hAnsi="Times New Roman"/>
        </w:rPr>
        <w:t xml:space="preserve"> je</w:t>
      </w:r>
      <w:r w:rsidR="009A0466" w:rsidRPr="004E6412">
        <w:rPr>
          <w:rFonts w:ascii="Times New Roman" w:hAnsi="Times New Roman"/>
        </w:rPr>
        <w:t xml:space="preserve"> uz nešto brže smanjenje bro</w:t>
      </w:r>
      <w:r w:rsidR="004823E2" w:rsidRPr="004E6412">
        <w:rPr>
          <w:rFonts w:ascii="Times New Roman" w:hAnsi="Times New Roman"/>
        </w:rPr>
        <w:t>j</w:t>
      </w:r>
      <w:r w:rsidR="009A0466" w:rsidRPr="004E6412">
        <w:rPr>
          <w:rFonts w:ascii="Times New Roman" w:hAnsi="Times New Roman"/>
        </w:rPr>
        <w:t>a</w:t>
      </w:r>
      <w:r w:rsidRPr="004E6412">
        <w:rPr>
          <w:rFonts w:ascii="Times New Roman" w:hAnsi="Times New Roman"/>
        </w:rPr>
        <w:t xml:space="preserve"> zaposlenih i vrijednost</w:t>
      </w:r>
      <w:r w:rsidR="009A0466" w:rsidRPr="004E6412">
        <w:rPr>
          <w:rFonts w:ascii="Times New Roman" w:hAnsi="Times New Roman"/>
        </w:rPr>
        <w:t>i</w:t>
      </w:r>
      <w:r w:rsidRPr="004E6412">
        <w:rPr>
          <w:rFonts w:ascii="Times New Roman" w:hAnsi="Times New Roman"/>
        </w:rPr>
        <w:t xml:space="preserve"> proizvodnog kapitala. </w:t>
      </w:r>
      <w:r w:rsidR="009A0466" w:rsidRPr="004E6412">
        <w:rPr>
          <w:rFonts w:ascii="Times New Roman" w:hAnsi="Times New Roman"/>
        </w:rPr>
        <w:t xml:space="preserve">Jedinični </w:t>
      </w:r>
      <w:r w:rsidRPr="004E6412">
        <w:rPr>
          <w:rFonts w:ascii="Times New Roman" w:hAnsi="Times New Roman"/>
        </w:rPr>
        <w:t>trošak rada je u trogodišnjem razdob</w:t>
      </w:r>
      <w:r w:rsidR="00100678" w:rsidRPr="004E6412">
        <w:rPr>
          <w:rFonts w:ascii="Times New Roman" w:hAnsi="Times New Roman"/>
        </w:rPr>
        <w:t>lju povećan s 0,65 kuna na 0,70 kuna</w:t>
      </w:r>
      <w:r w:rsidRPr="004E6412">
        <w:rPr>
          <w:rFonts w:ascii="Times New Roman" w:hAnsi="Times New Roman"/>
        </w:rPr>
        <w:t xml:space="preserve"> jer je ostvarena bruto dodana vrijedn</w:t>
      </w:r>
      <w:r w:rsidR="00100678" w:rsidRPr="004E6412">
        <w:rPr>
          <w:rFonts w:ascii="Times New Roman" w:hAnsi="Times New Roman"/>
        </w:rPr>
        <w:t>ost smanjena proporcionalno viša</w:t>
      </w:r>
      <w:r w:rsidRPr="004E6412">
        <w:rPr>
          <w:rFonts w:ascii="Times New Roman" w:hAnsi="Times New Roman"/>
        </w:rPr>
        <w:t xml:space="preserve"> od smanjenja troška radne snage, i to unatoč rastu prihoda od prodaje. Može se zak</w:t>
      </w:r>
      <w:r w:rsidR="00100678" w:rsidRPr="004E6412">
        <w:rPr>
          <w:rFonts w:ascii="Times New Roman" w:hAnsi="Times New Roman"/>
        </w:rPr>
        <w:t>ljučiti kako poželjna učinkovitost</w:t>
      </w:r>
      <w:r w:rsidRPr="004E6412">
        <w:rPr>
          <w:rFonts w:ascii="Times New Roman" w:hAnsi="Times New Roman"/>
        </w:rPr>
        <w:t xml:space="preserve"> korištenja radne snage nije ostvarena unatoč rastu pr</w:t>
      </w:r>
      <w:r w:rsidR="009A0466" w:rsidRPr="004E6412">
        <w:rPr>
          <w:rFonts w:ascii="Times New Roman" w:hAnsi="Times New Roman"/>
        </w:rPr>
        <w:t xml:space="preserve">ihoda, </w:t>
      </w:r>
      <w:r w:rsidR="004823E2" w:rsidRPr="004E6412">
        <w:rPr>
          <w:rFonts w:ascii="Times New Roman" w:hAnsi="Times New Roman"/>
        </w:rPr>
        <w:t>smanjenju</w:t>
      </w:r>
      <w:r w:rsidR="009A0466" w:rsidRPr="004E6412">
        <w:rPr>
          <w:rFonts w:ascii="Times New Roman" w:hAnsi="Times New Roman"/>
        </w:rPr>
        <w:t xml:space="preserve"> troška radne snage i smanjenju vrijednosti fiksne imovine, što u konačnici potvrđuje pad bruto dodane vrijednosti.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Poduzeća u ovoj djelatnosti gotovo da i ne ulažu u istraživanje i razvoj. Ukupna ulaganja u 2010. iznosil</w:t>
      </w:r>
      <w:r w:rsidR="00100678" w:rsidRPr="004E6412">
        <w:rPr>
          <w:rFonts w:ascii="Times New Roman" w:hAnsi="Times New Roman"/>
        </w:rPr>
        <w:t>a su 767.000 kuna</w:t>
      </w:r>
      <w:r w:rsidRPr="004E6412">
        <w:rPr>
          <w:rFonts w:ascii="Times New Roman" w:hAnsi="Times New Roman"/>
        </w:rPr>
        <w:t>.</w:t>
      </w:r>
    </w:p>
    <w:p w:rsidR="001B41B0" w:rsidRPr="004E6412" w:rsidRDefault="001B41B0" w:rsidP="001B41B0">
      <w:pPr>
        <w:rPr>
          <w:sz w:val="22"/>
        </w:rPr>
      </w:pPr>
    </w:p>
    <w:p w:rsidR="001B41B0" w:rsidRPr="004E6412" w:rsidRDefault="00100678"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nedovoljna </w:t>
      </w:r>
      <w:r w:rsidRPr="004E6412">
        <w:rPr>
          <w:rFonts w:ascii="Times New Roman" w:hAnsi="Times New Roman"/>
        </w:rPr>
        <w:t xml:space="preserve">je </w:t>
      </w:r>
      <w:r w:rsidR="001B41B0" w:rsidRPr="004E6412">
        <w:rPr>
          <w:rFonts w:ascii="Times New Roman" w:hAnsi="Times New Roman"/>
        </w:rPr>
        <w:t>u sve tri promatrane godine (2010.</w:t>
      </w:r>
      <w:r w:rsidRPr="004E6412">
        <w:rPr>
          <w:rFonts w:ascii="Times New Roman" w:hAnsi="Times New Roman"/>
        </w:rPr>
        <w:t xml:space="preserve"> – </w:t>
      </w:r>
      <w:r w:rsidR="001B41B0" w:rsidRPr="004E6412">
        <w:rPr>
          <w:rFonts w:ascii="Times New Roman" w:hAnsi="Times New Roman"/>
        </w:rPr>
        <w:t>2012.), s istovremenim trendom smanjenja. U 2012. ova je djelatnost iskazala dvostruko manje likvidne imovine, umanjene za zalihe, od kratkoročnih obveza. Udio raspoloživog</w:t>
      </w:r>
      <w:r w:rsidRPr="004E6412">
        <w:rPr>
          <w:rFonts w:ascii="Times New Roman" w:hAnsi="Times New Roman"/>
        </w:rPr>
        <w:t>a</w:t>
      </w:r>
      <w:r w:rsidR="001B41B0" w:rsidRPr="004E6412">
        <w:rPr>
          <w:rFonts w:ascii="Times New Roman" w:hAnsi="Times New Roman"/>
        </w:rPr>
        <w:t xml:space="preserve"> novca u ukupnoj imovini iznosio je vrlo niskih 3,70%. U</w:t>
      </w:r>
      <w:r w:rsidRPr="004E6412">
        <w:rPr>
          <w:rFonts w:ascii="Times New Roman" w:hAnsi="Times New Roman"/>
        </w:rPr>
        <w:t xml:space="preserve">kupna zaduženost djelatnosti </w:t>
      </w:r>
      <w:r w:rsidR="001B41B0" w:rsidRPr="004E6412">
        <w:rPr>
          <w:rFonts w:ascii="Times New Roman" w:hAnsi="Times New Roman"/>
        </w:rPr>
        <w:t xml:space="preserve">umjereno </w:t>
      </w:r>
      <w:r w:rsidRPr="004E6412">
        <w:rPr>
          <w:rFonts w:ascii="Times New Roman" w:hAnsi="Times New Roman"/>
        </w:rPr>
        <w:t xml:space="preserve">je </w:t>
      </w:r>
      <w:r w:rsidR="001B41B0" w:rsidRPr="004E6412">
        <w:rPr>
          <w:rFonts w:ascii="Times New Roman" w:hAnsi="Times New Roman"/>
        </w:rPr>
        <w:t xml:space="preserve">visoka i iskazuje povećanje </w:t>
      </w:r>
      <w:r w:rsidRPr="004E6412">
        <w:rPr>
          <w:rFonts w:ascii="Times New Roman" w:hAnsi="Times New Roman"/>
        </w:rPr>
        <w:t xml:space="preserve">u razdoblju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Broj zaposlenih prema satima rada se u djelatnosti C31 u razdoblju 2010.</w:t>
      </w:r>
      <w:r w:rsidR="00100678" w:rsidRPr="004E6412">
        <w:rPr>
          <w:rFonts w:ascii="Times New Roman" w:hAnsi="Times New Roman"/>
        </w:rPr>
        <w:t xml:space="preserve"> – </w:t>
      </w:r>
      <w:r w:rsidRPr="004E6412">
        <w:rPr>
          <w:rFonts w:ascii="Times New Roman" w:hAnsi="Times New Roman"/>
        </w:rPr>
        <w:t>2012. po godinama kretao redom 9.425, 9.140 i 9.038., odnosno smanjen je za 4,11% u promatranom</w:t>
      </w:r>
      <w:r w:rsidR="00100678" w:rsidRPr="004E6412">
        <w:rPr>
          <w:rFonts w:ascii="Times New Roman" w:hAnsi="Times New Roman"/>
        </w:rPr>
        <w:t>e</w:t>
      </w:r>
      <w:r w:rsidRPr="004E6412">
        <w:rPr>
          <w:rFonts w:ascii="Times New Roman" w:hAnsi="Times New Roman"/>
        </w:rPr>
        <w:t xml:space="preserve"> razdoblju. U razdoblju 2010.</w:t>
      </w:r>
      <w:r w:rsidR="00100678" w:rsidRPr="004E6412">
        <w:rPr>
          <w:rFonts w:ascii="Times New Roman" w:hAnsi="Times New Roman"/>
        </w:rPr>
        <w:t xml:space="preserve"> –</w:t>
      </w:r>
      <w:r w:rsidRPr="004E6412">
        <w:rPr>
          <w:rFonts w:ascii="Times New Roman" w:hAnsi="Times New Roman"/>
        </w:rPr>
        <w:t xml:space="preserve"> 2012. dolazi do porasta neto plaća po zaposlenom</w:t>
      </w:r>
      <w:r w:rsidR="00100678" w:rsidRPr="004E6412">
        <w:rPr>
          <w:rFonts w:ascii="Times New Roman" w:hAnsi="Times New Roman"/>
        </w:rPr>
        <w:t>e za 2,98% na 41.063 kune</w:t>
      </w:r>
      <w:r w:rsidRPr="004E6412">
        <w:rPr>
          <w:rFonts w:ascii="Times New Roman" w:hAnsi="Times New Roman"/>
        </w:rPr>
        <w:t>, odnosno porasta bruto plaća po zaposlenom</w:t>
      </w:r>
      <w:r w:rsidR="00100678" w:rsidRPr="004E6412">
        <w:rPr>
          <w:rFonts w:ascii="Times New Roman" w:hAnsi="Times New Roman"/>
        </w:rPr>
        <w:t>e za 1,11% na 62.718 kuna</w:t>
      </w:r>
      <w:r w:rsidRPr="004E6412">
        <w:rPr>
          <w:rFonts w:ascii="Times New Roman" w:hAnsi="Times New Roman"/>
        </w:rPr>
        <w:t>. Najveći udio zaposlenih ima srednju stručnu spremu (50,42% u 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lang w:eastAsia="hr-HR"/>
        </w:rPr>
      </w:pPr>
      <w:r w:rsidRPr="004E6412">
        <w:rPr>
          <w:rFonts w:ascii="Times New Roman" w:hAnsi="Times New Roman"/>
        </w:rPr>
        <w:t xml:space="preserve">Analizu poddjelatnosti nije bilo moguće provesti budući </w:t>
      </w:r>
      <w:r w:rsidR="00100678" w:rsidRPr="004E6412">
        <w:rPr>
          <w:rFonts w:ascii="Times New Roman" w:hAnsi="Times New Roman"/>
        </w:rPr>
        <w:t xml:space="preserve">da </w:t>
      </w:r>
      <w:r w:rsidRPr="004E6412">
        <w:rPr>
          <w:rFonts w:ascii="Times New Roman" w:hAnsi="Times New Roman"/>
        </w:rPr>
        <w:t>poduzeća iz djelatnosti C31 nisu u promatranom</w:t>
      </w:r>
      <w:r w:rsidR="00100678" w:rsidRPr="004E6412">
        <w:rPr>
          <w:rFonts w:ascii="Times New Roman" w:hAnsi="Times New Roman"/>
        </w:rPr>
        <w:t>e</w:t>
      </w:r>
      <w:r w:rsidRPr="004E6412">
        <w:rPr>
          <w:rFonts w:ascii="Times New Roman" w:hAnsi="Times New Roman"/>
        </w:rPr>
        <w:t xml:space="preserve"> razdoblju 2010.</w:t>
      </w:r>
      <w:r w:rsidR="00100678" w:rsidRPr="004E6412">
        <w:rPr>
          <w:rFonts w:ascii="Times New Roman" w:hAnsi="Times New Roman"/>
        </w:rPr>
        <w:t xml:space="preserve"> – </w:t>
      </w:r>
      <w:r w:rsidRPr="004E6412">
        <w:rPr>
          <w:rFonts w:ascii="Times New Roman" w:hAnsi="Times New Roman"/>
        </w:rPr>
        <w:t>2012. bila podijeljena po poddjelatnostima.</w:t>
      </w:r>
    </w:p>
    <w:p w:rsidR="001B41B0" w:rsidRPr="004E6412" w:rsidRDefault="001B41B0" w:rsidP="001B41B0">
      <w:pPr>
        <w:rPr>
          <w:sz w:val="22"/>
          <w:lang w:eastAsia="hr-HR"/>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Osnovna obilježja i prednosti djelatnosti proiz</w:t>
      </w:r>
      <w:r w:rsidR="001B1E4F" w:rsidRPr="004E6412">
        <w:rPr>
          <w:rFonts w:ascii="Times New Roman" w:hAnsi="Times New Roman"/>
        </w:rPr>
        <w:t>vodnje namještaja u Hrvatskoj su</w:t>
      </w:r>
      <w:r w:rsidRPr="004E6412">
        <w:rPr>
          <w:rFonts w:ascii="Times New Roman" w:hAnsi="Times New Roman"/>
        </w:rPr>
        <w:t xml:space="preserve"> dobra sirovinska osnova i duga tradicija u proizvodnji namještaja. Kao neki od najvećih problema navode se nespecijaliziranost proizvođača, veliki logistički troškovi, neadekvatni kanali distribucije, nepraćenje trendova, siva ekonomija, zanemarivo ulaganje u razvoj proizvoda, slaba tehnološka opremljenost, loša tečajna politika i drugo.</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Dobar prirodni resurs (koji bi svakako trebalo zadržati u zemlji) za suvremene trendove u proizvodnji od prirodnih materijala (eko proizvodnja), u kombinaciji s tradicijom i znanjem, recept je za uspjeh. Međutim, većina hrvatskih proizvođača namještaja nije ulagala u dizajn i inovacije koji, pored cijene kojom nisu u mogućnosti konkurirati Kini i sličnim zemljama s jeftinom radnom snagom, predstavljaju osnovne čimbenike konkurentnosti na inozemnom</w:t>
      </w:r>
      <w:r w:rsidR="001B1E4F" w:rsidRPr="004E6412">
        <w:rPr>
          <w:rFonts w:ascii="Times New Roman" w:hAnsi="Times New Roman"/>
        </w:rPr>
        <w:t xml:space="preserve">e tržištu. Izvozni potencijal </w:t>
      </w:r>
      <w:r w:rsidRPr="004E6412">
        <w:rPr>
          <w:rFonts w:ascii="Times New Roman" w:hAnsi="Times New Roman"/>
        </w:rPr>
        <w:t xml:space="preserve">visok </w:t>
      </w:r>
      <w:r w:rsidR="001B1E4F" w:rsidRPr="004E6412">
        <w:rPr>
          <w:rFonts w:ascii="Times New Roman" w:hAnsi="Times New Roman"/>
        </w:rPr>
        <w:t xml:space="preserve">je, </w:t>
      </w:r>
      <w:r w:rsidRPr="004E6412">
        <w:rPr>
          <w:rFonts w:ascii="Times New Roman" w:hAnsi="Times New Roman"/>
        </w:rPr>
        <w:t>osobito ako se ulaže u nove proizvode, znanje i tehnologij</w:t>
      </w:r>
      <w:r w:rsidR="001B1E4F" w:rsidRPr="004E6412">
        <w:rPr>
          <w:rFonts w:ascii="Times New Roman" w:hAnsi="Times New Roman"/>
        </w:rPr>
        <w:t>u. Ako su proizvodi fleksibilni te</w:t>
      </w:r>
      <w:r w:rsidRPr="004E6412">
        <w:rPr>
          <w:rFonts w:ascii="Times New Roman" w:hAnsi="Times New Roman"/>
        </w:rPr>
        <w:t xml:space="preserve"> ako su serije male, a imaju visoku dodanu vrijednost, mogućnosti su velike, osobito s obzirom na povoljan geostrateški položaj Hrvatske koji omogućuje brze reakcije na zahtjeve tržišta. </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Unatoč relativno dobroj ras</w:t>
      </w:r>
      <w:r w:rsidR="001B1E4F" w:rsidRPr="004E6412">
        <w:rPr>
          <w:rFonts w:ascii="Times New Roman" w:hAnsi="Times New Roman"/>
        </w:rPr>
        <w:t xml:space="preserve">položivosti sirovine za </w:t>
      </w:r>
      <w:r w:rsidRPr="004E6412">
        <w:rPr>
          <w:rFonts w:ascii="Times New Roman" w:hAnsi="Times New Roman"/>
        </w:rPr>
        <w:t>proizvodnju, u posljednjih nekoliko godina većina namještaja u Hrvatskoj se uvozi. Navedeno se pripisuje činjenici da strani maloprodajni lanci kontroliraju tržište. Međutim, hrv</w:t>
      </w:r>
      <w:r w:rsidR="001B1E4F" w:rsidRPr="004E6412">
        <w:rPr>
          <w:rFonts w:ascii="Times New Roman" w:hAnsi="Times New Roman"/>
        </w:rPr>
        <w:t xml:space="preserve">atski proizvođači namještaja </w:t>
      </w:r>
      <w:r w:rsidRPr="004E6412">
        <w:rPr>
          <w:rFonts w:ascii="Times New Roman" w:hAnsi="Times New Roman"/>
        </w:rPr>
        <w:t xml:space="preserve">uspjeli </w:t>
      </w:r>
      <w:r w:rsidR="001B1E4F" w:rsidRPr="004E6412">
        <w:rPr>
          <w:rFonts w:ascii="Times New Roman" w:hAnsi="Times New Roman"/>
        </w:rPr>
        <w:t>su ostvariti značajan</w:t>
      </w:r>
      <w:r w:rsidRPr="004E6412">
        <w:rPr>
          <w:rFonts w:ascii="Times New Roman" w:hAnsi="Times New Roman"/>
        </w:rPr>
        <w:t xml:space="preserve"> položaj na tržištima Njemačke, Ujedinjenog Kraljevstva, Francuske i skandinavskih zemalja, odnosno tržištima u kojima je kvalitetna drvna građa u velikom </w:t>
      </w:r>
      <w:r w:rsidRPr="004E6412">
        <w:rPr>
          <w:rFonts w:ascii="Times New Roman" w:hAnsi="Times New Roman"/>
        </w:rPr>
        <w:lastRenderedPageBreak/>
        <w:t>stupnju iskorištena. Također se smatra kako će dolazak IKEA Grupe otvoriti prilike hrvatskim proizvodnim tvrtkama za prodaju svojih proizvoda i na taj način ojačati potencijal domaće proizvodnje. Međutim, ulazak u opskrbni lanac može biti otežan zbog vrlo stroge kontrole kvalitete i cijena te standarda koje određuje IKEA.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78" w:name="_Toc372088077"/>
      <w:bookmarkStart w:id="979" w:name="_Toc378069137"/>
      <w:r w:rsidRPr="004E6412">
        <w:rPr>
          <w:rFonts w:eastAsia="Calibri"/>
        </w:rPr>
        <w:lastRenderedPageBreak/>
        <w:t>Zaključni prikaz pokazatelja</w:t>
      </w:r>
      <w:bookmarkEnd w:id="978"/>
      <w:bookmarkEnd w:id="979"/>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980" w:name="_Toc372088177"/>
      <w:bookmarkStart w:id="981" w:name="_Toc377551112"/>
      <w:bookmarkStart w:id="982" w:name="_Toc37763530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100</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(C31)</w:t>
      </w:r>
      <w:bookmarkEnd w:id="980"/>
      <w:bookmarkEnd w:id="981"/>
      <w:bookmarkEnd w:id="9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101,00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100,90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100,40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102,6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104,8</w:t>
            </w:r>
          </w:p>
        </w:tc>
        <w:tc>
          <w:tcPr>
            <w:tcW w:w="1079" w:type="pct"/>
            <w:shd w:val="clear" w:color="auto" w:fill="auto"/>
            <w:noWrap/>
          </w:tcPr>
          <w:p w:rsidR="001B41B0" w:rsidRPr="004E6412" w:rsidRDefault="00A61190" w:rsidP="0097195F">
            <w:pPr>
              <w:spacing w:line="240" w:lineRule="auto"/>
              <w:jc w:val="right"/>
              <w:rPr>
                <w:sz w:val="22"/>
              </w:rPr>
            </w:pPr>
            <w:r w:rsidRPr="004E6412">
              <w:rPr>
                <w:sz w:val="22"/>
              </w:rPr>
              <w:t>94,0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9.425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9.140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9.038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3.015.267.490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3.178.533.220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3.252.151.165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199.578.227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195.542.873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140.889.918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319.922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347.761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359.831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906.334.588</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849.105.819</w:t>
            </w:r>
          </w:p>
        </w:tc>
        <w:tc>
          <w:tcPr>
            <w:tcW w:w="107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805.591.297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7.850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8.304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12.073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15.468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14.648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24.426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1,932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2,059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501.842.159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584.211.472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665.279.872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38,10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39,77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1B1E4F"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w:t>
            </w:r>
            <w:r w:rsidRPr="004E6412">
              <w:rPr>
                <w:vanish/>
                <w:sz w:val="22"/>
              </w:rPr>
              <w:t xml:space="preserve">%%ja induvoja industrijenih ) </w:t>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1,76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0,682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0,654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96.163</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92.900</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89.134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0,46</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0,44</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0,70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983" w:name="_Toc372088178"/>
      <w:bookmarkStart w:id="984" w:name="_Toc377551113"/>
      <w:bookmarkStart w:id="985" w:name="_Toc377635302"/>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101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w:t>
      </w:r>
      <w:r w:rsidRPr="007D0CFD">
        <w:rPr>
          <w:rStyle w:val="IntenseEmphasis"/>
          <w:rFonts w:eastAsia="Calibri"/>
          <w:b/>
          <w:bCs w:val="0"/>
          <w:iCs w:val="0"/>
          <w:color w:val="548DD4" w:themeColor="text2" w:themeTint="99"/>
          <w:sz w:val="20"/>
        </w:rPr>
        <w:footnoteReference w:id="10"/>
      </w:r>
      <w:r w:rsidRPr="007D0CFD">
        <w:rPr>
          <w:rStyle w:val="IntenseEmphasis"/>
          <w:rFonts w:eastAsia="Calibri"/>
          <w:b/>
          <w:bCs w:val="0"/>
          <w:iCs w:val="0"/>
          <w:color w:val="548DD4" w:themeColor="text2" w:themeTint="99"/>
          <w:sz w:val="20"/>
        </w:rPr>
        <w:t xml:space="preserve"> (C31)</w:t>
      </w:r>
      <w:bookmarkEnd w:id="983"/>
      <w:bookmarkEnd w:id="984"/>
      <w:bookmarkEnd w:id="9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8846"/>
      </w:tblGrid>
      <w:tr w:rsidR="001B41B0" w:rsidRPr="004E6412" w:rsidTr="0097195F">
        <w:trPr>
          <w:trHeight w:val="20"/>
        </w:trPr>
        <w:tc>
          <w:tcPr>
            <w:tcW w:w="1889"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w:t>
            </w:r>
            <w:r w:rsidR="001B1E4F" w:rsidRPr="004E6412">
              <w:rPr>
                <w:b/>
                <w:sz w:val="22"/>
              </w:rPr>
              <w:t>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i ostali prirodni resursi kvalitetni i dostupni. Kapital manje dostupan.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pr</w:t>
            </w:r>
            <w:r w:rsidR="001B1E4F" w:rsidRPr="004E6412">
              <w:rPr>
                <w:sz w:val="22"/>
              </w:rPr>
              <w:t>oizvodima namijenjenima krajnjoj</w:t>
            </w:r>
            <w:r w:rsidRPr="004E6412">
              <w:rPr>
                <w:sz w:val="22"/>
              </w:rPr>
              <w:t xml:space="preserve"> pot</w:t>
            </w:r>
            <w:r w:rsidR="001B1E4F" w:rsidRPr="004E6412">
              <w:rPr>
                <w:sz w:val="22"/>
              </w:rPr>
              <w:t xml:space="preserve">rošnji. Nužna je usmjerenost prema </w:t>
            </w:r>
            <w:r w:rsidRPr="004E6412">
              <w:rPr>
                <w:sz w:val="22"/>
              </w:rPr>
              <w:t>inozemnim tržištima kako bi se poboljšalo poslovanje i ostvario rast.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49 poduzeća ostvaruje 80% prihoda djelatnosti. 68 poduzeća zapošljava 80%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ali</w:t>
            </w:r>
            <w:r w:rsidR="001B1E4F" w:rsidRPr="004E6412">
              <w:rPr>
                <w:sz w:val="22"/>
              </w:rPr>
              <w:t xml:space="preserve"> koncentriran u 20 poduzeća koja</w:t>
            </w:r>
            <w:r w:rsidRPr="004E6412">
              <w:rPr>
                <w:sz w:val="22"/>
              </w:rPr>
              <w:t xml:space="preserve"> čine 79% izvoza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je visok, a potencijal zapošljavanja samo u dijelu istraživanja i razvoja.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Mala ovisnost o uvozu. Sirovina većinom dostupna na domaćem tržištu.</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86" w:name="_Toc365387015"/>
      <w:bookmarkStart w:id="987" w:name="_Toc365992570"/>
      <w:bookmarkStart w:id="988" w:name="_Toc366152997"/>
      <w:bookmarkStart w:id="989" w:name="_Toc366154336"/>
      <w:bookmarkStart w:id="990" w:name="_Toc366154456"/>
      <w:bookmarkStart w:id="991" w:name="_Toc366410003"/>
      <w:bookmarkStart w:id="992" w:name="_Toc372088078"/>
      <w:bookmarkStart w:id="993" w:name="_Toc378069138"/>
      <w:r w:rsidRPr="004E6412">
        <w:lastRenderedPageBreak/>
        <w:t>C33 Popravak i instaliranje strojeva i opreme</w:t>
      </w:r>
      <w:bookmarkEnd w:id="986"/>
      <w:bookmarkEnd w:id="987"/>
      <w:bookmarkEnd w:id="988"/>
      <w:bookmarkEnd w:id="989"/>
      <w:bookmarkEnd w:id="990"/>
      <w:bookmarkEnd w:id="991"/>
      <w:bookmarkEnd w:id="992"/>
      <w:bookmarkEnd w:id="993"/>
    </w:p>
    <w:p w:rsidR="001B41B0" w:rsidRPr="004E6412" w:rsidRDefault="001B41B0" w:rsidP="001B41B0">
      <w:pPr>
        <w:rPr>
          <w:lang w:eastAsia="hr-HR"/>
        </w:rPr>
      </w:pPr>
    </w:p>
    <w:p w:rsidR="001B41B0" w:rsidRPr="004E6412" w:rsidRDefault="001B41B0" w:rsidP="001B41B0">
      <w:pPr>
        <w:rPr>
          <w:sz w:val="22"/>
        </w:rPr>
      </w:pPr>
      <w:r w:rsidRPr="004E6412">
        <w:rPr>
          <w:sz w:val="22"/>
        </w:rPr>
        <w:t>Djelatnost</w:t>
      </w:r>
      <w:r w:rsidR="00DF6BF3" w:rsidRPr="004E6412">
        <w:rPr>
          <w:sz w:val="22"/>
        </w:rPr>
        <w:t xml:space="preserve"> P</w:t>
      </w:r>
      <w:r w:rsidRPr="004E6412">
        <w:rPr>
          <w:sz w:val="22"/>
        </w:rPr>
        <w:t>opravka i instaliranja strojeva i opreme (C33)</w:t>
      </w:r>
      <w:r w:rsidRPr="004E6412">
        <w:rPr>
          <w:bCs/>
          <w:sz w:val="22"/>
        </w:rPr>
        <w:t xml:space="preserve"> obuhvaća poddjelatnosti popravak proizvoda od metala, strojeva i opreme (C3</w:t>
      </w:r>
      <w:r w:rsidR="00A61190" w:rsidRPr="004E6412">
        <w:rPr>
          <w:bCs/>
          <w:sz w:val="22"/>
        </w:rPr>
        <w:t>3</w:t>
      </w:r>
      <w:r w:rsidRPr="004E6412">
        <w:rPr>
          <w:bCs/>
          <w:sz w:val="22"/>
        </w:rPr>
        <w:t>.1) i instaliranje industrijskih strojeva i opreme (C33.2)</w:t>
      </w:r>
      <w:r w:rsidR="004823E2" w:rsidRPr="004E6412">
        <w:rPr>
          <w:bCs/>
          <w:sz w:val="22"/>
        </w:rPr>
        <w:t>. A</w:t>
      </w:r>
      <w:r w:rsidR="004823E2" w:rsidRPr="004E6412">
        <w:rPr>
          <w:sz w:val="22"/>
        </w:rPr>
        <w:t>nalizirani</w:t>
      </w:r>
      <w:r w:rsidRPr="004E6412">
        <w:rPr>
          <w:sz w:val="22"/>
        </w:rPr>
        <w:t xml:space="preserve"> odjeljak C33 uključuje specijalizirane popravke proizvoda proizvedenih u proizvodnom sektoru radi dovođenja strojeva, opreme i pr</w:t>
      </w:r>
      <w:r w:rsidR="00CA69D3" w:rsidRPr="004E6412">
        <w:rPr>
          <w:sz w:val="22"/>
        </w:rPr>
        <w:t>oizvoda u radno stanje. To uključuje</w:t>
      </w:r>
      <w:r w:rsidRPr="004E6412">
        <w:rPr>
          <w:sz w:val="22"/>
        </w:rPr>
        <w:t xml:space="preserve"> redovito i rutinsko održavanje (tj. servisiranje) da bi se osigurala učinkovitost strojeva te spriječili mogući kvarovi i nepotrebni popravci. Ovaj odjeljak uključuje samo specijalizirane popravke i djelatnosti održavanja. Veći dio popravaka obavljaju sami proizvođači strojeva, opreme i ostalih proizvoda, pri čemu je razvrstavanje jedinica koje obavljaju djelatnosti i</w:t>
      </w:r>
      <w:r w:rsidR="00CA69D3" w:rsidRPr="004E6412">
        <w:rPr>
          <w:sz w:val="22"/>
        </w:rPr>
        <w:t xml:space="preserve"> proizvodnje i popravka izvršeno</w:t>
      </w:r>
      <w:r w:rsidRPr="004E6412">
        <w:rPr>
          <w:sz w:val="22"/>
        </w:rPr>
        <w:t xml:space="preserve"> prema načelu dodane vrijednosti.</w:t>
      </w:r>
    </w:p>
    <w:p w:rsidR="001B41B0" w:rsidRPr="004E6412" w:rsidRDefault="001B41B0" w:rsidP="001B41B0"/>
    <w:p w:rsidR="001B41B0" w:rsidRPr="004E6412" w:rsidRDefault="001B41B0" w:rsidP="00D001B9">
      <w:pPr>
        <w:pStyle w:val="Heading3"/>
        <w:rPr>
          <w:lang w:eastAsia="hr-HR"/>
        </w:rPr>
      </w:pPr>
      <w:bookmarkStart w:id="994" w:name="_Toc365992571"/>
      <w:bookmarkStart w:id="995" w:name="_Toc366154337"/>
      <w:bookmarkStart w:id="996" w:name="_Toc366154457"/>
      <w:bookmarkStart w:id="997" w:name="_Toc366410004"/>
      <w:bookmarkStart w:id="998" w:name="_Toc372088079"/>
      <w:bookmarkStart w:id="999" w:name="_Toc378069139"/>
      <w:r w:rsidRPr="004E6412">
        <w:rPr>
          <w:lang w:eastAsia="hr-HR"/>
        </w:rPr>
        <w:t>Globalni trendovi razvoja</w:t>
      </w:r>
      <w:bookmarkEnd w:id="994"/>
      <w:bookmarkEnd w:id="995"/>
      <w:bookmarkEnd w:id="996"/>
      <w:bookmarkEnd w:id="997"/>
      <w:bookmarkEnd w:id="998"/>
      <w:bookmarkEnd w:id="999"/>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Tvrtke ove industrijske djelatnosti popravljaju i održavaju kako komercijalne tako i industrijske strojeve i opremu. To se odnosi na teške industrijske strojeve i opremu, poljoprivredne strojeve, strojeve i uređaje za rashladnu tehniku, strojev</w:t>
      </w:r>
      <w:r w:rsidR="00CA69D3" w:rsidRPr="004E6412">
        <w:rPr>
          <w:rFonts w:ascii="Times New Roman" w:hAnsi="Times New Roman"/>
          <w:bCs/>
        </w:rPr>
        <w:t>e za graditeljstvo i rudarstvo te</w:t>
      </w:r>
      <w:r w:rsidRPr="004E6412">
        <w:rPr>
          <w:rFonts w:ascii="Times New Roman" w:hAnsi="Times New Roman"/>
          <w:bCs/>
        </w:rPr>
        <w:t xml:space="preserve"> ostalo. </w:t>
      </w:r>
    </w:p>
    <w:p w:rsidR="001B41B0" w:rsidRPr="004E6412" w:rsidRDefault="001B41B0" w:rsidP="001B41B0">
      <w:pPr>
        <w:rPr>
          <w:bCs/>
          <w:sz w:val="22"/>
        </w:rPr>
      </w:pPr>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Za razliku od ostalih djelatnosti, ova</w:t>
      </w:r>
      <w:r w:rsidR="00CA69D3" w:rsidRPr="004E6412">
        <w:rPr>
          <w:rFonts w:ascii="Times New Roman" w:hAnsi="Times New Roman"/>
          <w:bCs/>
        </w:rPr>
        <w:t xml:space="preserve"> pr</w:t>
      </w:r>
      <w:r w:rsidRPr="004E6412">
        <w:rPr>
          <w:rFonts w:ascii="Times New Roman" w:hAnsi="Times New Roman"/>
          <w:bCs/>
        </w:rPr>
        <w:t>ofitira u razdoblju oslabljene ekonomije gdje tvrtke u poteškoćama posežu za ekonomski povoljnijim</w:t>
      </w:r>
      <w:r w:rsidR="00CA69D3" w:rsidRPr="004E6412">
        <w:rPr>
          <w:rFonts w:ascii="Times New Roman" w:hAnsi="Times New Roman"/>
          <w:bCs/>
        </w:rPr>
        <w:t xml:space="preserve"> rješenjima u pogledu popravka</w:t>
      </w:r>
      <w:r w:rsidRPr="004E6412">
        <w:rPr>
          <w:rFonts w:ascii="Times New Roman" w:hAnsi="Times New Roman"/>
          <w:bCs/>
        </w:rPr>
        <w:t xml:space="preserve"> umjesto nabavke novih strojeva i opreme. Prilikom gospodarskog</w:t>
      </w:r>
      <w:r w:rsidR="00CA69D3" w:rsidRPr="004E6412">
        <w:rPr>
          <w:rFonts w:ascii="Times New Roman" w:hAnsi="Times New Roman"/>
          <w:bCs/>
        </w:rPr>
        <w:t>a</w:t>
      </w:r>
      <w:r w:rsidRPr="004E6412">
        <w:rPr>
          <w:rFonts w:ascii="Times New Roman" w:hAnsi="Times New Roman"/>
          <w:bCs/>
        </w:rPr>
        <w:t xml:space="preserve"> rasta i ekonomskog</w:t>
      </w:r>
      <w:r w:rsidR="00CA69D3" w:rsidRPr="004E6412">
        <w:rPr>
          <w:rFonts w:ascii="Times New Roman" w:hAnsi="Times New Roman"/>
          <w:bCs/>
        </w:rPr>
        <w:t>a</w:t>
      </w:r>
      <w:r w:rsidRPr="004E6412">
        <w:rPr>
          <w:rFonts w:ascii="Times New Roman" w:hAnsi="Times New Roman"/>
          <w:bCs/>
        </w:rPr>
        <w:t xml:space="preserve"> oporavka, tvrtke nastavljaju s nabavkom novih strojeva i opreme, što donekle smanjuje op</w:t>
      </w:r>
      <w:r w:rsidR="00CA69D3" w:rsidRPr="004E6412">
        <w:rPr>
          <w:rFonts w:ascii="Times New Roman" w:hAnsi="Times New Roman"/>
          <w:bCs/>
        </w:rPr>
        <w:t>seg posla u pogledu popravaka. N</w:t>
      </w:r>
      <w:r w:rsidRPr="004E6412">
        <w:rPr>
          <w:rFonts w:ascii="Times New Roman" w:hAnsi="Times New Roman"/>
          <w:bCs/>
        </w:rPr>
        <w:t>o</w:t>
      </w:r>
      <w:r w:rsidR="00CA69D3" w:rsidRPr="004E6412">
        <w:rPr>
          <w:rFonts w:ascii="Times New Roman" w:hAnsi="Times New Roman"/>
          <w:bCs/>
        </w:rPr>
        <w:t>,</w:t>
      </w:r>
      <w:r w:rsidRPr="004E6412">
        <w:rPr>
          <w:rFonts w:ascii="Times New Roman" w:hAnsi="Times New Roman"/>
          <w:bCs/>
        </w:rPr>
        <w:t xml:space="preserve"> kako se volumen strojeva i opreme povećava, tako se povećavaju i zahtjevi za održavanjem istih.</w:t>
      </w:r>
    </w:p>
    <w:p w:rsidR="001B41B0" w:rsidRPr="004E6412" w:rsidRDefault="001B41B0" w:rsidP="001B41B0">
      <w:pPr>
        <w:rPr>
          <w:bCs/>
          <w:sz w:val="22"/>
        </w:rPr>
      </w:pPr>
    </w:p>
    <w:p w:rsidR="001B41B0" w:rsidRPr="004E6412" w:rsidRDefault="00CA69D3" w:rsidP="001B41B0">
      <w:pPr>
        <w:pStyle w:val="ListParagraph"/>
        <w:numPr>
          <w:ilvl w:val="0"/>
          <w:numId w:val="61"/>
        </w:numPr>
        <w:spacing w:after="0"/>
        <w:jc w:val="both"/>
        <w:rPr>
          <w:rFonts w:ascii="Times New Roman" w:hAnsi="Times New Roman"/>
          <w:lang w:eastAsia="hr-HR"/>
        </w:rPr>
      </w:pPr>
      <w:r w:rsidRPr="004E6412">
        <w:rPr>
          <w:rFonts w:ascii="Times New Roman" w:hAnsi="Times New Roman"/>
          <w:bCs/>
        </w:rPr>
        <w:t xml:space="preserve">Održavanje strojeva i opreme </w:t>
      </w:r>
      <w:r w:rsidR="001B41B0" w:rsidRPr="004E6412">
        <w:rPr>
          <w:rFonts w:ascii="Times New Roman" w:hAnsi="Times New Roman"/>
          <w:bCs/>
        </w:rPr>
        <w:t xml:space="preserve">nužno </w:t>
      </w:r>
      <w:r w:rsidRPr="004E6412">
        <w:rPr>
          <w:rFonts w:ascii="Times New Roman" w:hAnsi="Times New Roman"/>
          <w:bCs/>
        </w:rPr>
        <w:t xml:space="preserve">je </w:t>
      </w:r>
      <w:r w:rsidR="001B41B0" w:rsidRPr="004E6412">
        <w:rPr>
          <w:rFonts w:ascii="Times New Roman" w:hAnsi="Times New Roman"/>
          <w:bCs/>
        </w:rPr>
        <w:t>za nesmetano odvijanje bilo koje industrijske djelatnosti koja uključuje korištenje strojeva i opreme s ciljem zadovoljenja normi, rokova i kvalitete.</w:t>
      </w:r>
    </w:p>
    <w:p w:rsidR="001B41B0" w:rsidRPr="004E6412" w:rsidRDefault="001B41B0" w:rsidP="001B41B0">
      <w:pPr>
        <w:rPr>
          <w:lang w:eastAsia="hr-HR"/>
        </w:rPr>
      </w:pPr>
    </w:p>
    <w:p w:rsidR="001B41B0" w:rsidRPr="004E6412" w:rsidRDefault="001B41B0" w:rsidP="00D001B9">
      <w:pPr>
        <w:pStyle w:val="Heading3"/>
        <w:rPr>
          <w:lang w:eastAsia="hr-HR"/>
        </w:rPr>
      </w:pPr>
      <w:bookmarkStart w:id="1000" w:name="_Toc365992572"/>
      <w:bookmarkStart w:id="1001" w:name="_Toc366154338"/>
      <w:bookmarkStart w:id="1002" w:name="_Toc366154458"/>
      <w:bookmarkStart w:id="1003" w:name="_Toc366410005"/>
      <w:bookmarkStart w:id="1004" w:name="_Toc372088080"/>
      <w:bookmarkStart w:id="1005" w:name="_Toc378069140"/>
      <w:r w:rsidRPr="004E6412">
        <w:rPr>
          <w:lang w:eastAsia="hr-HR"/>
        </w:rPr>
        <w:t>Trendovi razvoja u Europskoj uniji</w:t>
      </w:r>
      <w:bookmarkEnd w:id="1000"/>
      <w:bookmarkEnd w:id="1001"/>
      <w:bookmarkEnd w:id="1002"/>
      <w:bookmarkEnd w:id="1003"/>
      <w:bookmarkEnd w:id="1004"/>
      <w:bookmarkEnd w:id="1005"/>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U ukupnom broju zaposlenih </w:t>
      </w:r>
      <w:r w:rsidR="00CA69D3" w:rsidRPr="004E6412">
        <w:rPr>
          <w:rFonts w:ascii="Times New Roman" w:hAnsi="Times New Roman"/>
          <w:bCs/>
        </w:rPr>
        <w:t>u prerađivačkoj industriji zemalja</w:t>
      </w:r>
      <w:r w:rsidRPr="004E6412">
        <w:rPr>
          <w:rFonts w:ascii="Times New Roman" w:hAnsi="Times New Roman"/>
          <w:bCs/>
        </w:rPr>
        <w:t xml:space="preserve"> EU27, odjeljak C33 imao je udio od 4%, a u ukupnoj dodanoj vrijednosti prerađivačke industrije udio od 3,4%.</w:t>
      </w:r>
    </w:p>
    <w:p w:rsidR="001B41B0" w:rsidRPr="004E6412" w:rsidRDefault="001B41B0" w:rsidP="001B41B0">
      <w:pPr>
        <w:rPr>
          <w:bCs/>
          <w:sz w:val="22"/>
        </w:rPr>
      </w:pPr>
    </w:p>
    <w:p w:rsidR="001B41B0" w:rsidRPr="004E6412" w:rsidRDefault="00CA69D3" w:rsidP="001B41B0">
      <w:pPr>
        <w:pStyle w:val="ListParagraph"/>
        <w:numPr>
          <w:ilvl w:val="0"/>
          <w:numId w:val="62"/>
        </w:numPr>
        <w:spacing w:after="0"/>
        <w:jc w:val="both"/>
        <w:rPr>
          <w:rFonts w:ascii="Times New Roman" w:hAnsi="Times New Roman"/>
          <w:bCs/>
        </w:rPr>
      </w:pPr>
      <w:r w:rsidRPr="004E6412">
        <w:rPr>
          <w:rFonts w:ascii="Times New Roman" w:hAnsi="Times New Roman"/>
          <w:bCs/>
        </w:rPr>
        <w:t>Produktivnost rada u EU27 u 2010. godini</w:t>
      </w:r>
      <w:r w:rsidR="001B41B0" w:rsidRPr="004E6412">
        <w:rPr>
          <w:rFonts w:ascii="Times New Roman" w:hAnsi="Times New Roman"/>
          <w:bCs/>
        </w:rPr>
        <w:t xml:space="preserve"> bila je za 8,3 tisuće eura ispod prosjeka prerađivačke industrije. Unatoč relativno niskoj produktivnosti rada, prosječni troškovi radne snage bili su relativno visoki. </w:t>
      </w:r>
    </w:p>
    <w:p w:rsidR="001B41B0" w:rsidRPr="004E6412" w:rsidRDefault="001B41B0" w:rsidP="001B41B0">
      <w:pPr>
        <w:rPr>
          <w:bCs/>
          <w:sz w:val="22"/>
        </w:rPr>
      </w:pPr>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Odjeljak </w:t>
      </w:r>
      <w:r w:rsidR="00CA69D3" w:rsidRPr="004E6412">
        <w:rPr>
          <w:rFonts w:ascii="Times New Roman" w:hAnsi="Times New Roman"/>
          <w:bCs/>
        </w:rPr>
        <w:t>C</w:t>
      </w:r>
      <w:r w:rsidRPr="004E6412">
        <w:rPr>
          <w:rFonts w:ascii="Times New Roman" w:hAnsi="Times New Roman"/>
          <w:bCs/>
        </w:rPr>
        <w:t>33 bio je 2010. jedini odjeljak prerađivačke industrije EU27 koji je bilježio produktivnost rada ispod prosjeka prerađivačke industrije, a troškove radne snage iznad prosjeka prerađivačke industrije. U skladu s tim, pokazatelj troškovima rada prilagođene produktivnosti bio je nizak.</w:t>
      </w:r>
    </w:p>
    <w:p w:rsidR="001B41B0" w:rsidRPr="004E6412" w:rsidRDefault="001B41B0" w:rsidP="001B41B0">
      <w:pPr>
        <w:rPr>
          <w:sz w:val="22"/>
          <w:lang w:eastAsia="hr-HR"/>
        </w:rPr>
      </w:pPr>
    </w:p>
    <w:p w:rsidR="001B41B0" w:rsidRPr="004E6412" w:rsidRDefault="001B41B0"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lang w:eastAsia="hr-HR"/>
        </w:rPr>
        <w:t xml:space="preserve">Poddjelatnost C33.1 imala je znatno veći udio i u dodanoj vrijednosti djelatnosti i u zapošljavanju. </w:t>
      </w:r>
    </w:p>
    <w:p w:rsidR="001B41B0" w:rsidRPr="004E6412" w:rsidRDefault="001B41B0" w:rsidP="001B41B0">
      <w:pPr>
        <w:rPr>
          <w:sz w:val="22"/>
          <w:lang w:eastAsia="hr-HR"/>
        </w:rPr>
      </w:pPr>
    </w:p>
    <w:p w:rsidR="001B41B0" w:rsidRPr="004E6412" w:rsidRDefault="00CA69D3"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bCs/>
        </w:rPr>
        <w:lastRenderedPageBreak/>
        <w:t>U okviru</w:t>
      </w:r>
      <w:r w:rsidR="001B41B0" w:rsidRPr="004E6412">
        <w:rPr>
          <w:rFonts w:ascii="Times New Roman" w:hAnsi="Times New Roman"/>
          <w:bCs/>
        </w:rPr>
        <w:t xml:space="preserve"> dodane vrijednosti, Njemačka je bila na prvom</w:t>
      </w:r>
      <w:r w:rsidRPr="004E6412">
        <w:rPr>
          <w:rFonts w:ascii="Times New Roman" w:hAnsi="Times New Roman"/>
          <w:bCs/>
        </w:rPr>
        <w:t>e</w:t>
      </w:r>
      <w:r w:rsidR="001B41B0" w:rsidRPr="004E6412">
        <w:rPr>
          <w:rFonts w:ascii="Times New Roman" w:hAnsi="Times New Roman"/>
          <w:bCs/>
        </w:rPr>
        <w:t xml:space="preserve"> mjestu odjeljka C33, i</w:t>
      </w:r>
      <w:r w:rsidRPr="004E6412">
        <w:rPr>
          <w:rFonts w:ascii="Times New Roman" w:hAnsi="Times New Roman"/>
          <w:bCs/>
        </w:rPr>
        <w:t xml:space="preserve"> </w:t>
      </w:r>
      <w:r w:rsidR="001B41B0" w:rsidRPr="004E6412">
        <w:rPr>
          <w:rFonts w:ascii="Times New Roman" w:hAnsi="Times New Roman"/>
          <w:bCs/>
        </w:rPr>
        <w:t xml:space="preserve">to u obje poddjelatnosti, dok su francuski i britanski udjeli također bili veliki. </w:t>
      </w:r>
    </w:p>
    <w:p w:rsidR="00B54DF2" w:rsidRPr="004E6412" w:rsidRDefault="00B54DF2" w:rsidP="00B54DF2">
      <w:pPr>
        <w:pStyle w:val="ListParagraph"/>
        <w:rPr>
          <w:rFonts w:ascii="Times New Roman" w:hAnsi="Times New Roman"/>
          <w:lang w:eastAsia="hr-HR"/>
        </w:rPr>
      </w:pPr>
    </w:p>
    <w:p w:rsidR="00B54DF2" w:rsidRPr="004E6412" w:rsidRDefault="00B54DF2" w:rsidP="00B54DF2">
      <w:pPr>
        <w:pStyle w:val="ListParagraph"/>
        <w:spacing w:after="0"/>
        <w:jc w:val="both"/>
        <w:rPr>
          <w:rFonts w:ascii="Times New Roman" w:hAnsi="Times New Roman"/>
          <w:lang w:eastAsia="hr-HR"/>
        </w:rPr>
      </w:pPr>
    </w:p>
    <w:p w:rsidR="001B41B0" w:rsidRPr="004E6412" w:rsidRDefault="001B41B0" w:rsidP="00D001B9">
      <w:pPr>
        <w:pStyle w:val="Heading3"/>
        <w:rPr>
          <w:lang w:eastAsia="hr-HR"/>
        </w:rPr>
      </w:pPr>
      <w:bookmarkStart w:id="1006" w:name="_Toc365992573"/>
      <w:bookmarkStart w:id="1007" w:name="_Toc366154339"/>
      <w:bookmarkStart w:id="1008" w:name="_Toc366154459"/>
      <w:bookmarkStart w:id="1009" w:name="_Toc366410006"/>
      <w:bookmarkStart w:id="1010" w:name="_Toc372088081"/>
      <w:bookmarkStart w:id="1011" w:name="_Toc378069141"/>
      <w:r w:rsidRPr="004E6412">
        <w:rPr>
          <w:lang w:eastAsia="hr-HR"/>
        </w:rPr>
        <w:t>Stanje i perspektive razvoja u Republici Hrvatskoj</w:t>
      </w:r>
      <w:bookmarkEnd w:id="1006"/>
      <w:bookmarkEnd w:id="1007"/>
      <w:bookmarkEnd w:id="1008"/>
      <w:bookmarkEnd w:id="1009"/>
      <w:bookmarkEnd w:id="1010"/>
      <w:bookmarkEnd w:id="1011"/>
    </w:p>
    <w:p w:rsidR="00EC0BFD" w:rsidRPr="004E6412" w:rsidRDefault="00EC0BFD" w:rsidP="00EC0BFD">
      <w:pPr>
        <w:numPr>
          <w:ilvl w:val="0"/>
          <w:numId w:val="63"/>
        </w:numPr>
        <w:rPr>
          <w:sz w:val="22"/>
        </w:rPr>
      </w:pPr>
      <w:r w:rsidRPr="004E6412">
        <w:rPr>
          <w:sz w:val="22"/>
        </w:rPr>
        <w:t xml:space="preserve">Analizirajući pojedinačne financijske izvještaje najvećih 100 poduzeća djelatnosti C33, utvrđena su znatna odstupanja pokazatelja profitabilnosti jednog poduzeća od prosjeka. Radi se o poduzeću Brodotrogir d.d.. </w:t>
      </w:r>
    </w:p>
    <w:p w:rsidR="00EC0BFD" w:rsidRPr="004E6412" w:rsidRDefault="00EC0BFD" w:rsidP="00EC0BFD">
      <w:pPr>
        <w:rPr>
          <w:sz w:val="22"/>
        </w:rPr>
      </w:pPr>
    </w:p>
    <w:p w:rsidR="00EC0BFD" w:rsidRPr="004E6412" w:rsidRDefault="00EC0BFD" w:rsidP="00EC0BFD">
      <w:pPr>
        <w:numPr>
          <w:ilvl w:val="0"/>
          <w:numId w:val="63"/>
        </w:numPr>
        <w:rPr>
          <w:sz w:val="22"/>
        </w:rPr>
      </w:pPr>
      <w:r w:rsidRPr="004E6412">
        <w:rPr>
          <w:sz w:val="22"/>
        </w:rPr>
        <w:t>S obzirom da se radi o poduzeću koje čini 57,68% ukupnih prihoda cjelokupne djelatnosti, njegov poslovni rezultati izuzetno mnogo utječe na poslovni rezultat cjelokupne djelatnosti.</w:t>
      </w:r>
    </w:p>
    <w:p w:rsidR="00EC0BFD" w:rsidRPr="004E6412" w:rsidRDefault="00EC0BFD" w:rsidP="00EC0BFD">
      <w:pPr>
        <w:ind w:left="360"/>
      </w:pPr>
    </w:p>
    <w:p w:rsidR="00EC0BFD" w:rsidRPr="004E6412" w:rsidRDefault="00EC0BFD" w:rsidP="00EC0BFD">
      <w:pPr>
        <w:numPr>
          <w:ilvl w:val="0"/>
          <w:numId w:val="63"/>
        </w:numPr>
        <w:rPr>
          <w:sz w:val="22"/>
        </w:rPr>
      </w:pPr>
      <w:r w:rsidRPr="004E6412">
        <w:rPr>
          <w:sz w:val="22"/>
        </w:rPr>
        <w:t xml:space="preserve">Također, radi se o poduzeću u 100% državnom vlasništvu. Analizom poslovanja Brodotrogir d.d. s obzirom na opseg javno dostupnih podataka, </w:t>
      </w:r>
      <w:r w:rsidR="004823E2" w:rsidRPr="004E6412">
        <w:rPr>
          <w:sz w:val="22"/>
        </w:rPr>
        <w:t>utvrđeno</w:t>
      </w:r>
      <w:r w:rsidR="00CA69D3" w:rsidRPr="004E6412">
        <w:rPr>
          <w:sz w:val="22"/>
        </w:rPr>
        <w:t xml:space="preserve"> je da je iznimno</w:t>
      </w:r>
      <w:r w:rsidRPr="004E6412">
        <w:rPr>
          <w:sz w:val="22"/>
        </w:rPr>
        <w:t xml:space="preserve"> visoka profitabilnost dobrim dijelom rezultat financijskog utjecaja države.</w:t>
      </w:r>
    </w:p>
    <w:p w:rsidR="00EC0BFD" w:rsidRPr="004E6412" w:rsidRDefault="00EC0BFD" w:rsidP="00EC0BFD">
      <w:pPr>
        <w:rPr>
          <w:sz w:val="22"/>
        </w:rPr>
      </w:pPr>
    </w:p>
    <w:p w:rsidR="00EC0BFD" w:rsidRPr="004E6412" w:rsidRDefault="00CA69D3" w:rsidP="00EC0BFD">
      <w:pPr>
        <w:numPr>
          <w:ilvl w:val="0"/>
          <w:numId w:val="63"/>
        </w:numPr>
        <w:rPr>
          <w:sz w:val="22"/>
        </w:rPr>
      </w:pPr>
      <w:r w:rsidRPr="004E6412">
        <w:rPr>
          <w:sz w:val="22"/>
        </w:rPr>
        <w:t xml:space="preserve">Iz tog razloga </w:t>
      </w:r>
      <w:r w:rsidR="00EC0BFD" w:rsidRPr="004E6412">
        <w:rPr>
          <w:sz w:val="22"/>
        </w:rPr>
        <w:t xml:space="preserve">izdvaja </w:t>
      </w:r>
      <w:r w:rsidRPr="004E6412">
        <w:rPr>
          <w:sz w:val="22"/>
        </w:rPr>
        <w:t xml:space="preserve">se </w:t>
      </w:r>
      <w:r w:rsidR="00EC0BFD" w:rsidRPr="004E6412">
        <w:rPr>
          <w:sz w:val="22"/>
        </w:rPr>
        <w:t>analiza profitabilnosti djelatnosti C33 te se navodi stupanj profitabilnosti bez utjecaja poduzeća Brodotrogir d.d.</w:t>
      </w:r>
    </w:p>
    <w:p w:rsidR="00EC0BFD" w:rsidRPr="004E6412" w:rsidRDefault="00EC0BFD" w:rsidP="006E0284">
      <w:pPr>
        <w:ind w:left="360"/>
        <w:rPr>
          <w:bCs/>
        </w:rPr>
      </w:pPr>
    </w:p>
    <w:p w:rsidR="006E0284" w:rsidRPr="007D0CFD" w:rsidRDefault="00FB4A6B" w:rsidP="007D0CFD">
      <w:pPr>
        <w:pStyle w:val="Heading5"/>
        <w:rPr>
          <w:rStyle w:val="IntenseEmphasis"/>
          <w:b/>
          <w:bCs w:val="0"/>
          <w:iCs w:val="0"/>
          <w:color w:val="548DD4" w:themeColor="text2" w:themeTint="99"/>
          <w:sz w:val="20"/>
        </w:rPr>
      </w:pPr>
      <w:bookmarkStart w:id="1012" w:name="_Toc377551114"/>
      <w:bookmarkStart w:id="1013" w:name="_Toc377635303"/>
      <w:r w:rsidRPr="007D0CFD">
        <w:rPr>
          <w:rStyle w:val="IntenseEmphasis"/>
          <w:b/>
          <w:bCs w:val="0"/>
          <w:iCs w:val="0"/>
          <w:color w:val="548DD4" w:themeColor="text2" w:themeTint="99"/>
          <w:sz w:val="20"/>
        </w:rPr>
        <w:t>Tablica 102</w:t>
      </w:r>
      <w:r w:rsidR="006E0284" w:rsidRPr="007D0CFD">
        <w:rPr>
          <w:rStyle w:val="IntenseEmphasis"/>
          <w:b/>
          <w:bCs w:val="0"/>
          <w:iCs w:val="0"/>
          <w:color w:val="548DD4" w:themeColor="text2" w:themeTint="99"/>
          <w:sz w:val="20"/>
        </w:rPr>
        <w:t>. Neto profitne stope Brodotrogir</w:t>
      </w:r>
      <w:r w:rsidR="00CA69D3" w:rsidRPr="007D0CFD">
        <w:rPr>
          <w:rStyle w:val="IntenseEmphasis"/>
          <w:b/>
          <w:bCs w:val="0"/>
          <w:iCs w:val="0"/>
          <w:color w:val="548DD4" w:themeColor="text2" w:themeTint="99"/>
          <w:sz w:val="20"/>
        </w:rPr>
        <w:t>a</w:t>
      </w:r>
      <w:r w:rsidR="006E0284" w:rsidRPr="007D0CFD">
        <w:rPr>
          <w:rStyle w:val="IntenseEmphasis"/>
          <w:b/>
          <w:bCs w:val="0"/>
          <w:iCs w:val="0"/>
          <w:color w:val="548DD4" w:themeColor="text2" w:themeTint="99"/>
          <w:sz w:val="20"/>
        </w:rPr>
        <w:t xml:space="preserve"> d.d.</w:t>
      </w:r>
      <w:bookmarkEnd w:id="1012"/>
      <w:bookmarkEnd w:id="1013"/>
    </w:p>
    <w:tbl>
      <w:tblPr>
        <w:tblW w:w="5000" w:type="pct"/>
        <w:tblLook w:val="04A0" w:firstRow="1" w:lastRow="0" w:firstColumn="1" w:lastColumn="0" w:noHBand="0" w:noVBand="1"/>
      </w:tblPr>
      <w:tblGrid>
        <w:gridCol w:w="6121"/>
        <w:gridCol w:w="1692"/>
        <w:gridCol w:w="1473"/>
      </w:tblGrid>
      <w:tr w:rsidR="006E0284" w:rsidRPr="004E6412" w:rsidTr="00DF1A47">
        <w:trPr>
          <w:trHeight w:val="255"/>
        </w:trPr>
        <w:tc>
          <w:tcPr>
            <w:tcW w:w="3295"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Naziv poslovnog subjekta</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 2012.</w:t>
            </w:r>
          </w:p>
        </w:tc>
        <w:tc>
          <w:tcPr>
            <w:tcW w:w="79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 2012.</w:t>
            </w:r>
          </w:p>
        </w:tc>
      </w:tr>
      <w:tr w:rsidR="006E0284" w:rsidRPr="004E6412" w:rsidTr="00DF1A47">
        <w:trPr>
          <w:trHeight w:val="720"/>
        </w:trPr>
        <w:tc>
          <w:tcPr>
            <w:tcW w:w="3295"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911"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793"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r>
      <w:tr w:rsidR="006E0284" w:rsidRPr="004E6412" w:rsidTr="00DF1A47">
        <w:trPr>
          <w:trHeight w:val="255"/>
        </w:trPr>
        <w:tc>
          <w:tcPr>
            <w:tcW w:w="3295" w:type="pct"/>
            <w:tcBorders>
              <w:top w:val="nil"/>
              <w:left w:val="single" w:sz="4" w:space="0" w:color="auto"/>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BRODOTROGIR D.D.</w:t>
            </w:r>
          </w:p>
        </w:tc>
        <w:tc>
          <w:tcPr>
            <w:tcW w:w="911"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83,27%</w:t>
            </w:r>
          </w:p>
        </w:tc>
        <w:tc>
          <w:tcPr>
            <w:tcW w:w="793"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920,29%</w:t>
            </w:r>
          </w:p>
        </w:tc>
      </w:tr>
    </w:tbl>
    <w:p w:rsidR="00DF1A47"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6E0284" w:rsidP="00B15A78">
      <w:pPr>
        <w:numPr>
          <w:ilvl w:val="0"/>
          <w:numId w:val="166"/>
        </w:numPr>
        <w:spacing w:after="200"/>
        <w:rPr>
          <w:sz w:val="22"/>
        </w:rPr>
      </w:pPr>
      <w:r w:rsidRPr="004E6412">
        <w:rPr>
          <w:sz w:val="22"/>
        </w:rPr>
        <w:t>Visoka vrijednost profitne stope iskrivljuje rezultate analize profitabilnosti na razini djelatnosti.</w:t>
      </w:r>
    </w:p>
    <w:p w:rsidR="00907034" w:rsidRDefault="00907034" w:rsidP="007D0CFD">
      <w:pPr>
        <w:pStyle w:val="Heading5"/>
        <w:rPr>
          <w:rStyle w:val="IntenseEmphasis"/>
          <w:b/>
          <w:bCs w:val="0"/>
          <w:iCs w:val="0"/>
          <w:color w:val="548DD4" w:themeColor="text2" w:themeTint="99"/>
          <w:sz w:val="20"/>
        </w:rPr>
      </w:pPr>
      <w:bookmarkStart w:id="1014" w:name="_Toc377551115"/>
    </w:p>
    <w:p w:rsidR="006E0284" w:rsidRPr="007D0CFD" w:rsidRDefault="00FB4A6B" w:rsidP="007D0CFD">
      <w:pPr>
        <w:pStyle w:val="Heading5"/>
        <w:rPr>
          <w:rStyle w:val="IntenseEmphasis"/>
          <w:b/>
          <w:bCs w:val="0"/>
          <w:iCs w:val="0"/>
          <w:color w:val="548DD4" w:themeColor="text2" w:themeTint="99"/>
          <w:sz w:val="20"/>
        </w:rPr>
      </w:pPr>
      <w:bookmarkStart w:id="1015" w:name="_Toc377635304"/>
      <w:r w:rsidRPr="007D0CFD">
        <w:rPr>
          <w:rStyle w:val="IntenseEmphasis"/>
          <w:b/>
          <w:bCs w:val="0"/>
          <w:iCs w:val="0"/>
          <w:color w:val="548DD4" w:themeColor="text2" w:themeTint="99"/>
          <w:sz w:val="20"/>
        </w:rPr>
        <w:t>Tablica 103</w:t>
      </w:r>
      <w:r w:rsidR="006E0284" w:rsidRPr="007D0CFD">
        <w:rPr>
          <w:rStyle w:val="IntenseEmphasis"/>
          <w:b/>
          <w:bCs w:val="0"/>
          <w:iCs w:val="0"/>
          <w:color w:val="548DD4" w:themeColor="text2" w:themeTint="99"/>
          <w:sz w:val="20"/>
        </w:rPr>
        <w:t>. Izabrani podaci i pokazatelji profitabilnosti djelatnosti C3</w:t>
      </w:r>
      <w:r w:rsidR="00752DF8" w:rsidRPr="007D0CFD">
        <w:rPr>
          <w:rStyle w:val="IntenseEmphasis"/>
          <w:b/>
          <w:bCs w:val="0"/>
          <w:iCs w:val="0"/>
          <w:color w:val="548DD4" w:themeColor="text2" w:themeTint="99"/>
          <w:sz w:val="20"/>
        </w:rPr>
        <w:t>3</w:t>
      </w:r>
      <w:r w:rsidR="006E0284" w:rsidRPr="007D0CFD">
        <w:rPr>
          <w:rStyle w:val="IntenseEmphasis"/>
          <w:b/>
          <w:bCs w:val="0"/>
          <w:iCs w:val="0"/>
          <w:color w:val="548DD4" w:themeColor="text2" w:themeTint="99"/>
          <w:sz w:val="20"/>
        </w:rPr>
        <w:t xml:space="preserve"> bez utjecaja </w:t>
      </w:r>
      <w:r w:rsidR="00752DF8" w:rsidRPr="007D0CFD">
        <w:rPr>
          <w:rStyle w:val="IntenseEmphasis"/>
          <w:b/>
          <w:bCs w:val="0"/>
          <w:iCs w:val="0"/>
          <w:color w:val="548DD4" w:themeColor="text2" w:themeTint="99"/>
          <w:sz w:val="20"/>
        </w:rPr>
        <w:t>Brodotrogir</w:t>
      </w:r>
      <w:r w:rsidR="00CA69D3" w:rsidRPr="007D0CFD">
        <w:rPr>
          <w:rStyle w:val="IntenseEmphasis"/>
          <w:b/>
          <w:bCs w:val="0"/>
          <w:iCs w:val="0"/>
          <w:color w:val="548DD4" w:themeColor="text2" w:themeTint="99"/>
          <w:sz w:val="20"/>
        </w:rPr>
        <w:t>a</w:t>
      </w:r>
      <w:r w:rsidR="00752DF8" w:rsidRPr="007D0CFD">
        <w:rPr>
          <w:rStyle w:val="IntenseEmphasis"/>
          <w:b/>
          <w:bCs w:val="0"/>
          <w:iCs w:val="0"/>
          <w:color w:val="548DD4" w:themeColor="text2" w:themeTint="99"/>
          <w:sz w:val="20"/>
        </w:rPr>
        <w:t xml:space="preserve"> d.d.</w:t>
      </w:r>
      <w:bookmarkEnd w:id="1014"/>
      <w:bookmarkEnd w:id="1015"/>
    </w:p>
    <w:tbl>
      <w:tblPr>
        <w:tblW w:w="5000" w:type="pct"/>
        <w:tblLook w:val="04A0" w:firstRow="1" w:lastRow="0" w:firstColumn="1" w:lastColumn="0" w:noHBand="0" w:noVBand="1"/>
      </w:tblPr>
      <w:tblGrid>
        <w:gridCol w:w="4643"/>
        <w:gridCol w:w="4643"/>
      </w:tblGrid>
      <w:tr w:rsidR="006E0284" w:rsidRPr="004E6412" w:rsidTr="009E097E">
        <w:trPr>
          <w:trHeight w:val="270"/>
        </w:trPr>
        <w:tc>
          <w:tcPr>
            <w:tcW w:w="2500" w:type="pct"/>
            <w:tcBorders>
              <w:top w:val="nil"/>
              <w:left w:val="nil"/>
              <w:bottom w:val="nil"/>
              <w:right w:val="nil"/>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BROJ ZAPOSLENIH</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4.103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UKUPNO AKTIVA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1.679.290.236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PRIHODI</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1.593.528.599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DOBIT ILI GUBITAK RAZDOBLJA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3.436.673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PRIHODI OD PRODAJE U INOZEMSTVU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330.286.622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100.567.564 HRK</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r w:rsidRPr="004E6412">
              <w:rPr>
                <w:rFonts w:eastAsia="Times New Roman"/>
                <w:color w:val="000000"/>
                <w:sz w:val="20"/>
                <w:szCs w:val="20"/>
                <w:lang w:eastAsia="hr-HR"/>
              </w:rPr>
              <w:t>0,22%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0,20%</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 PO ZAPOSLENOM</w:t>
            </w:r>
            <w:r w:rsidR="00CA69D3" w:rsidRPr="004E6412">
              <w:rPr>
                <w:rFonts w:eastAsia="Times New Roman"/>
                <w:b/>
                <w:bCs/>
                <w:sz w:val="20"/>
                <w:szCs w:val="20"/>
                <w:lang w:eastAsia="hr-HR"/>
              </w:rPr>
              <w:t>E</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388.381 HRK</w:t>
            </w:r>
          </w:p>
        </w:tc>
      </w:tr>
    </w:tbl>
    <w:p w:rsidR="006E0284"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9313C9" w:rsidP="00B15A78">
      <w:pPr>
        <w:numPr>
          <w:ilvl w:val="0"/>
          <w:numId w:val="166"/>
        </w:numPr>
        <w:spacing w:after="200"/>
        <w:rPr>
          <w:sz w:val="22"/>
        </w:rPr>
      </w:pPr>
      <w:r w:rsidRPr="004E6412">
        <w:rPr>
          <w:sz w:val="22"/>
        </w:rPr>
        <w:t>Iz Tablice 103</w:t>
      </w:r>
      <w:r w:rsidR="00CA69D3" w:rsidRPr="004E6412">
        <w:rPr>
          <w:sz w:val="22"/>
        </w:rPr>
        <w:t>. zamjetan je</w:t>
      </w:r>
      <w:r w:rsidR="006E0284" w:rsidRPr="004E6412">
        <w:rPr>
          <w:sz w:val="22"/>
        </w:rPr>
        <w:t xml:space="preserve"> nagli pad profitabilnosti djelatnosti čim se isključe podaci</w:t>
      </w:r>
      <w:r w:rsidR="00CA69D3" w:rsidRPr="004E6412">
        <w:rPr>
          <w:sz w:val="22"/>
        </w:rPr>
        <w:t xml:space="preserve"> o</w:t>
      </w:r>
      <w:r w:rsidR="006E0284" w:rsidRPr="004E6412">
        <w:rPr>
          <w:sz w:val="22"/>
        </w:rPr>
        <w:t xml:space="preserve"> </w:t>
      </w:r>
      <w:r w:rsidR="00CA69D3" w:rsidRPr="004E6412">
        <w:rPr>
          <w:sz w:val="22"/>
        </w:rPr>
        <w:t>padu Brodotrogir d.d. ROA s</w:t>
      </w:r>
      <w:r w:rsidR="006E0284" w:rsidRPr="004E6412">
        <w:rPr>
          <w:sz w:val="22"/>
        </w:rPr>
        <w:t xml:space="preserve"> 96,60% na 0,20% u 2012. godini. Neto profitna marža jedva ostaje pozitivna.</w:t>
      </w:r>
    </w:p>
    <w:p w:rsidR="006E0284" w:rsidRPr="004E6412" w:rsidRDefault="006E0284" w:rsidP="00B15A78">
      <w:pPr>
        <w:numPr>
          <w:ilvl w:val="0"/>
          <w:numId w:val="166"/>
        </w:numPr>
        <w:spacing w:after="200"/>
        <w:rPr>
          <w:sz w:val="22"/>
        </w:rPr>
      </w:pPr>
      <w:r w:rsidRPr="004E6412">
        <w:rPr>
          <w:sz w:val="22"/>
        </w:rPr>
        <w:lastRenderedPageBreak/>
        <w:t>Zaključuje se kako se djelatnost C3</w:t>
      </w:r>
      <w:r w:rsidR="00752DF8" w:rsidRPr="004E6412">
        <w:rPr>
          <w:sz w:val="22"/>
        </w:rPr>
        <w:t>3</w:t>
      </w:r>
      <w:r w:rsidRPr="004E6412">
        <w:rPr>
          <w:sz w:val="22"/>
        </w:rPr>
        <w:t xml:space="preserve"> može i treba promatrati kao cjelina u sklopu industrijske analize jer sva poduzeća</w:t>
      </w:r>
      <w:r w:rsidR="004823E2" w:rsidRPr="004E6412">
        <w:rPr>
          <w:sz w:val="22"/>
        </w:rPr>
        <w:t xml:space="preserve"> iz ove industrije čine</w:t>
      </w:r>
      <w:r w:rsidRPr="004E6412">
        <w:rPr>
          <w:sz w:val="22"/>
        </w:rPr>
        <w:t xml:space="preserve"> stan</w:t>
      </w:r>
      <w:r w:rsidR="00CA69D3" w:rsidRPr="004E6412">
        <w:rPr>
          <w:sz w:val="22"/>
        </w:rPr>
        <w:t>je takvim</w:t>
      </w:r>
      <w:r w:rsidRPr="004E6412">
        <w:rPr>
          <w:sz w:val="22"/>
        </w:rPr>
        <w:t xml:space="preserve"> kakvo</w:t>
      </w:r>
      <w:r w:rsidR="00CA69D3" w:rsidRPr="004E6412">
        <w:rPr>
          <w:sz w:val="22"/>
        </w:rPr>
        <w:t xml:space="preserve"> ono</w:t>
      </w:r>
      <w:r w:rsidRPr="004E6412">
        <w:rPr>
          <w:sz w:val="22"/>
        </w:rPr>
        <w:t xml:space="preserve"> jest. Međutim, spuštajući se na razinu djelatnosti valja s oprezom promatrati financijske pokazatelje djelatnosti C3</w:t>
      </w:r>
      <w:r w:rsidR="00752DF8" w:rsidRPr="004E6412">
        <w:rPr>
          <w:sz w:val="22"/>
        </w:rPr>
        <w:t>3</w:t>
      </w:r>
      <w:r w:rsidRPr="004E6412">
        <w:rPr>
          <w:sz w:val="22"/>
        </w:rPr>
        <w:t xml:space="preserve"> zbog velikog utjecaja </w:t>
      </w:r>
      <w:r w:rsidR="00752DF8" w:rsidRPr="004E6412">
        <w:rPr>
          <w:sz w:val="22"/>
        </w:rPr>
        <w:t>financijskih rezultata samo jednog poduzeća.</w:t>
      </w:r>
    </w:p>
    <w:p w:rsidR="00EC0BFD" w:rsidRPr="004E6412" w:rsidRDefault="006E0284" w:rsidP="00752DF8">
      <w:pPr>
        <w:pStyle w:val="ListParagraph"/>
        <w:numPr>
          <w:ilvl w:val="0"/>
          <w:numId w:val="57"/>
        </w:numPr>
        <w:spacing w:after="0"/>
        <w:jc w:val="both"/>
        <w:rPr>
          <w:rFonts w:ascii="Times New Roman" w:hAnsi="Times New Roman"/>
        </w:rPr>
      </w:pPr>
      <w:r w:rsidRPr="004E6412">
        <w:rPr>
          <w:rFonts w:ascii="Times New Roman" w:hAnsi="Times New Roman"/>
        </w:rPr>
        <w:t>Analiza u nas</w:t>
      </w:r>
      <w:r w:rsidR="00CA69D3" w:rsidRPr="004E6412">
        <w:rPr>
          <w:rFonts w:ascii="Times New Roman" w:hAnsi="Times New Roman"/>
        </w:rPr>
        <w:t>tavku provedena je na osnovi podataka o svim</w:t>
      </w:r>
      <w:r w:rsidR="00752DF8" w:rsidRPr="004E6412">
        <w:rPr>
          <w:rFonts w:ascii="Times New Roman" w:hAnsi="Times New Roman"/>
        </w:rPr>
        <w:t xml:space="preserve"> poduzeć</w:t>
      </w:r>
      <w:r w:rsidR="00CA69D3" w:rsidRPr="004E6412">
        <w:rPr>
          <w:rFonts w:ascii="Times New Roman" w:hAnsi="Times New Roman"/>
        </w:rPr>
        <w:t>im</w:t>
      </w:r>
      <w:r w:rsidR="00752DF8" w:rsidRPr="004E6412">
        <w:rPr>
          <w:rFonts w:ascii="Times New Roman" w:hAnsi="Times New Roman"/>
        </w:rPr>
        <w:t>a iz djelatnosti.</w:t>
      </w:r>
    </w:p>
    <w:p w:rsidR="00EC0BFD" w:rsidRPr="004E6412" w:rsidRDefault="00EC0BFD" w:rsidP="00752DF8">
      <w:pPr>
        <w:ind w:left="360"/>
        <w:rPr>
          <w:bCs/>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Popravak i instaliranje strojeva i opreme u Hrvatskoj je 2011. u odnosu na 2010. porastao za 12,8%, a 2012. u odnosu na 2010. za 9,3%. Uspoređujući 2012. s 2011., </w:t>
      </w:r>
      <w:r w:rsidR="00CA69D3" w:rsidRPr="004E6412">
        <w:rPr>
          <w:rFonts w:ascii="Times New Roman" w:hAnsi="Times New Roman"/>
          <w:bCs/>
        </w:rPr>
        <w:t>u 2012. ostvaren je pad od 3%. U p</w:t>
      </w:r>
      <w:r w:rsidRPr="004E6412">
        <w:rPr>
          <w:rFonts w:ascii="Times New Roman" w:hAnsi="Times New Roman"/>
          <w:bCs/>
        </w:rPr>
        <w:t>rvih pet mjeseci 2013. ostvaren je rast od 3,1% u odnosu na prvih pet mjese</w:t>
      </w:r>
      <w:r w:rsidR="00CA69D3" w:rsidRPr="004E6412">
        <w:rPr>
          <w:rFonts w:ascii="Times New Roman" w:hAnsi="Times New Roman"/>
          <w:bCs/>
        </w:rPr>
        <w:t xml:space="preserve">ci 2012. Proizvođačke cijene </w:t>
      </w:r>
      <w:r w:rsidRPr="004E6412">
        <w:rPr>
          <w:rFonts w:ascii="Times New Roman" w:hAnsi="Times New Roman"/>
          <w:bCs/>
        </w:rPr>
        <w:t xml:space="preserve">pale </w:t>
      </w:r>
      <w:r w:rsidR="00CA69D3" w:rsidRPr="004E6412">
        <w:rPr>
          <w:rFonts w:ascii="Times New Roman" w:hAnsi="Times New Roman"/>
          <w:bCs/>
        </w:rPr>
        <w:t xml:space="preserve">su </w:t>
      </w:r>
      <w:r w:rsidRPr="004E6412">
        <w:rPr>
          <w:rFonts w:ascii="Times New Roman" w:hAnsi="Times New Roman"/>
          <w:bCs/>
        </w:rPr>
        <w:t>za 4,8% 2012. u odnosu na 2010., a u svibnju 2013. za 4,9% u odnosu na 2010.</w:t>
      </w:r>
    </w:p>
    <w:p w:rsidR="001B41B0" w:rsidRPr="004E6412" w:rsidRDefault="001B41B0" w:rsidP="001B41B0">
      <w:pPr>
        <w:rPr>
          <w:bCs/>
          <w:sz w:val="22"/>
        </w:rPr>
      </w:pPr>
    </w:p>
    <w:p w:rsidR="001B41B0" w:rsidRPr="004E6412" w:rsidRDefault="00CA69D3" w:rsidP="001B41B0">
      <w:pPr>
        <w:pStyle w:val="ListParagraph"/>
        <w:numPr>
          <w:ilvl w:val="0"/>
          <w:numId w:val="63"/>
        </w:numPr>
        <w:spacing w:after="0"/>
        <w:jc w:val="both"/>
        <w:rPr>
          <w:rFonts w:ascii="Times New Roman" w:hAnsi="Times New Roman"/>
          <w:bCs/>
        </w:rPr>
      </w:pPr>
      <w:r w:rsidRPr="004E6412">
        <w:rPr>
          <w:rFonts w:ascii="Times New Roman" w:hAnsi="Times New Roman"/>
          <w:bCs/>
        </w:rPr>
        <w:t>Ukupna djelatnost C33, u 2011. broji 661 poduzeće</w:t>
      </w:r>
      <w:r w:rsidR="001B41B0" w:rsidRPr="004E6412">
        <w:rPr>
          <w:rFonts w:ascii="Times New Roman" w:hAnsi="Times New Roman"/>
          <w:bCs/>
        </w:rPr>
        <w:t>, a u 2012. broji 655 poduzeća. Od toga u 2012. najveći udio od 76,79% čini poddjelatnost C33.1, a ostatak od 23,20% otpada na poddjelatnost C33.2. Isto tako, poddjelatnost C33.1 ostvaruje 89,05% ukupnih prihoda djelatnosti (2012.) i zapošljava 85,95% osoba (2012.) koje rade u djelatnosti C33. Iz navedenog</w:t>
      </w:r>
      <w:r w:rsidR="00C20E5F" w:rsidRPr="004E6412">
        <w:rPr>
          <w:rFonts w:ascii="Times New Roman" w:hAnsi="Times New Roman"/>
          <w:bCs/>
        </w:rPr>
        <w:t>a može se</w:t>
      </w:r>
      <w:r w:rsidR="001B41B0" w:rsidRPr="004E6412">
        <w:rPr>
          <w:rFonts w:ascii="Times New Roman" w:hAnsi="Times New Roman"/>
          <w:bCs/>
        </w:rPr>
        <w:t xml:space="preserve"> zaključiti kako se gotovo sve u nastavku prikazane v</w:t>
      </w:r>
      <w:r w:rsidR="00C20E5F" w:rsidRPr="004E6412">
        <w:rPr>
          <w:rFonts w:ascii="Times New Roman" w:hAnsi="Times New Roman"/>
          <w:bCs/>
        </w:rPr>
        <w:t>eličine zasnivaju na prevladavajućoj</w:t>
      </w:r>
      <w:r w:rsidR="001B41B0" w:rsidRPr="004E6412">
        <w:rPr>
          <w:rFonts w:ascii="Times New Roman" w:hAnsi="Times New Roman"/>
          <w:bCs/>
        </w:rPr>
        <w:t xml:space="preserve"> poddjelatnosti popravk</w:t>
      </w:r>
      <w:r w:rsidR="00C20E5F" w:rsidRPr="004E6412">
        <w:rPr>
          <w:rFonts w:ascii="Times New Roman" w:hAnsi="Times New Roman"/>
          <w:bCs/>
        </w:rPr>
        <w:t>a proizvoda od metala, strojeva</w:t>
      </w:r>
      <w:r w:rsidR="001B41B0" w:rsidRPr="004E6412">
        <w:rPr>
          <w:rFonts w:ascii="Times New Roman" w:hAnsi="Times New Roman"/>
          <w:bCs/>
        </w:rPr>
        <w:t xml:space="preserve"> i opreme.</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Poduzeća u C33 djelatnosti </w:t>
      </w:r>
      <w:r w:rsidR="001B41B0" w:rsidRPr="004E6412">
        <w:rPr>
          <w:rFonts w:ascii="Times New Roman" w:hAnsi="Times New Roman"/>
          <w:bCs/>
        </w:rPr>
        <w:t xml:space="preserve">velikom </w:t>
      </w:r>
      <w:r w:rsidRPr="004E6412">
        <w:rPr>
          <w:rFonts w:ascii="Times New Roman" w:hAnsi="Times New Roman"/>
          <w:bCs/>
        </w:rPr>
        <w:t xml:space="preserve">su </w:t>
      </w:r>
      <w:r w:rsidR="001B41B0" w:rsidRPr="004E6412">
        <w:rPr>
          <w:rFonts w:ascii="Times New Roman" w:hAnsi="Times New Roman"/>
          <w:bCs/>
        </w:rPr>
        <w:t>većinom (oko 90%) u domaćem vlasništvu. Po veličini i utjecaju ističe se samo Brodotrogir d.d. koji u 2012. čini 57,68% ukupnih prihoda djelatnosti, 10,48% aktive djelatnosti, 22,32% zaposlenih djelatnosti, 42,24% izvoza djelatnosti i 28,07% uvoza djelatnosti. Među preostalim poduzeći</w:t>
      </w:r>
      <w:r w:rsidRPr="004E6412">
        <w:rPr>
          <w:rFonts w:ascii="Times New Roman" w:hAnsi="Times New Roman"/>
          <w:bCs/>
        </w:rPr>
        <w:t>ma zamjetan je manjak prevladavanja</w:t>
      </w:r>
      <w:r w:rsidR="001B41B0" w:rsidRPr="004E6412">
        <w:rPr>
          <w:rFonts w:ascii="Times New Roman" w:hAnsi="Times New Roman"/>
          <w:bCs/>
        </w:rPr>
        <w:t xml:space="preserve"> pojedinog poduzeća ili grupe poduzeća, odnosno niska koncentracija.</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razdoblju 2010.</w:t>
      </w:r>
      <w:r w:rsidR="00C20E5F" w:rsidRPr="004E6412">
        <w:rPr>
          <w:rFonts w:ascii="Times New Roman" w:hAnsi="Times New Roman"/>
          <w:bCs/>
        </w:rPr>
        <w:t xml:space="preserve"> – </w:t>
      </w:r>
      <w:r w:rsidRPr="004E6412">
        <w:rPr>
          <w:rFonts w:ascii="Times New Roman" w:hAnsi="Times New Roman"/>
          <w:bCs/>
        </w:rPr>
        <w:t>2012. došlo je do smanjenja aktive djelatnosti</w:t>
      </w:r>
      <w:r w:rsidR="00C20E5F" w:rsidRPr="004E6412">
        <w:rPr>
          <w:rFonts w:ascii="Times New Roman" w:hAnsi="Times New Roman"/>
          <w:bCs/>
        </w:rPr>
        <w:t>. Kratkotrajna imovina prevladavala je s</w:t>
      </w:r>
      <w:r w:rsidRPr="004E6412">
        <w:rPr>
          <w:rFonts w:ascii="Times New Roman" w:hAnsi="Times New Roman"/>
          <w:bCs/>
        </w:rPr>
        <w:t xml:space="preserve"> udjelom od 60% do 73%. Struktura pasive otkriva specifičnost ove djelatnosti u vidu negativne vrijednosti kapitala u 2010. i 2011. Razlog negativnoj vrijednosti prvenstveno se nalazi u velikoj razlici između vrijednosti zadržane dobiti i prenesenog gubitka. U te dvije godine zabilježena je visoka zaduženost djelatnosti, negativne stope profitabilnosti i niža likvidnost.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2012. došlo je do nagle promjene u imovini, obvezama, prihodima, zaduženosti i pro</w:t>
      </w:r>
      <w:r w:rsidR="00C20E5F" w:rsidRPr="004E6412">
        <w:rPr>
          <w:rFonts w:ascii="Times New Roman" w:hAnsi="Times New Roman"/>
          <w:bCs/>
        </w:rPr>
        <w:t>fitabilnosti. Općenito</w:t>
      </w:r>
      <w:r w:rsidRPr="004E6412">
        <w:rPr>
          <w:rFonts w:ascii="Times New Roman" w:hAnsi="Times New Roman"/>
          <w:bCs/>
        </w:rPr>
        <w:t>, u razdoblju 2011.</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xml:space="preserve">. ova djelatnost </w:t>
      </w:r>
      <w:r w:rsidRPr="004E6412">
        <w:rPr>
          <w:rFonts w:ascii="Times New Roman" w:hAnsi="Times New Roman"/>
          <w:bCs/>
        </w:rPr>
        <w:t xml:space="preserve">financijski </w:t>
      </w:r>
      <w:r w:rsidR="00C20E5F" w:rsidRPr="004E6412">
        <w:rPr>
          <w:rFonts w:ascii="Times New Roman" w:hAnsi="Times New Roman"/>
          <w:bCs/>
        </w:rPr>
        <w:t xml:space="preserve">se </w:t>
      </w:r>
      <w:r w:rsidRPr="004E6412">
        <w:rPr>
          <w:rFonts w:ascii="Times New Roman" w:hAnsi="Times New Roman"/>
          <w:bCs/>
        </w:rPr>
        <w:t xml:space="preserve">oporavila. </w:t>
      </w:r>
      <w:r w:rsidR="00C20E5F" w:rsidRPr="004E6412">
        <w:rPr>
          <w:rFonts w:ascii="Times New Roman" w:hAnsi="Times New Roman"/>
          <w:bCs/>
        </w:rPr>
        <w:t xml:space="preserve">Vrijednost kapitala </w:t>
      </w:r>
      <w:r w:rsidRPr="004E6412">
        <w:rPr>
          <w:rFonts w:ascii="Times New Roman" w:hAnsi="Times New Roman"/>
          <w:bCs/>
        </w:rPr>
        <w:t xml:space="preserve">postala </w:t>
      </w:r>
      <w:r w:rsidR="00C20E5F" w:rsidRPr="004E6412">
        <w:rPr>
          <w:rFonts w:ascii="Times New Roman" w:hAnsi="Times New Roman"/>
          <w:bCs/>
        </w:rPr>
        <w:t xml:space="preserve">je </w:t>
      </w:r>
      <w:r w:rsidRPr="004E6412">
        <w:rPr>
          <w:rFonts w:ascii="Times New Roman" w:hAnsi="Times New Roman"/>
          <w:bCs/>
        </w:rPr>
        <w:t>pozitivna</w:t>
      </w:r>
      <w:r w:rsidR="00C20E5F" w:rsidRPr="004E6412">
        <w:rPr>
          <w:rFonts w:ascii="Times New Roman" w:hAnsi="Times New Roman"/>
          <w:bCs/>
        </w:rPr>
        <w:t xml:space="preserve"> (s minusa od 1,07 milijardi kuna</w:t>
      </w:r>
      <w:r w:rsidRPr="004E6412">
        <w:rPr>
          <w:rFonts w:ascii="Times New Roman" w:hAnsi="Times New Roman"/>
          <w:bCs/>
        </w:rPr>
        <w:t xml:space="preserve"> u 2010. do pozitivne vr</w:t>
      </w:r>
      <w:r w:rsidR="00C20E5F" w:rsidRPr="004E6412">
        <w:rPr>
          <w:rFonts w:ascii="Times New Roman" w:hAnsi="Times New Roman"/>
          <w:bCs/>
        </w:rPr>
        <w:t>ijednosti od 506,78 milijuna kuna</w:t>
      </w:r>
      <w:r w:rsidRPr="004E6412">
        <w:rPr>
          <w:rFonts w:ascii="Times New Roman" w:hAnsi="Times New Roman"/>
          <w:bCs/>
        </w:rPr>
        <w:t xml:space="preserve"> u 2012.). </w:t>
      </w:r>
      <w:r w:rsidR="00C20E5F" w:rsidRPr="004E6412">
        <w:rPr>
          <w:rFonts w:ascii="Times New Roman" w:hAnsi="Times New Roman"/>
          <w:bCs/>
        </w:rPr>
        <w:t xml:space="preserve">Kumulativa dobit djelatnosti </w:t>
      </w:r>
      <w:r w:rsidRPr="004E6412">
        <w:rPr>
          <w:rFonts w:ascii="Times New Roman" w:hAnsi="Times New Roman"/>
          <w:bCs/>
        </w:rPr>
        <w:t xml:space="preserve">povećana </w:t>
      </w:r>
      <w:r w:rsidR="00C20E5F" w:rsidRPr="004E6412">
        <w:rPr>
          <w:rFonts w:ascii="Times New Roman" w:hAnsi="Times New Roman"/>
          <w:bCs/>
        </w:rPr>
        <w:t>je sa 76,87 milijuna kuna iz 2010. na 1,91 milijardu kuna</w:t>
      </w:r>
      <w:r w:rsidRPr="004E6412">
        <w:rPr>
          <w:rFonts w:ascii="Times New Roman" w:hAnsi="Times New Roman"/>
          <w:bCs/>
        </w:rPr>
        <w:t xml:space="preserve"> u 2012., dok je kumulativni gubit</w:t>
      </w:r>
      <w:r w:rsidR="00C20E5F" w:rsidRPr="004E6412">
        <w:rPr>
          <w:rFonts w:ascii="Times New Roman" w:hAnsi="Times New Roman"/>
          <w:bCs/>
        </w:rPr>
        <w:t xml:space="preserve">ak smanjen s 320,18 milijuna kuna na 100,21 milijun kuna. Ukupni prihodi </w:t>
      </w:r>
      <w:r w:rsidRPr="004E6412">
        <w:rPr>
          <w:rFonts w:ascii="Times New Roman" w:hAnsi="Times New Roman"/>
          <w:bCs/>
        </w:rPr>
        <w:t xml:space="preserve">povećali </w:t>
      </w:r>
      <w:r w:rsidR="00C20E5F" w:rsidRPr="004E6412">
        <w:rPr>
          <w:rFonts w:ascii="Times New Roman" w:hAnsi="Times New Roman"/>
          <w:bCs/>
        </w:rPr>
        <w:t xml:space="preserve">su se </w:t>
      </w:r>
      <w:r w:rsidRPr="004E6412">
        <w:rPr>
          <w:rFonts w:ascii="Times New Roman" w:hAnsi="Times New Roman"/>
          <w:bCs/>
        </w:rPr>
        <w:t>s 2,07 milijardi iz 2010. na 3,77 milijardi u 2012., dok su ukupni rashodi u istom razdoblju smanjeni s 2,29</w:t>
      </w:r>
      <w:r w:rsidR="00C20E5F" w:rsidRPr="004E6412">
        <w:rPr>
          <w:rFonts w:ascii="Times New Roman" w:hAnsi="Times New Roman"/>
          <w:bCs/>
        </w:rPr>
        <w:t xml:space="preserve"> milijardi na 1,93 milijarde kuna</w:t>
      </w:r>
      <w:r w:rsidRPr="004E6412">
        <w:rPr>
          <w:rFonts w:ascii="Times New Roman" w:hAnsi="Times New Roman"/>
          <w:bCs/>
        </w:rPr>
        <w:t xml:space="preserve">. Poslovni prihodi </w:t>
      </w:r>
      <w:r w:rsidR="00C20E5F" w:rsidRPr="004E6412">
        <w:rPr>
          <w:rFonts w:ascii="Times New Roman" w:hAnsi="Times New Roman"/>
          <w:bCs/>
        </w:rPr>
        <w:t>i rashodi prevladavali</w:t>
      </w:r>
      <w:r w:rsidRPr="004E6412">
        <w:rPr>
          <w:rFonts w:ascii="Times New Roman" w:hAnsi="Times New Roman"/>
          <w:bCs/>
        </w:rPr>
        <w:t xml:space="preserve"> su s udjelima od 85</w:t>
      </w:r>
      <w:r w:rsidR="00C20E5F" w:rsidRPr="004E6412">
        <w:rPr>
          <w:rFonts w:ascii="Times New Roman" w:hAnsi="Times New Roman"/>
          <w:bCs/>
        </w:rPr>
        <w:t>% do 99%. Vrlo važna činjenica</w:t>
      </w:r>
      <w:r w:rsidRPr="004E6412">
        <w:rPr>
          <w:rFonts w:ascii="Times New Roman" w:hAnsi="Times New Roman"/>
          <w:bCs/>
        </w:rPr>
        <w:t xml:space="preserve"> proizlazi iz uvida u strukturu poslovnih prihoda i rashod</w:t>
      </w:r>
      <w:r w:rsidR="00C20E5F" w:rsidRPr="004E6412">
        <w:rPr>
          <w:rFonts w:ascii="Times New Roman" w:hAnsi="Times New Roman"/>
          <w:bCs/>
        </w:rPr>
        <w:t xml:space="preserve">a. Naime, prihodi od prodaje </w:t>
      </w:r>
      <w:r w:rsidRPr="004E6412">
        <w:rPr>
          <w:rFonts w:ascii="Times New Roman" w:hAnsi="Times New Roman"/>
          <w:bCs/>
        </w:rPr>
        <w:t xml:space="preserve">blago </w:t>
      </w:r>
      <w:r w:rsidR="00C20E5F" w:rsidRPr="004E6412">
        <w:rPr>
          <w:rFonts w:ascii="Times New Roman" w:hAnsi="Times New Roman"/>
          <w:bCs/>
        </w:rPr>
        <w:t xml:space="preserve">su </w:t>
      </w:r>
      <w:r w:rsidRPr="004E6412">
        <w:rPr>
          <w:rFonts w:ascii="Times New Roman" w:hAnsi="Times New Roman"/>
          <w:bCs/>
        </w:rPr>
        <w:t>smanjeni u promatrane tri godine, dok je nagli skok prihoda u 2012. rezultat povećanja ostalih poslov</w:t>
      </w:r>
      <w:r w:rsidR="00C20E5F" w:rsidRPr="004E6412">
        <w:rPr>
          <w:rFonts w:ascii="Times New Roman" w:hAnsi="Times New Roman"/>
          <w:bCs/>
        </w:rPr>
        <w:t>nih prihoda za 1,3 milijarde kuna</w:t>
      </w:r>
      <w:r w:rsidRPr="004E6412">
        <w:rPr>
          <w:rFonts w:ascii="Times New Roman" w:hAnsi="Times New Roman"/>
          <w:bCs/>
        </w:rPr>
        <w:t xml:space="preserve">. </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Svi pokazatelji profitabilnosti su se iz negativnih ili vrlo nisko pozitivnih vrijednosti povećali u vrlo visoko pozitivne vrijednosti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lastRenderedPageBreak/>
        <w:t>Udio izvoza i uvoza ove djelatnosti u ukupnom izvozu i uvozu prerađivačke industrije nije zn</w:t>
      </w:r>
      <w:r w:rsidR="00C20E5F" w:rsidRPr="004E6412">
        <w:rPr>
          <w:rFonts w:ascii="Times New Roman" w:hAnsi="Times New Roman"/>
          <w:bCs/>
        </w:rPr>
        <w:t xml:space="preserve">ačajan. Odnos izvoza i uvoza </w:t>
      </w:r>
      <w:r w:rsidRPr="004E6412">
        <w:rPr>
          <w:rFonts w:ascii="Times New Roman" w:hAnsi="Times New Roman"/>
          <w:bCs/>
        </w:rPr>
        <w:t xml:space="preserve">osjetno </w:t>
      </w:r>
      <w:r w:rsidR="00C20E5F" w:rsidRPr="004E6412">
        <w:rPr>
          <w:rFonts w:ascii="Times New Roman" w:hAnsi="Times New Roman"/>
          <w:bCs/>
        </w:rPr>
        <w:t xml:space="preserve">se </w:t>
      </w:r>
      <w:r w:rsidRPr="004E6412">
        <w:rPr>
          <w:rFonts w:ascii="Times New Roman" w:hAnsi="Times New Roman"/>
          <w:bCs/>
        </w:rPr>
        <w:t>mijenjao u korist izvoza, odnosno u 2012. ova je djelatnost ostvarila četiri puta više izvoza od uvoza. Razlog se nalazi u povećanju izvoza za 7% i smanjenju uvoza za visokih 39,02%, zbog čega je smanjena i uvozna zavisnost djelatnos</w:t>
      </w:r>
      <w:r w:rsidR="00C20E5F" w:rsidRPr="004E6412">
        <w:rPr>
          <w:rFonts w:ascii="Times New Roman" w:hAnsi="Times New Roman"/>
          <w:bCs/>
        </w:rPr>
        <w:t xml:space="preserve">ti kao i pokazatelj prodora uvoza. Usporedne prednosti djelatnosti C33 </w:t>
      </w:r>
      <w:r w:rsidRPr="004E6412">
        <w:rPr>
          <w:rFonts w:ascii="Times New Roman" w:hAnsi="Times New Roman"/>
          <w:bCs/>
        </w:rPr>
        <w:t>znatno</w:t>
      </w:r>
      <w:r w:rsidR="00C20E5F" w:rsidRPr="004E6412">
        <w:rPr>
          <w:rFonts w:ascii="Times New Roman" w:hAnsi="Times New Roman"/>
          <w:bCs/>
        </w:rPr>
        <w:t xml:space="preserve"> su</w:t>
      </w:r>
      <w:r w:rsidRPr="004E6412">
        <w:rPr>
          <w:rFonts w:ascii="Times New Roman" w:hAnsi="Times New Roman"/>
          <w:bCs/>
        </w:rPr>
        <w:t xml:space="preserve"> poboljšane od 2011. do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Bruto dodana vrijednost u ukupnoj bruto dodanoj vrijednosti gospodarstva činila je udio od 0,24% u 2010. te mnogo većih 0,41% u 2011. (za 2012. podaci nisu bili dostupni). Udio BDV-a djelatnosti u BDV-u prerađivačke industrije naglo se povećao</w:t>
      </w:r>
      <w:r w:rsidR="00C20E5F" w:rsidRPr="004E6412">
        <w:rPr>
          <w:rFonts w:ascii="Times New Roman" w:hAnsi="Times New Roman"/>
          <w:bCs/>
        </w:rPr>
        <w:t xml:space="preserve"> u razdoblju</w:t>
      </w:r>
      <w:r w:rsidRPr="004E6412">
        <w:rPr>
          <w:rFonts w:ascii="Times New Roman" w:hAnsi="Times New Roman"/>
          <w:bCs/>
        </w:rPr>
        <w:t xml:space="preserve"> 2010.</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i to s</w:t>
      </w:r>
      <w:r w:rsidRPr="004E6412">
        <w:rPr>
          <w:rFonts w:ascii="Times New Roman" w:hAnsi="Times New Roman"/>
          <w:bCs/>
        </w:rPr>
        <w:t xml:space="preserve"> 1,71% na 5,46%. Grubell-Lloydov indeks u promatranom</w:t>
      </w:r>
      <w:r w:rsidR="00C20E5F" w:rsidRPr="004E6412">
        <w:rPr>
          <w:rFonts w:ascii="Times New Roman" w:hAnsi="Times New Roman"/>
          <w:bCs/>
        </w:rPr>
        <w:t>e</w:t>
      </w:r>
      <w:r w:rsidRPr="004E6412">
        <w:rPr>
          <w:rFonts w:ascii="Times New Roman" w:hAnsi="Times New Roman"/>
          <w:bCs/>
        </w:rPr>
        <w:t xml:space="preserve"> razdoblju pokazuje promjenu od umjerene intraindustrijske razmjene pripadajuće djelatnosti do umjerene interindustrijske razmjene. Udio državnih potpora </w:t>
      </w:r>
      <w:r w:rsidR="00C20E5F" w:rsidRPr="004E6412">
        <w:rPr>
          <w:rFonts w:ascii="Times New Roman" w:hAnsi="Times New Roman"/>
          <w:bCs/>
        </w:rPr>
        <w:t xml:space="preserve">u </w:t>
      </w:r>
      <w:r w:rsidRPr="004E6412">
        <w:rPr>
          <w:rFonts w:ascii="Times New Roman" w:hAnsi="Times New Roman"/>
          <w:bCs/>
        </w:rPr>
        <w:t>ovoj djelatnosti je zanemariv.</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An</w:t>
      </w:r>
      <w:r w:rsidR="00C20E5F" w:rsidRPr="004E6412">
        <w:rPr>
          <w:rFonts w:ascii="Times New Roman" w:hAnsi="Times New Roman"/>
          <w:bCs/>
        </w:rPr>
        <w:t>alizom likvidnosti ustanovljeno je</w:t>
      </w:r>
      <w:r w:rsidRPr="004E6412">
        <w:rPr>
          <w:rFonts w:ascii="Times New Roman" w:hAnsi="Times New Roman"/>
          <w:bCs/>
        </w:rPr>
        <w:t xml:space="preserve"> kako je likvidnost osjetno poboljšana u trogodišnjem razdoblju 2010.</w:t>
      </w:r>
      <w:r w:rsidR="00C20E5F" w:rsidRPr="004E6412">
        <w:rPr>
          <w:rFonts w:ascii="Times New Roman" w:hAnsi="Times New Roman"/>
          <w:bCs/>
        </w:rPr>
        <w:t xml:space="preserve"> – </w:t>
      </w:r>
      <w:r w:rsidRPr="004E6412">
        <w:rPr>
          <w:rFonts w:ascii="Times New Roman" w:hAnsi="Times New Roman"/>
          <w:bCs/>
        </w:rPr>
        <w:t>2012. te se općenito ova djelatnost može smatrati likvidnom. Ističe se visok udio novca u ukupnoj imovini, koji se mijenjao od 11,29% (2010.) preko 9,73% (2011.) na 14,41% (2012.).</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Zaduženost djelatnosti </w:t>
      </w:r>
      <w:r w:rsidR="001B41B0" w:rsidRPr="004E6412">
        <w:rPr>
          <w:rFonts w:ascii="Times New Roman" w:hAnsi="Times New Roman"/>
          <w:bCs/>
        </w:rPr>
        <w:t xml:space="preserve">bila </w:t>
      </w:r>
      <w:r w:rsidRPr="004E6412">
        <w:rPr>
          <w:rFonts w:ascii="Times New Roman" w:hAnsi="Times New Roman"/>
          <w:bCs/>
        </w:rPr>
        <w:t xml:space="preserve">je </w:t>
      </w:r>
      <w:r w:rsidR="001B41B0" w:rsidRPr="004E6412">
        <w:rPr>
          <w:rFonts w:ascii="Times New Roman" w:hAnsi="Times New Roman"/>
          <w:bCs/>
        </w:rPr>
        <w:t>vrlo visoka u 2010., da bi 2012. završila s niskom razin</w:t>
      </w:r>
      <w:r w:rsidRPr="004E6412">
        <w:rPr>
          <w:rFonts w:ascii="Times New Roman" w:hAnsi="Times New Roman"/>
          <w:bCs/>
        </w:rPr>
        <w:t xml:space="preserve">om duga. 85% dugoročnog duga </w:t>
      </w:r>
      <w:r w:rsidR="001B41B0" w:rsidRPr="004E6412">
        <w:rPr>
          <w:rFonts w:ascii="Times New Roman" w:hAnsi="Times New Roman"/>
          <w:bCs/>
        </w:rPr>
        <w:t>otplaćeno</w:t>
      </w:r>
      <w:r w:rsidRPr="004E6412">
        <w:rPr>
          <w:rFonts w:ascii="Times New Roman" w:hAnsi="Times New Roman"/>
          <w:bCs/>
        </w:rPr>
        <w:t xml:space="preserve"> je</w:t>
      </w:r>
      <w:r w:rsidR="001B41B0" w:rsidRPr="004E6412">
        <w:rPr>
          <w:rFonts w:ascii="Times New Roman" w:hAnsi="Times New Roman"/>
          <w:bCs/>
        </w:rPr>
        <w:t xml:space="preserve"> u razdoblju 2010.</w:t>
      </w:r>
      <w:r w:rsidRPr="004E6412">
        <w:rPr>
          <w:rFonts w:ascii="Times New Roman" w:hAnsi="Times New Roman"/>
          <w:bCs/>
        </w:rPr>
        <w:t xml:space="preserve"> – </w:t>
      </w:r>
      <w:r w:rsidR="001B41B0" w:rsidRPr="004E6412">
        <w:rPr>
          <w:rFonts w:ascii="Times New Roman" w:hAnsi="Times New Roman"/>
          <w:bCs/>
        </w:rPr>
        <w:t>2012., a smanjila se i kratkoročna zaduženost.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Broj zaposlenih u djelatnosti C</w:t>
      </w:r>
      <w:r w:rsidR="00A61190" w:rsidRPr="004E6412">
        <w:rPr>
          <w:rFonts w:ascii="Times New Roman" w:hAnsi="Times New Roman"/>
          <w:bCs/>
        </w:rPr>
        <w:t>33</w:t>
      </w:r>
      <w:r w:rsidRPr="004E6412">
        <w:rPr>
          <w:rFonts w:ascii="Times New Roman" w:hAnsi="Times New Roman"/>
          <w:bCs/>
        </w:rPr>
        <w:t xml:space="preserve"> u razdoblju 2010.</w:t>
      </w:r>
      <w:r w:rsidR="00C20E5F" w:rsidRPr="004E6412">
        <w:rPr>
          <w:rFonts w:ascii="Times New Roman" w:hAnsi="Times New Roman"/>
          <w:bCs/>
        </w:rPr>
        <w:t xml:space="preserve"> – </w:t>
      </w:r>
      <w:r w:rsidRPr="004E6412">
        <w:rPr>
          <w:rFonts w:ascii="Times New Roman" w:hAnsi="Times New Roman"/>
          <w:bCs/>
        </w:rPr>
        <w:t xml:space="preserve">2012. po godinama se kretao redom 6.280, 5.744 i 5.282, što je smanjenje od 15,89% u promatrane tri godine. </w:t>
      </w:r>
      <w:r w:rsidR="009A0466" w:rsidRPr="004E6412">
        <w:rPr>
          <w:rFonts w:ascii="Times New Roman" w:hAnsi="Times New Roman"/>
          <w:bCs/>
        </w:rPr>
        <w:t xml:space="preserve">Proizvodnost </w:t>
      </w:r>
      <w:r w:rsidR="00C20E5F" w:rsidRPr="004E6412">
        <w:rPr>
          <w:rFonts w:ascii="Times New Roman" w:hAnsi="Times New Roman"/>
          <w:bCs/>
        </w:rPr>
        <w:t>rada</w:t>
      </w:r>
      <w:r w:rsidRPr="004E6412">
        <w:rPr>
          <w:rFonts w:ascii="Times New Roman" w:hAnsi="Times New Roman"/>
          <w:bCs/>
        </w:rPr>
        <w:t xml:space="preserve"> znatno </w:t>
      </w:r>
      <w:r w:rsidR="00C20E5F" w:rsidRPr="004E6412">
        <w:rPr>
          <w:rFonts w:ascii="Times New Roman" w:hAnsi="Times New Roman"/>
          <w:bCs/>
        </w:rPr>
        <w:t xml:space="preserve">je </w:t>
      </w:r>
      <w:r w:rsidRPr="004E6412">
        <w:rPr>
          <w:rFonts w:ascii="Times New Roman" w:hAnsi="Times New Roman"/>
          <w:bCs/>
        </w:rPr>
        <w:t>povećana u promatranom</w:t>
      </w:r>
      <w:r w:rsidR="00C20E5F" w:rsidRPr="004E6412">
        <w:rPr>
          <w:rFonts w:ascii="Times New Roman" w:hAnsi="Times New Roman"/>
          <w:bCs/>
        </w:rPr>
        <w:t>e</w:t>
      </w:r>
      <w:r w:rsidRPr="004E6412">
        <w:rPr>
          <w:rFonts w:ascii="Times New Roman" w:hAnsi="Times New Roman"/>
          <w:bCs/>
        </w:rPr>
        <w:t xml:space="preserve"> razdoblju, a jedinični troškovi radne snage (u odnosu na proizvodnju) smanjeni.</w:t>
      </w:r>
      <w:r w:rsidR="00C20E5F" w:rsidRPr="004E6412">
        <w:rPr>
          <w:rFonts w:ascii="Times New Roman" w:hAnsi="Times New Roman"/>
          <w:bCs/>
        </w:rPr>
        <w:t xml:space="preserve"> Prosječne bruto i neto plaće</w:t>
      </w:r>
      <w:r w:rsidRPr="004E6412">
        <w:rPr>
          <w:rFonts w:ascii="Times New Roman" w:hAnsi="Times New Roman"/>
          <w:bCs/>
        </w:rPr>
        <w:t xml:space="preserve"> povećane</w:t>
      </w:r>
      <w:r w:rsidR="00C20E5F" w:rsidRPr="004E6412">
        <w:rPr>
          <w:rFonts w:ascii="Times New Roman" w:hAnsi="Times New Roman"/>
          <w:bCs/>
        </w:rPr>
        <w:t xml:space="preserve"> su</w:t>
      </w:r>
      <w:r w:rsidRPr="004E6412">
        <w:rPr>
          <w:rFonts w:ascii="Times New Roman" w:hAnsi="Times New Roman"/>
          <w:bCs/>
        </w:rPr>
        <w:t xml:space="preserve"> u promatranom</w:t>
      </w:r>
      <w:r w:rsidR="00C20E5F" w:rsidRPr="004E6412">
        <w:rPr>
          <w:rFonts w:ascii="Times New Roman" w:hAnsi="Times New Roman"/>
          <w:bCs/>
        </w:rPr>
        <w:t>e</w:t>
      </w:r>
      <w:r w:rsidRPr="004E6412">
        <w:rPr>
          <w:rFonts w:ascii="Times New Roman" w:hAnsi="Times New Roman"/>
          <w:bCs/>
        </w:rPr>
        <w:t xml:space="preserve"> razdoblju. Najveći udio zaposlenih ima srednju stručnu spremu (33,63% u 2</w:t>
      </w:r>
      <w:r w:rsidR="00C20E5F" w:rsidRPr="004E6412">
        <w:rPr>
          <w:rFonts w:ascii="Times New Roman" w:hAnsi="Times New Roman"/>
          <w:bCs/>
        </w:rPr>
        <w:t>012.), slijede KV radnici (udio</w:t>
      </w:r>
      <w:r w:rsidRPr="004E6412">
        <w:rPr>
          <w:rFonts w:ascii="Times New Roman" w:hAnsi="Times New Roman"/>
          <w:bCs/>
        </w:rPr>
        <w:t xml:space="preserve"> od 24,62% u 2012.)</w:t>
      </w:r>
      <w:r w:rsidR="00C20E5F" w:rsidRPr="004E6412">
        <w:rPr>
          <w:rFonts w:ascii="Times New Roman" w:hAnsi="Times New Roman"/>
          <w:bCs/>
        </w:rPr>
        <w:t>,</w:t>
      </w:r>
      <w:r w:rsidRPr="004E6412">
        <w:rPr>
          <w:rFonts w:ascii="Times New Roman" w:hAnsi="Times New Roman"/>
          <w:bCs/>
        </w:rPr>
        <w:t xml:space="preserve"> dok se posebno izdvaja visok udio visokoobrazovanih osoba od 17,77%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Podskupina djelatnosti C33.1 čini u sve tri godine (2010.</w:t>
      </w:r>
      <w:r w:rsidR="00C20E5F" w:rsidRPr="004E6412">
        <w:rPr>
          <w:rFonts w:ascii="Times New Roman" w:hAnsi="Times New Roman"/>
          <w:bCs/>
        </w:rPr>
        <w:t xml:space="preserve"> – </w:t>
      </w:r>
      <w:r w:rsidRPr="004E6412">
        <w:rPr>
          <w:rFonts w:ascii="Times New Roman" w:hAnsi="Times New Roman"/>
          <w:bCs/>
        </w:rPr>
        <w:t>2012.) oko 80% vrijednosti bilančnih stavki djelatnosti C33. Tek petinu vrijednosti bilance djelatnosti čini poddjelatnost C33.2., a u p</w:t>
      </w:r>
      <w:r w:rsidR="00C20E5F" w:rsidRPr="004E6412">
        <w:rPr>
          <w:rFonts w:ascii="Times New Roman" w:hAnsi="Times New Roman"/>
          <w:bCs/>
        </w:rPr>
        <w:t>rijašnjim godinama nje</w:t>
      </w:r>
      <w:r w:rsidR="001E6C16" w:rsidRPr="004E6412">
        <w:rPr>
          <w:rFonts w:ascii="Times New Roman" w:hAnsi="Times New Roman"/>
          <w:bCs/>
        </w:rPr>
        <w:t>zi</w:t>
      </w:r>
      <w:r w:rsidR="00C20E5F" w:rsidRPr="004E6412">
        <w:rPr>
          <w:rFonts w:ascii="Times New Roman" w:hAnsi="Times New Roman"/>
          <w:bCs/>
        </w:rPr>
        <w:t xml:space="preserve">n udio </w:t>
      </w:r>
      <w:r w:rsidRPr="004E6412">
        <w:rPr>
          <w:rFonts w:ascii="Times New Roman" w:hAnsi="Times New Roman"/>
          <w:bCs/>
        </w:rPr>
        <w:t xml:space="preserve">bio </w:t>
      </w:r>
      <w:r w:rsidR="00C20E5F" w:rsidRPr="004E6412">
        <w:rPr>
          <w:rFonts w:ascii="Times New Roman" w:hAnsi="Times New Roman"/>
          <w:bCs/>
        </w:rPr>
        <w:t xml:space="preserve">je </w:t>
      </w:r>
      <w:r w:rsidRPr="004E6412">
        <w:rPr>
          <w:rFonts w:ascii="Times New Roman" w:hAnsi="Times New Roman"/>
          <w:bCs/>
        </w:rPr>
        <w:t>još manji. Prema analizi računa dobiti i gubitk</w:t>
      </w:r>
      <w:r w:rsidR="00C20E5F" w:rsidRPr="004E6412">
        <w:rPr>
          <w:rFonts w:ascii="Times New Roman" w:hAnsi="Times New Roman"/>
          <w:bCs/>
        </w:rPr>
        <w:t>a poddjelatnosti, C33.1 prevladava</w:t>
      </w:r>
      <w:r w:rsidRPr="004E6412">
        <w:rPr>
          <w:rFonts w:ascii="Times New Roman" w:hAnsi="Times New Roman"/>
          <w:bCs/>
        </w:rPr>
        <w:t xml:space="preserve"> s udjelom od 90% na više (ovisno o stavkama</w:t>
      </w:r>
      <w:r w:rsidR="00C20E5F" w:rsidRPr="004E6412">
        <w:rPr>
          <w:rFonts w:ascii="Times New Roman" w:hAnsi="Times New Roman"/>
          <w:bCs/>
        </w:rPr>
        <w:t xml:space="preserve">). Vrlo sličan omjer </w:t>
      </w:r>
      <w:r w:rsidRPr="004E6412">
        <w:rPr>
          <w:rFonts w:ascii="Times New Roman" w:hAnsi="Times New Roman"/>
          <w:bCs/>
        </w:rPr>
        <w:t xml:space="preserve">zabilježen </w:t>
      </w:r>
      <w:r w:rsidR="00C20E5F" w:rsidRPr="004E6412">
        <w:rPr>
          <w:rFonts w:ascii="Times New Roman" w:hAnsi="Times New Roman"/>
          <w:bCs/>
        </w:rPr>
        <w:t xml:space="preserve">je </w:t>
      </w:r>
      <w:r w:rsidRPr="004E6412">
        <w:rPr>
          <w:rFonts w:ascii="Times New Roman" w:hAnsi="Times New Roman"/>
          <w:bCs/>
        </w:rPr>
        <w:t>u sve tri godine. Gotovo sve promjene financijskog stanja djelatnosti C33 bile su rezultat promjena u poddjelatnosti C33.1.</w:t>
      </w:r>
    </w:p>
    <w:p w:rsidR="001B41B0" w:rsidRPr="004E6412" w:rsidRDefault="001B41B0" w:rsidP="001B41B0">
      <w:pPr>
        <w:jc w:val="center"/>
        <w:rPr>
          <w:sz w:val="32"/>
          <w:szCs w:val="32"/>
        </w:rPr>
      </w:pPr>
    </w:p>
    <w:p w:rsidR="001B41B0" w:rsidRPr="004E6412" w:rsidRDefault="001B41B0" w:rsidP="001B41B0">
      <w:pPr>
        <w:jc w:val="center"/>
        <w:rPr>
          <w:sz w:val="32"/>
          <w:szCs w:val="32"/>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1016" w:name="_Toc372088082"/>
      <w:bookmarkStart w:id="1017" w:name="_Toc378069142"/>
      <w:r w:rsidRPr="004E6412">
        <w:rPr>
          <w:rFonts w:eastAsia="Calibri"/>
        </w:rPr>
        <w:lastRenderedPageBreak/>
        <w:t>Zaključni prikaz pokazatelja</w:t>
      </w:r>
      <w:bookmarkEnd w:id="1016"/>
      <w:bookmarkEnd w:id="1017"/>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1018" w:name="_Toc372088179"/>
      <w:bookmarkStart w:id="1019" w:name="_Toc377551116"/>
      <w:bookmarkStart w:id="1020" w:name="_Toc37763530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104</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w:t>
      </w:r>
      <w:r w:rsidR="00A61190" w:rsidRPr="007D0CFD">
        <w:rPr>
          <w:rStyle w:val="IntenseEmphasis"/>
          <w:rFonts w:eastAsia="Calibri"/>
          <w:b/>
          <w:bCs w:val="0"/>
          <w:iCs w:val="0"/>
          <w:color w:val="548DD4" w:themeColor="text2" w:themeTint="99"/>
          <w:sz w:val="20"/>
        </w:rPr>
        <w:t>3</w:t>
      </w:r>
      <w:r w:rsidRPr="007D0CFD">
        <w:rPr>
          <w:rStyle w:val="IntenseEmphasis"/>
          <w:rFonts w:eastAsia="Calibri"/>
          <w:b/>
          <w:bCs w:val="0"/>
          <w:iCs w:val="0"/>
          <w:color w:val="548DD4" w:themeColor="text2" w:themeTint="99"/>
          <w:sz w:val="20"/>
        </w:rPr>
        <w:t>)</w:t>
      </w:r>
      <w:bookmarkEnd w:id="1018"/>
      <w:bookmarkEnd w:id="1019"/>
      <w:bookmarkEnd w:id="10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54"/>
        <w:gridCol w:w="2597"/>
        <w:gridCol w:w="2595"/>
        <w:gridCol w:w="2970"/>
      </w:tblGrid>
      <w:tr w:rsidR="001B41B0" w:rsidRPr="004E6412" w:rsidTr="0097195F">
        <w:trPr>
          <w:trHeight w:val="20"/>
        </w:trPr>
        <w:tc>
          <w:tcPr>
            <w:tcW w:w="210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20"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1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52"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99,27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112,6</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112,8</w:t>
            </w:r>
          </w:p>
        </w:tc>
        <w:tc>
          <w:tcPr>
            <w:tcW w:w="1052" w:type="pct"/>
            <w:shd w:val="clear" w:color="auto" w:fill="auto"/>
            <w:noWrap/>
          </w:tcPr>
          <w:p w:rsidR="001B41B0" w:rsidRPr="004E6412" w:rsidRDefault="00A61190" w:rsidP="0097195F">
            <w:pPr>
              <w:spacing w:line="240" w:lineRule="auto"/>
              <w:jc w:val="right"/>
              <w:rPr>
                <w:sz w:val="22"/>
              </w:rPr>
            </w:pPr>
            <w:r w:rsidRPr="004E6412">
              <w:rPr>
                <w:sz w:val="22"/>
              </w:rPr>
              <w:t>97,0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6.280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5.744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5.282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2.073.034.600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2.606.567.462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3.765.512.912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32.990.588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543.639.449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1.894.700.897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-2,45</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26,50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105,71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330.101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453.790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712.895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20"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678.528.777</w:t>
            </w:r>
          </w:p>
        </w:tc>
        <w:tc>
          <w:tcPr>
            <w:tcW w:w="91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1.203.449.369</w:t>
            </w:r>
          </w:p>
        </w:tc>
        <w:tc>
          <w:tcPr>
            <w:tcW w:w="1052"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2.500.455.329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12.241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44.729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362.046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50.984</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10.045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18.973</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2,330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2,739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4,090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304.889.530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432.562.272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432.011.860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25,77</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26,14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15,19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1,42</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1,77</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2,55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C20E5F" w:rsidRPr="004E6412">
              <w:rPr>
                <w:b/>
                <w:sz w:val="22"/>
                <w:lang w:eastAsia="hr-HR"/>
              </w:rPr>
              <w:t>-a</w:t>
            </w:r>
            <w:r w:rsidRPr="004E6412">
              <w:rPr>
                <w:b/>
                <w:sz w:val="22"/>
                <w:lang w:eastAsia="hr-HR"/>
              </w:rPr>
              <w:t xml:space="preserve"> djelatnosti u BDV-u prerađivačke industrije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1,71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2,59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0,601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0,535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0,393</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108.046</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209.514</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473.392</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1,24</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3,12</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6,21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0,28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0,21</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0,14</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0,69</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B54DF2" w:rsidRPr="004E6412" w:rsidRDefault="00B54DF2"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21" w:name="_Toc372088180"/>
      <w:bookmarkStart w:id="1022" w:name="_Toc377551117"/>
      <w:bookmarkStart w:id="1023" w:name="_Toc37763530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(C33)</w:t>
      </w:r>
      <w:bookmarkEnd w:id="1021"/>
      <w:bookmarkEnd w:id="1022"/>
      <w:bookmarkEnd w:id="1023"/>
      <w:r w:rsidRPr="007D0CFD">
        <w:rPr>
          <w:rStyle w:val="IntenseEmphasis"/>
          <w:rFonts w:eastAsia="Calibri"/>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9998"/>
      </w:tblGrid>
      <w:tr w:rsidR="001B41B0" w:rsidRPr="004E6412" w:rsidTr="0097195F">
        <w:trPr>
          <w:trHeight w:val="20"/>
        </w:trPr>
        <w:tc>
          <w:tcPr>
            <w:tcW w:w="1484"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516"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Dostupnost</w:t>
            </w:r>
            <w:r w:rsidR="00C20E5F" w:rsidRPr="004E6412">
              <w:rPr>
                <w:b/>
                <w:sz w:val="22"/>
              </w:rPr>
              <w:t xml:space="preserve"> i kvaliteta proizvodnih čimbenika</w:t>
            </w:r>
            <w:r w:rsidRPr="004E6412">
              <w:rPr>
                <w:b/>
                <w:sz w:val="22"/>
              </w:rPr>
              <w:t xml:space="preserve"> </w:t>
            </w:r>
          </w:p>
        </w:tc>
        <w:tc>
          <w:tcPr>
            <w:tcW w:w="3516" w:type="pct"/>
            <w:shd w:val="clear" w:color="auto" w:fill="auto"/>
          </w:tcPr>
          <w:p w:rsidR="001B41B0" w:rsidRPr="004E6412" w:rsidRDefault="001B41B0" w:rsidP="0097195F">
            <w:pPr>
              <w:spacing w:line="240" w:lineRule="auto"/>
              <w:rPr>
                <w:sz w:val="22"/>
              </w:rPr>
            </w:pPr>
            <w:r w:rsidRPr="004E6412">
              <w:rPr>
                <w:sz w:val="22"/>
              </w:rPr>
              <w:t>Kvalitetna i iskusna radna snaga, koja predstavlja ključni resurs ove djelatnosti, je dostupna. Kapital manje dostupan.</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516" w:type="pct"/>
            <w:shd w:val="clear" w:color="auto" w:fill="auto"/>
          </w:tcPr>
          <w:p w:rsidR="001B41B0" w:rsidRPr="004E6412" w:rsidRDefault="001B41B0" w:rsidP="0097195F">
            <w:pPr>
              <w:spacing w:line="240" w:lineRule="auto"/>
              <w:rPr>
                <w:sz w:val="22"/>
              </w:rPr>
            </w:pPr>
            <w:r w:rsidRPr="004E6412">
              <w:rPr>
                <w:sz w:val="22"/>
              </w:rPr>
              <w:t>Većinom se radi o uslugama investicijskog održavanja (remont brodova, popravak pruga i slično).</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516" w:type="pct"/>
            <w:shd w:val="clear" w:color="auto" w:fill="auto"/>
          </w:tcPr>
          <w:p w:rsidR="001B41B0" w:rsidRPr="004E6412" w:rsidRDefault="001B41B0" w:rsidP="0097195F">
            <w:pPr>
              <w:spacing w:line="240" w:lineRule="auto"/>
              <w:rPr>
                <w:sz w:val="22"/>
              </w:rPr>
            </w:pPr>
            <w:r w:rsidRPr="004E6412">
              <w:rPr>
                <w:sz w:val="22"/>
              </w:rPr>
              <w:t>Tehnološka opremljenost odgovarajuća uz praćenje razvoja tehnike na tržištu. Naime, popravak i instaliranje strojeva i opreme nije prezahtjevna djelatnost što se tiče tehnološke opremljenosti. Potrebno je imati dovoljan broj strojeva i opreme koj</w:t>
            </w:r>
            <w:r w:rsidR="000C5F83" w:rsidRPr="004E6412">
              <w:rPr>
                <w:sz w:val="22"/>
              </w:rPr>
              <w:t>i su odgovarajući za izvršavanje</w:t>
            </w:r>
            <w:r w:rsidRPr="004E6412">
              <w:rPr>
                <w:sz w:val="22"/>
              </w:rPr>
              <w:t xml:space="preserve"> poslova, ali ne bi smjeli biti preskupi jer su serije radnji koje se s njima obavljaju manjeg obujma pa skupi i visokoproduktivni st</w:t>
            </w:r>
            <w:r w:rsidR="000C5F83" w:rsidRPr="004E6412">
              <w:rPr>
                <w:sz w:val="22"/>
              </w:rPr>
              <w:t>rojevi nisu toliko potrebni ni</w:t>
            </w:r>
            <w:r w:rsidRPr="004E6412">
              <w:rPr>
                <w:sz w:val="22"/>
              </w:rPr>
              <w:t xml:space="preserve"> isplativi.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516" w:type="pct"/>
            <w:shd w:val="clear" w:color="auto" w:fill="auto"/>
          </w:tcPr>
          <w:p w:rsidR="001B41B0" w:rsidRPr="004E6412" w:rsidRDefault="001B41B0" w:rsidP="0097195F">
            <w:pPr>
              <w:spacing w:line="240" w:lineRule="auto"/>
              <w:rPr>
                <w:sz w:val="22"/>
              </w:rPr>
            </w:pPr>
            <w:r w:rsidRPr="004E6412">
              <w:rPr>
                <w:sz w:val="22"/>
              </w:rPr>
              <w:t>U ovoj djelatnosti ne treba istraživati i razvijati nove proizvode</w:t>
            </w:r>
            <w:r w:rsidR="000C5F83" w:rsidRPr="004E6412">
              <w:rPr>
                <w:sz w:val="22"/>
              </w:rPr>
              <w:t>, već naučiti kako provoditi</w:t>
            </w:r>
            <w:r w:rsidRPr="004E6412">
              <w:rPr>
                <w:sz w:val="22"/>
              </w:rPr>
              <w:t xml:space="preserve"> novu tehnologiju na stariji stroj i opremu te je poboljša</w:t>
            </w:r>
            <w:r w:rsidR="000C5F83" w:rsidRPr="004E6412">
              <w:rPr>
                <w:sz w:val="22"/>
              </w:rPr>
              <w:t>ti. Nužna su viša i stalna</w:t>
            </w:r>
            <w:r w:rsidRPr="004E6412">
              <w:rPr>
                <w:sz w:val="22"/>
              </w:rPr>
              <w:t xml:space="preserve"> ulaganja u obrazovanje radnika kako bi ih se osposobilo za popravljanje novije vrste strojeva i opreme.</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516"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516" w:type="pct"/>
            <w:shd w:val="clear" w:color="auto" w:fill="auto"/>
          </w:tcPr>
          <w:p w:rsidR="001B41B0" w:rsidRPr="004E6412" w:rsidRDefault="001B41B0" w:rsidP="0097195F">
            <w:pPr>
              <w:spacing w:line="240" w:lineRule="auto"/>
              <w:rPr>
                <w:sz w:val="22"/>
              </w:rPr>
            </w:pPr>
            <w:r w:rsidRPr="004E6412">
              <w:rPr>
                <w:sz w:val="22"/>
              </w:rPr>
              <w:t>Ako se izuzme činjenica kako samo na jedno poduzeće (Brodotrogir d.d.</w:t>
            </w:r>
            <w:r w:rsidRPr="004E6412">
              <w:rPr>
                <w:rStyle w:val="FootnoteReference"/>
                <w:sz w:val="22"/>
              </w:rPr>
              <w:footnoteReference w:id="11"/>
            </w:r>
            <w:r w:rsidRPr="004E6412">
              <w:rPr>
                <w:sz w:val="22"/>
              </w:rPr>
              <w:t>) otpada 58% ukupnih prihoda djelatnosti, djelatnost inače nije toliko koncentr</w:t>
            </w:r>
            <w:r w:rsidR="000C5F83" w:rsidRPr="004E6412">
              <w:rPr>
                <w:sz w:val="22"/>
              </w:rPr>
              <w:t>irana, odnosno njome ne prevladava</w:t>
            </w:r>
            <w:r w:rsidRPr="004E6412">
              <w:rPr>
                <w:sz w:val="22"/>
              </w:rPr>
              <w:t xml:space="preserve"> jedno ili skupina poduzeća. Nadalje, ko</w:t>
            </w:r>
            <w:r w:rsidR="000C5F83" w:rsidRPr="004E6412">
              <w:rPr>
                <w:sz w:val="22"/>
              </w:rPr>
              <w:t>ncentracija nije izražena ni</w:t>
            </w:r>
            <w:r w:rsidRPr="004E6412">
              <w:rPr>
                <w:sz w:val="22"/>
              </w:rPr>
              <w:t xml:space="preserve"> kod zapošljavanja jer 100 poduzeća zapošljava 79% ukupno zaposlenih u djelatnosti.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516" w:type="pct"/>
            <w:shd w:val="clear" w:color="auto" w:fill="auto"/>
          </w:tcPr>
          <w:p w:rsidR="001B41B0" w:rsidRPr="004E6412" w:rsidRDefault="000C5F83" w:rsidP="0097195F">
            <w:pPr>
              <w:spacing w:line="240" w:lineRule="auto"/>
              <w:rPr>
                <w:sz w:val="22"/>
              </w:rPr>
            </w:pPr>
            <w:r w:rsidRPr="004E6412">
              <w:rPr>
                <w:sz w:val="22"/>
              </w:rPr>
              <w:t xml:space="preserve">Odnos izvoza i uvoza </w:t>
            </w:r>
            <w:r w:rsidR="001B41B0" w:rsidRPr="004E6412">
              <w:rPr>
                <w:sz w:val="22"/>
              </w:rPr>
              <w:t xml:space="preserve">osjetno </w:t>
            </w:r>
            <w:r w:rsidRPr="004E6412">
              <w:rPr>
                <w:sz w:val="22"/>
              </w:rPr>
              <w:t xml:space="preserve">se </w:t>
            </w:r>
            <w:r w:rsidR="001B41B0" w:rsidRPr="004E6412">
              <w:rPr>
                <w:sz w:val="22"/>
              </w:rPr>
              <w:t>mijenja u korist izvoza, odnosno u 2012. godini ova je djelatnost ostvarila četiri puta više izvoza od uvoza. Razlog se nalazi u povećanju izvoza za 7% i smanjenju uvoza za visokih 39,02%, zbog čega</w:t>
            </w:r>
            <w:r w:rsidRPr="004E6412">
              <w:rPr>
                <w:sz w:val="22"/>
              </w:rPr>
              <w:t xml:space="preserve"> je smanjena i uvozna zavisnost</w:t>
            </w:r>
            <w:r w:rsidR="001B41B0" w:rsidRPr="004E6412">
              <w:rPr>
                <w:sz w:val="22"/>
              </w:rPr>
              <w:t xml:space="preserve"> djelatno</w:t>
            </w:r>
            <w:r w:rsidRPr="004E6412">
              <w:rPr>
                <w:sz w:val="22"/>
              </w:rPr>
              <w:t>sti kao i pokazatelj prodora</w:t>
            </w:r>
            <w:r w:rsidR="001B41B0" w:rsidRPr="004E6412">
              <w:rPr>
                <w:sz w:val="22"/>
              </w:rPr>
              <w:t xml:space="preserve"> uvoza.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516" w:type="pct"/>
            <w:shd w:val="clear" w:color="auto" w:fill="auto"/>
          </w:tcPr>
          <w:p w:rsidR="001B41B0" w:rsidRPr="004E6412" w:rsidRDefault="001B41B0" w:rsidP="0097195F">
            <w:pPr>
              <w:spacing w:line="240" w:lineRule="auto"/>
              <w:rPr>
                <w:sz w:val="22"/>
              </w:rPr>
            </w:pPr>
            <w:r w:rsidRPr="004E6412">
              <w:rPr>
                <w:sz w:val="22"/>
              </w:rPr>
              <w:t>U vrijeme krize, visok je potencijal rasta i zapošljavanja jer vlasnici tvrtki traže način kako produžiti radni vijek strojeva</w:t>
            </w:r>
            <w:r w:rsidR="000C5F83" w:rsidRPr="004E6412">
              <w:rPr>
                <w:sz w:val="22"/>
              </w:rPr>
              <w:t xml:space="preserve"> koje imaju. Stariji brodovi </w:t>
            </w:r>
            <w:r w:rsidRPr="004E6412">
              <w:rPr>
                <w:sz w:val="22"/>
              </w:rPr>
              <w:t>remontiraju</w:t>
            </w:r>
            <w:r w:rsidR="000C5F83" w:rsidRPr="004E6412">
              <w:rPr>
                <w:sz w:val="22"/>
              </w:rPr>
              <w:t xml:space="preserve"> se ili preobražavaju</w:t>
            </w:r>
            <w:r w:rsidRPr="004E6412">
              <w:rPr>
                <w:sz w:val="22"/>
              </w:rPr>
              <w:t xml:space="preserve"> kako bi im se produljio radni vijek i promijenila svrha, poput </w:t>
            </w:r>
            <w:r w:rsidR="000C5F83" w:rsidRPr="004E6412">
              <w:rPr>
                <w:sz w:val="22"/>
              </w:rPr>
              <w:t>naftnih platformi ili pretvorba</w:t>
            </w:r>
            <w:r w:rsidRPr="004E6412">
              <w:rPr>
                <w:sz w:val="22"/>
              </w:rPr>
              <w:t xml:space="preserve"> brodov</w:t>
            </w:r>
            <w:r w:rsidR="000C5F83" w:rsidRPr="004E6412">
              <w:rPr>
                <w:sz w:val="22"/>
              </w:rPr>
              <w:t>a. Obnavljaju se i popravljaju</w:t>
            </w:r>
            <w:r w:rsidRPr="004E6412">
              <w:rPr>
                <w:sz w:val="22"/>
              </w:rPr>
              <w:t xml:space="preserve"> stare dizel</w:t>
            </w:r>
            <w:r w:rsidR="004823E2" w:rsidRPr="004E6412">
              <w:rPr>
                <w:sz w:val="22"/>
              </w:rPr>
              <w:t xml:space="preserve"> </w:t>
            </w:r>
            <w:r w:rsidRPr="004E6412">
              <w:rPr>
                <w:sz w:val="22"/>
              </w:rPr>
              <w:t>električne lokomotive kako bi im se produljio radni vijek uz p</w:t>
            </w:r>
            <w:r w:rsidR="000C5F83" w:rsidRPr="004E6412">
              <w:rPr>
                <w:sz w:val="22"/>
              </w:rPr>
              <w:t>oboljšanje radnih obilježja</w:t>
            </w:r>
            <w:r w:rsidRPr="004E6412">
              <w:rPr>
                <w:sz w:val="22"/>
              </w:rPr>
              <w:t xml:space="preserve"> i slično. Riječ je o radno intenzivno</w:t>
            </w:r>
            <w:r w:rsidR="000C5F83" w:rsidRPr="004E6412">
              <w:rPr>
                <w:sz w:val="22"/>
              </w:rPr>
              <w:t>j djelatnost s velikim udjelom „ručnog“</w:t>
            </w:r>
            <w:r w:rsidRPr="004E6412">
              <w:rPr>
                <w:sz w:val="22"/>
              </w:rPr>
              <w:t xml:space="preserve"> rada, a moglo bi se reći i u velikoj mjeri specifičnog</w:t>
            </w:r>
            <w:r w:rsidR="000C5F83" w:rsidRPr="004E6412">
              <w:rPr>
                <w:sz w:val="22"/>
              </w:rPr>
              <w:t>, jer je svaki projekt poseban</w:t>
            </w:r>
            <w:r w:rsidRPr="004E6412">
              <w:rPr>
                <w:sz w:val="22"/>
              </w:rPr>
              <w:t xml:space="preserve"> s novim tehničkim zahtjevima. </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516"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jc w:val="center"/>
        <w:rPr>
          <w:sz w:val="32"/>
          <w:szCs w:val="32"/>
        </w:rPr>
        <w:sectPr w:rsidR="001B41B0" w:rsidRPr="004E6412" w:rsidSect="00B61232">
          <w:pgSz w:w="16838" w:h="11906" w:orient="landscape"/>
          <w:pgMar w:top="1418" w:right="1418" w:bottom="1418" w:left="1418" w:header="709" w:footer="709" w:gutter="0"/>
          <w:cols w:space="708"/>
          <w:docGrid w:linePitch="360"/>
        </w:sectPr>
      </w:pPr>
    </w:p>
    <w:p w:rsidR="001B41B0" w:rsidRPr="004E6412" w:rsidRDefault="001B41B0" w:rsidP="001B41B0">
      <w:pPr>
        <w:pStyle w:val="Title"/>
        <w:rPr>
          <w:rFonts w:ascii="Times New Roman" w:hAnsi="Times New Roman"/>
        </w:rPr>
      </w:pPr>
      <w:bookmarkStart w:id="1024" w:name="_Toc378069143"/>
      <w:bookmarkStart w:id="1025" w:name="_Toc365992574"/>
      <w:bookmarkStart w:id="1026" w:name="_Toc366154460"/>
      <w:bookmarkStart w:id="1027" w:name="_Toc366410007"/>
      <w:r w:rsidRPr="004E6412">
        <w:rPr>
          <w:rFonts w:ascii="Times New Roman" w:hAnsi="Times New Roman"/>
        </w:rPr>
        <w:lastRenderedPageBreak/>
        <w:t>F Građevinarstvo</w:t>
      </w:r>
      <w:bookmarkEnd w:id="1024"/>
    </w:p>
    <w:p w:rsidR="00225B53" w:rsidRDefault="00225B53" w:rsidP="001B41B0">
      <w:pPr>
        <w:rPr>
          <w:sz w:val="22"/>
        </w:rPr>
      </w:pPr>
    </w:p>
    <w:p w:rsidR="001B41B0" w:rsidRPr="004E6412" w:rsidRDefault="001B41B0" w:rsidP="001B41B0">
      <w:pPr>
        <w:rPr>
          <w:sz w:val="22"/>
          <w:lang w:eastAsia="hr-HR"/>
        </w:rPr>
      </w:pPr>
      <w:r w:rsidRPr="004E6412">
        <w:rPr>
          <w:sz w:val="22"/>
        </w:rPr>
        <w:t>Industrija građevinarstva (F) obuhvaća djelatnosti gradnje zgrada (F41), gradnje građevina niskogradnje (F42) i specijalizirane građevinske djelatnosti (F43).</w:t>
      </w:r>
    </w:p>
    <w:p w:rsidR="001B41B0" w:rsidRPr="004E6412" w:rsidRDefault="001B41B0" w:rsidP="001B41B0">
      <w:pPr>
        <w:rPr>
          <w:lang w:eastAsia="hr-HR"/>
        </w:rPr>
      </w:pPr>
    </w:p>
    <w:p w:rsidR="001B41B0" w:rsidRPr="004E6412" w:rsidRDefault="001B41B0" w:rsidP="00D001B9">
      <w:pPr>
        <w:pStyle w:val="Heading3"/>
      </w:pPr>
      <w:bookmarkStart w:id="1028" w:name="_Toc365992579"/>
      <w:bookmarkStart w:id="1029" w:name="_Toc366154343"/>
      <w:bookmarkStart w:id="1030" w:name="_Toc366154465"/>
      <w:bookmarkStart w:id="1031" w:name="_Toc366410012"/>
      <w:bookmarkStart w:id="1032" w:name="_Toc372088083"/>
      <w:bookmarkStart w:id="1033" w:name="_Toc378069144"/>
      <w:r w:rsidRPr="004E6412">
        <w:t>Globalni trendovi razvoja</w:t>
      </w:r>
      <w:bookmarkEnd w:id="1028"/>
      <w:bookmarkEnd w:id="1029"/>
      <w:bookmarkEnd w:id="1030"/>
      <w:bookmarkEnd w:id="1031"/>
      <w:bookmarkEnd w:id="1032"/>
      <w:bookmarkEnd w:id="1033"/>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Globalno građevinsko tržište j</w:t>
      </w:r>
      <w:r w:rsidR="000C5F83" w:rsidRPr="004E6412">
        <w:rPr>
          <w:rFonts w:ascii="Times New Roman" w:hAnsi="Times New Roman"/>
        </w:rPr>
        <w:t>e veliko, rastuće, rascjepkano</w:t>
      </w:r>
      <w:r w:rsidRPr="004E6412">
        <w:rPr>
          <w:rFonts w:ascii="Times New Roman" w:hAnsi="Times New Roman"/>
        </w:rPr>
        <w:t>, regionalno fluktuirajuće, heterogeno, rizično i s velikom konkurencijom. Kako bi tvrtke preživjele i rasle na međunarodnoj sceni punoj prilika i prijetnji, prije svega mora</w:t>
      </w:r>
      <w:r w:rsidR="000C5F83" w:rsidRPr="004E6412">
        <w:rPr>
          <w:rFonts w:ascii="Times New Roman" w:hAnsi="Times New Roman"/>
        </w:rPr>
        <w:t>ju voditi računa o stalnom</w:t>
      </w:r>
      <w:r w:rsidRPr="004E6412">
        <w:rPr>
          <w:rFonts w:ascii="Times New Roman" w:hAnsi="Times New Roman"/>
        </w:rPr>
        <w:t xml:space="preserve"> povećanju ko</w:t>
      </w:r>
      <w:r w:rsidR="000C5F83" w:rsidRPr="004E6412">
        <w:rPr>
          <w:rFonts w:ascii="Times New Roman" w:hAnsi="Times New Roman"/>
        </w:rPr>
        <w:t>nkurentnosti, odabrati primjeren</w:t>
      </w:r>
      <w:r w:rsidRPr="004E6412">
        <w:rPr>
          <w:rFonts w:ascii="Times New Roman" w:hAnsi="Times New Roman"/>
        </w:rPr>
        <w:t xml:space="preserve"> način ulaska na ciljano tržište te upravljati rizicima povezanim</w:t>
      </w:r>
      <w:r w:rsidR="000C5F83" w:rsidRPr="004E6412">
        <w:rPr>
          <w:rFonts w:ascii="Times New Roman" w:hAnsi="Times New Roman"/>
        </w:rPr>
        <w:t>a</w:t>
      </w:r>
      <w:r w:rsidRPr="004E6412">
        <w:rPr>
          <w:rFonts w:ascii="Times New Roman" w:hAnsi="Times New Roman"/>
        </w:rPr>
        <w:t xml:space="preserve"> s međunarodnim građevinskim projektima, osobito prilikom poslovanja u zemljama u razvoju.  </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Građevinarstvo ima tendenciju praćenja rasta BDP-a, ali određeni utjecaj imaju i specifične politike i državne odluke. Svjetsko g</w:t>
      </w:r>
      <w:r w:rsidR="000C5F83" w:rsidRPr="004E6412">
        <w:rPr>
          <w:rFonts w:ascii="Times New Roman" w:hAnsi="Times New Roman"/>
        </w:rPr>
        <w:t>rađevinsko tržište obilježava</w:t>
      </w:r>
      <w:r w:rsidRPr="004E6412">
        <w:rPr>
          <w:rFonts w:ascii="Times New Roman" w:hAnsi="Times New Roman"/>
        </w:rPr>
        <w:t xml:space="preserve"> spor post</w:t>
      </w:r>
      <w:r w:rsidR="000C5F83" w:rsidRPr="004E6412">
        <w:rPr>
          <w:rFonts w:ascii="Times New Roman" w:hAnsi="Times New Roman"/>
        </w:rPr>
        <w:t>-</w:t>
      </w:r>
      <w:r w:rsidRPr="004E6412">
        <w:rPr>
          <w:rFonts w:ascii="Times New Roman" w:hAnsi="Times New Roman"/>
        </w:rPr>
        <w:t>recesijski oporavak, osobito u Europi koja je 2012. jedino bilježila nega</w:t>
      </w:r>
      <w:r w:rsidR="000C5F83" w:rsidRPr="004E6412">
        <w:rPr>
          <w:rFonts w:ascii="Times New Roman" w:hAnsi="Times New Roman"/>
        </w:rPr>
        <w:t>tivnu stopu rasta. Opća je usmjerenost</w:t>
      </w:r>
      <w:r w:rsidRPr="004E6412">
        <w:rPr>
          <w:rFonts w:ascii="Times New Roman" w:hAnsi="Times New Roman"/>
        </w:rPr>
        <w:t xml:space="preserve"> na infrastrukturu i energetiku, a tržišta u razvoju imaju najveće izglede za rast.</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Nakon duge recesije, tržište SAD-a počelo se oporavljati</w:t>
      </w:r>
      <w:r w:rsidR="000C5F83" w:rsidRPr="004E6412">
        <w:rPr>
          <w:rFonts w:ascii="Times New Roman" w:hAnsi="Times New Roman"/>
        </w:rPr>
        <w:t>, ali s niske polazišne</w:t>
      </w:r>
      <w:r w:rsidRPr="004E6412">
        <w:rPr>
          <w:rFonts w:ascii="Times New Roman" w:hAnsi="Times New Roman"/>
        </w:rPr>
        <w:t xml:space="preserve"> osnove. Pokretač rasta je privatni sektor, ali je stanogradnja još uvijek slaba. Stopa rasta 2012. u SAD-u bila je 6%.</w:t>
      </w:r>
      <w:r w:rsidR="004823E2" w:rsidRPr="004E6412">
        <w:rPr>
          <w:rFonts w:ascii="Times New Roman" w:hAnsi="Times New Roman"/>
        </w:rPr>
        <w:t xml:space="preserve"> </w:t>
      </w:r>
      <w:r w:rsidRPr="004E6412">
        <w:rPr>
          <w:rFonts w:ascii="Times New Roman" w:hAnsi="Times New Roman"/>
        </w:rPr>
        <w:t>Građevinsko tržište Europe obilježila je negativna stopa rasta od -2%, kriza zaduženih zemalja te slaba niskogradnja. Jedini rast posljednjih godina ostvarile su Njemačka i skandinavske zemlje. Azijske zemlje u razvoju bilježile su rast, ali ne tako visok kao prije. Do relativne stagnacije došlo je u Kini i Indiji, dok je na drugim tržištima azijskih zemalja u</w:t>
      </w:r>
      <w:r w:rsidR="000C5F83" w:rsidRPr="004E6412">
        <w:rPr>
          <w:rFonts w:ascii="Times New Roman" w:hAnsi="Times New Roman"/>
        </w:rPr>
        <w:t xml:space="preserve"> razvoju ostvaren rast. U središtu pozornosti </w:t>
      </w:r>
      <w:r w:rsidRPr="004E6412">
        <w:rPr>
          <w:rFonts w:ascii="Times New Roman" w:hAnsi="Times New Roman"/>
        </w:rPr>
        <w:t xml:space="preserve">bili </w:t>
      </w:r>
      <w:r w:rsidR="000C5F83" w:rsidRPr="004E6412">
        <w:rPr>
          <w:rFonts w:ascii="Times New Roman" w:hAnsi="Times New Roman"/>
        </w:rPr>
        <w:t xml:space="preserve">su </w:t>
      </w:r>
      <w:r w:rsidRPr="004E6412">
        <w:rPr>
          <w:rFonts w:ascii="Times New Roman" w:hAnsi="Times New Roman"/>
        </w:rPr>
        <w:t>infrastrukturni radovi te radovi vezani uz energetski sektor, a stopa rasta ovih zemalja 2012. bila je 6%.</w:t>
      </w:r>
      <w:r w:rsidR="004823E2" w:rsidRPr="004E6412">
        <w:rPr>
          <w:rFonts w:ascii="Times New Roman" w:hAnsi="Times New Roman"/>
        </w:rPr>
        <w:t xml:space="preserve"> </w:t>
      </w:r>
      <w:r w:rsidRPr="004E6412">
        <w:rPr>
          <w:rFonts w:ascii="Times New Roman" w:hAnsi="Times New Roman"/>
        </w:rPr>
        <w:t>Na građevinskom t</w:t>
      </w:r>
      <w:r w:rsidR="000C5F83" w:rsidRPr="004E6412">
        <w:rPr>
          <w:rFonts w:ascii="Times New Roman" w:hAnsi="Times New Roman"/>
        </w:rPr>
        <w:t>ržištu Latinske Amerike prevladava</w:t>
      </w:r>
      <w:r w:rsidRPr="004E6412">
        <w:rPr>
          <w:rFonts w:ascii="Times New Roman" w:hAnsi="Times New Roman"/>
        </w:rPr>
        <w:t xml:space="preserve"> Brazil, osobito zahvaljujući olimpijadi i svjetskom prvenstvu, a glavna područja aktivnosti su infrastruktura i energetski sektor. Očekuje se dugoročni rast i razvoj građevinske djelatnosti na navedenom</w:t>
      </w:r>
      <w:r w:rsidR="000C5F83" w:rsidRPr="004E6412">
        <w:rPr>
          <w:rFonts w:ascii="Times New Roman" w:hAnsi="Times New Roman"/>
        </w:rPr>
        <w:t>e</w:t>
      </w:r>
      <w:r w:rsidRPr="004E6412">
        <w:rPr>
          <w:rFonts w:ascii="Times New Roman" w:hAnsi="Times New Roman"/>
        </w:rPr>
        <w:t xml:space="preserve"> tržištu. Tržište Bliskog Istoka i Afrike, unatoč relativno visokim stopama rasta, obilježava nestabilnost i nepredvidivost. Građevinskim</w:t>
      </w:r>
      <w:r w:rsidR="000C5F83" w:rsidRPr="004E6412">
        <w:rPr>
          <w:rFonts w:ascii="Times New Roman" w:hAnsi="Times New Roman"/>
        </w:rPr>
        <w:t xml:space="preserve"> tržištem zemalja CIS-a prevladava</w:t>
      </w:r>
      <w:r w:rsidRPr="004E6412">
        <w:rPr>
          <w:rFonts w:ascii="Times New Roman" w:hAnsi="Times New Roman"/>
        </w:rPr>
        <w:t xml:space="preserve"> Rusija čija poslovna aktivnost ovisi o cijeni nafte. Tržišta manjih zemalja dosta se razlikuju, ovisno o nafti i plinu kao izvoru njihova financiranja. Stopa rasta građevinskog tržišta zemalja CIS-a u 2012. bila je 4%. </w:t>
      </w:r>
    </w:p>
    <w:p w:rsidR="001B41B0" w:rsidRPr="004E6412" w:rsidRDefault="001B41B0" w:rsidP="001B41B0"/>
    <w:p w:rsidR="001B41B0" w:rsidRPr="004E6412" w:rsidRDefault="001B41B0" w:rsidP="00D001B9">
      <w:pPr>
        <w:pStyle w:val="Heading3"/>
      </w:pPr>
      <w:bookmarkStart w:id="1034" w:name="_Toc365992580"/>
      <w:bookmarkStart w:id="1035" w:name="_Toc366154344"/>
      <w:bookmarkStart w:id="1036" w:name="_Toc366154466"/>
      <w:bookmarkStart w:id="1037" w:name="_Toc366410013"/>
      <w:bookmarkStart w:id="1038" w:name="_Toc372088084"/>
      <w:bookmarkStart w:id="1039" w:name="_Toc378069145"/>
      <w:r w:rsidRPr="004E6412">
        <w:t>Trendovi razvoja u Europskoj uniji</w:t>
      </w:r>
      <w:bookmarkEnd w:id="1034"/>
      <w:bookmarkEnd w:id="1035"/>
      <w:bookmarkEnd w:id="1036"/>
      <w:bookmarkEnd w:id="1037"/>
      <w:bookmarkEnd w:id="1038"/>
      <w:bookmarkEnd w:id="1039"/>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t>Financijska i ekonomska</w:t>
      </w:r>
      <w:r w:rsidR="000C5F83" w:rsidRPr="004E6412">
        <w:rPr>
          <w:rFonts w:ascii="Times New Roman" w:hAnsi="Times New Roman"/>
        </w:rPr>
        <w:t xml:space="preserve"> kriza imala je</w:t>
      </w:r>
      <w:r w:rsidRPr="004E6412">
        <w:rPr>
          <w:rFonts w:ascii="Times New Roman" w:hAnsi="Times New Roman"/>
        </w:rPr>
        <w:t xml:space="preserve"> jak utjecaj na građevinsku industriju u skoro svim zemljama članicama EU</w:t>
      </w:r>
      <w:r w:rsidR="000C5F83" w:rsidRPr="004E6412">
        <w:rPr>
          <w:rFonts w:ascii="Times New Roman" w:hAnsi="Times New Roman"/>
        </w:rPr>
        <w:t>-a</w:t>
      </w:r>
      <w:r w:rsidRPr="004E6412">
        <w:rPr>
          <w:rFonts w:ascii="Times New Roman" w:hAnsi="Times New Roman"/>
        </w:rPr>
        <w:t xml:space="preserve">. </w:t>
      </w:r>
      <w:r w:rsidR="000C5F83" w:rsidRPr="004E6412">
        <w:rPr>
          <w:rFonts w:ascii="Times New Roman" w:hAnsi="Times New Roman"/>
        </w:rPr>
        <w:t>Izlazni rezultati i zaposlenost znakovito</w:t>
      </w:r>
      <w:r w:rsidRPr="004E6412">
        <w:rPr>
          <w:rFonts w:ascii="Times New Roman" w:hAnsi="Times New Roman"/>
        </w:rPr>
        <w:t xml:space="preserve"> su pali u mnogim zemljama, osobito u Španjolskoj i baltičkim zemljama. Od početka 2008. do k</w:t>
      </w:r>
      <w:r w:rsidR="000C5F83" w:rsidRPr="004E6412">
        <w:rPr>
          <w:rFonts w:ascii="Times New Roman" w:hAnsi="Times New Roman"/>
        </w:rPr>
        <w:t>raja 2010., sezonski prilagođen</w:t>
      </w:r>
      <w:r w:rsidRPr="004E6412">
        <w:rPr>
          <w:rFonts w:ascii="Times New Roman" w:hAnsi="Times New Roman"/>
        </w:rPr>
        <w:t xml:space="preserve"> indeks proizvodnje za građevinarstvo pao je za više od </w:t>
      </w:r>
      <w:r w:rsidR="000C5F83" w:rsidRPr="004E6412">
        <w:rPr>
          <w:rFonts w:ascii="Times New Roman" w:hAnsi="Times New Roman"/>
        </w:rPr>
        <w:t>jedne petine, ističući i trajanje</w:t>
      </w:r>
      <w:r w:rsidRPr="004E6412">
        <w:rPr>
          <w:rFonts w:ascii="Times New Roman" w:hAnsi="Times New Roman"/>
        </w:rPr>
        <w:t xml:space="preserve"> i jačinu krize. Iako su se u prva tri mjeseca 2011. pojavili umjereni znakovi oporavka, u ostatku godine nije bilo znakova daljnjeg održivog rasta. U veljači 2012. razina</w:t>
      </w:r>
      <w:r w:rsidR="000C5F83" w:rsidRPr="004E6412">
        <w:rPr>
          <w:rFonts w:ascii="Times New Roman" w:hAnsi="Times New Roman"/>
        </w:rPr>
        <w:t xml:space="preserve"> izlaznih rezultata </w:t>
      </w:r>
      <w:r w:rsidRPr="004E6412">
        <w:rPr>
          <w:rFonts w:ascii="Times New Roman" w:hAnsi="Times New Roman"/>
        </w:rPr>
        <w:t>građevinarstva pala je na još nižu razinu od one za vrijeme financijske i ekonomske krize, nakon čega je uslijedila stabilizacija od svibnja 2012. nadalje.</w:t>
      </w:r>
    </w:p>
    <w:p w:rsidR="001B41B0" w:rsidRPr="004E6412" w:rsidRDefault="001B41B0" w:rsidP="001B41B0">
      <w:pPr>
        <w:rPr>
          <w:sz w:val="22"/>
        </w:rPr>
      </w:pPr>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lastRenderedPageBreak/>
        <w:t>U brojnim članicama EU</w:t>
      </w:r>
      <w:r w:rsidR="000C5F83" w:rsidRPr="004E6412">
        <w:rPr>
          <w:rFonts w:ascii="Times New Roman" w:hAnsi="Times New Roman"/>
        </w:rPr>
        <w:t>-a</w:t>
      </w:r>
      <w:r w:rsidRPr="004E6412">
        <w:rPr>
          <w:rFonts w:ascii="Times New Roman" w:hAnsi="Times New Roman"/>
        </w:rPr>
        <w:t xml:space="preserve">, građevinska </w:t>
      </w:r>
      <w:r w:rsidR="000C5F83" w:rsidRPr="004E6412">
        <w:rPr>
          <w:rFonts w:ascii="Times New Roman" w:hAnsi="Times New Roman"/>
        </w:rPr>
        <w:t>aktivnost je sezonskog obilježja</w:t>
      </w:r>
      <w:r w:rsidRPr="004E6412">
        <w:rPr>
          <w:rFonts w:ascii="Times New Roman" w:hAnsi="Times New Roman"/>
        </w:rPr>
        <w:t xml:space="preserve"> i često je osjetljiva na ekonomski ciklus. Kao isporučitelj opipljive imovine, ona obično utječe na cjelokupna ekonomska kretanja, iako to nije bio slučaj kod nedavne financijske i ekonomske krize kada se silazni trend građevinske aktivnosti nastavio puno duže u usporedbi s drugim aktivnostima.</w:t>
      </w:r>
    </w:p>
    <w:p w:rsidR="001B41B0" w:rsidRPr="004E6412" w:rsidRDefault="001B41B0" w:rsidP="001B41B0">
      <w:pPr>
        <w:rPr>
          <w:bCs/>
          <w:szCs w:val="24"/>
        </w:rPr>
      </w:pPr>
    </w:p>
    <w:p w:rsidR="001B41B0" w:rsidRPr="004E6412" w:rsidRDefault="001B41B0" w:rsidP="00D001B9">
      <w:pPr>
        <w:pStyle w:val="Heading3"/>
      </w:pPr>
      <w:bookmarkStart w:id="1040" w:name="_Toc365992581"/>
      <w:bookmarkStart w:id="1041" w:name="_Toc366154345"/>
      <w:bookmarkStart w:id="1042" w:name="_Toc366154467"/>
      <w:bookmarkStart w:id="1043" w:name="_Toc366410014"/>
      <w:bookmarkStart w:id="1044" w:name="_Toc372088085"/>
      <w:bookmarkStart w:id="1045" w:name="_Toc378069146"/>
      <w:r w:rsidRPr="004E6412">
        <w:t>Stanje i perspektive razvoja u Republici Hrvatskoj</w:t>
      </w:r>
      <w:bookmarkEnd w:id="1040"/>
      <w:bookmarkEnd w:id="1041"/>
      <w:bookmarkEnd w:id="1042"/>
      <w:bookmarkEnd w:id="1043"/>
      <w:bookmarkEnd w:id="1044"/>
      <w:bookmarkEnd w:id="1045"/>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promatranom razdoblju 2010.</w:t>
      </w:r>
      <w:r w:rsidR="000C5F83" w:rsidRPr="004E6412">
        <w:rPr>
          <w:rFonts w:ascii="Times New Roman" w:hAnsi="Times New Roman"/>
        </w:rPr>
        <w:t xml:space="preserve"> – </w:t>
      </w:r>
      <w:r w:rsidRPr="004E6412">
        <w:rPr>
          <w:rFonts w:ascii="Times New Roman" w:hAnsi="Times New Roman"/>
        </w:rPr>
        <w:t>2012</w:t>
      </w:r>
      <w:r w:rsidR="000C5F83" w:rsidRPr="004E6412">
        <w:rPr>
          <w:rFonts w:ascii="Times New Roman" w:hAnsi="Times New Roman"/>
        </w:rPr>
        <w:t>.</w:t>
      </w:r>
      <w:r w:rsidRPr="004E6412">
        <w:rPr>
          <w:rFonts w:ascii="Times New Roman" w:hAnsi="Times New Roman"/>
        </w:rPr>
        <w:t xml:space="preserve"> građevinska indust</w:t>
      </w:r>
      <w:r w:rsidR="000C5F83" w:rsidRPr="004E6412">
        <w:rPr>
          <w:rFonts w:ascii="Times New Roman" w:hAnsi="Times New Roman"/>
        </w:rPr>
        <w:t>rija bilježi značajne promjene</w:t>
      </w:r>
      <w:r w:rsidRPr="004E6412">
        <w:rPr>
          <w:rFonts w:ascii="Times New Roman" w:hAnsi="Times New Roman"/>
        </w:rPr>
        <w:t xml:space="preserve"> u ukupnom broj</w:t>
      </w:r>
      <w:r w:rsidR="000C5F83" w:rsidRPr="004E6412">
        <w:rPr>
          <w:rFonts w:ascii="Times New Roman" w:hAnsi="Times New Roman"/>
        </w:rPr>
        <w:t>u poduzeća. U 2010. poslovalo je</w:t>
      </w:r>
      <w:r w:rsidRPr="004E6412">
        <w:rPr>
          <w:rFonts w:ascii="Times New Roman" w:hAnsi="Times New Roman"/>
        </w:rPr>
        <w:t xml:space="preserve"> 10.759 poduzeća, da bi u 2011. taj broj porastao za 1.592, čineći tak</w:t>
      </w:r>
      <w:r w:rsidR="000C5F83" w:rsidRPr="004E6412">
        <w:rPr>
          <w:rFonts w:ascii="Times New Roman" w:hAnsi="Times New Roman"/>
        </w:rPr>
        <w:t xml:space="preserve">o ukupan broj od 12.351 aktivnog poduzeća. U 2012. </w:t>
      </w:r>
      <w:r w:rsidRPr="004E6412">
        <w:rPr>
          <w:rFonts w:ascii="Times New Roman" w:hAnsi="Times New Roman"/>
        </w:rPr>
        <w:t xml:space="preserve">došlo </w:t>
      </w:r>
      <w:r w:rsidR="000C5F83" w:rsidRPr="004E6412">
        <w:rPr>
          <w:rFonts w:ascii="Times New Roman" w:hAnsi="Times New Roman"/>
        </w:rPr>
        <w:t xml:space="preserve">je </w:t>
      </w:r>
      <w:r w:rsidRPr="004E6412">
        <w:rPr>
          <w:rFonts w:ascii="Times New Roman" w:hAnsi="Times New Roman"/>
        </w:rPr>
        <w:t>do naglog smanjenja tog broja na razinu ipak višu od one iz 2010. (ukupno 11.826). Gledano u ukupnom razdoblju 2010.</w:t>
      </w:r>
      <w:r w:rsidR="00B758B7" w:rsidRPr="004E6412">
        <w:rPr>
          <w:rFonts w:ascii="Times New Roman" w:hAnsi="Times New Roman"/>
        </w:rPr>
        <w:t xml:space="preserve"> – </w:t>
      </w:r>
      <w:r w:rsidRPr="004E6412">
        <w:rPr>
          <w:rFonts w:ascii="Times New Roman" w:hAnsi="Times New Roman"/>
        </w:rPr>
        <w:t>2012</w:t>
      </w:r>
      <w:r w:rsidR="00B758B7" w:rsidRPr="004E6412">
        <w:rPr>
          <w:rFonts w:ascii="Times New Roman" w:hAnsi="Times New Roman"/>
        </w:rPr>
        <w:t xml:space="preserve">., broj poduzeća </w:t>
      </w:r>
      <w:r w:rsidRPr="004E6412">
        <w:rPr>
          <w:rFonts w:ascii="Times New Roman" w:hAnsi="Times New Roman"/>
        </w:rPr>
        <w:t>povećan</w:t>
      </w:r>
      <w:r w:rsidR="00B758B7" w:rsidRPr="004E6412">
        <w:rPr>
          <w:rFonts w:ascii="Times New Roman" w:hAnsi="Times New Roman"/>
        </w:rPr>
        <w:t xml:space="preserve"> je</w:t>
      </w:r>
      <w:r w:rsidRPr="004E6412">
        <w:rPr>
          <w:rFonts w:ascii="Times New Roman" w:hAnsi="Times New Roman"/>
        </w:rPr>
        <w:t xml:space="preserve"> za 9,92%. </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Za analiz</w:t>
      </w:r>
      <w:r w:rsidR="000C66E0" w:rsidRPr="004E6412">
        <w:rPr>
          <w:rFonts w:ascii="Times New Roman" w:hAnsi="Times New Roman"/>
        </w:rPr>
        <w:t>iranu industriju značajno</w:t>
      </w:r>
      <w:r w:rsidRPr="004E6412">
        <w:rPr>
          <w:rFonts w:ascii="Times New Roman" w:hAnsi="Times New Roman"/>
        </w:rPr>
        <w:t xml:space="preserve"> je da se u razdoblju 2010.</w:t>
      </w:r>
      <w:r w:rsidR="000C66E0" w:rsidRPr="004E6412">
        <w:rPr>
          <w:rFonts w:ascii="Times New Roman" w:hAnsi="Times New Roman"/>
        </w:rPr>
        <w:t xml:space="preserve"> – </w:t>
      </w:r>
      <w:r w:rsidRPr="004E6412">
        <w:rPr>
          <w:rFonts w:ascii="Times New Roman" w:hAnsi="Times New Roman"/>
        </w:rPr>
        <w:t>2012</w:t>
      </w:r>
      <w:r w:rsidR="000C66E0" w:rsidRPr="004E6412">
        <w:rPr>
          <w:rFonts w:ascii="Times New Roman" w:hAnsi="Times New Roman"/>
        </w:rPr>
        <w:t>. neprestano</w:t>
      </w:r>
      <w:r w:rsidRPr="004E6412">
        <w:rPr>
          <w:rFonts w:ascii="Times New Roman" w:hAnsi="Times New Roman"/>
        </w:rPr>
        <w:t xml:space="preserve"> smanjivao broj zaposlenih, s 90.842 zaposlenika u 2010. na 79.926 zaposlenih osoba u 2012., što u apsolutnom iznosu čini 10.916 osoba, odnosno 12,02% izraženo relativno. D</w:t>
      </w:r>
      <w:r w:rsidRPr="004E6412">
        <w:rPr>
          <w:rFonts w:ascii="Times New Roman" w:eastAsia="Times New Roman" w:hAnsi="Times New Roman"/>
          <w:bCs/>
          <w:lang w:eastAsia="hr-HR"/>
        </w:rPr>
        <w:t>o najvećeg smanjenja broja zaposlenih po poduzeću došlo je u djelatnosti</w:t>
      </w:r>
      <w:r w:rsidR="000C66E0" w:rsidRPr="004E6412">
        <w:rPr>
          <w:rFonts w:ascii="Times New Roman" w:eastAsia="Times New Roman" w:hAnsi="Times New Roman"/>
          <w:bCs/>
          <w:lang w:eastAsia="hr-HR"/>
        </w:rPr>
        <w:t xml:space="preserve"> </w:t>
      </w:r>
      <w:r w:rsidRPr="004E6412">
        <w:rPr>
          <w:rFonts w:ascii="Times New Roman" w:hAnsi="Times New Roman"/>
        </w:rPr>
        <w:t>F43 Specijalizirane građevinske djelatnosti</w:t>
      </w:r>
      <w:r w:rsidRPr="004E6412">
        <w:rPr>
          <w:rFonts w:ascii="Times New Roman" w:eastAsia="Times New Roman" w:hAnsi="Times New Roman"/>
          <w:bCs/>
          <w:lang w:eastAsia="hr-HR"/>
        </w:rPr>
        <w:t>, gdje se može uočiti da je smanj</w:t>
      </w:r>
      <w:r w:rsidR="000C66E0" w:rsidRPr="004E6412">
        <w:rPr>
          <w:rFonts w:ascii="Times New Roman" w:eastAsia="Times New Roman" w:hAnsi="Times New Roman"/>
          <w:bCs/>
          <w:lang w:eastAsia="hr-HR"/>
        </w:rPr>
        <w:t>enje prosječnog broja zaposlenih</w:t>
      </w:r>
      <w:r w:rsidRPr="004E6412">
        <w:rPr>
          <w:rFonts w:ascii="Times New Roman" w:eastAsia="Times New Roman" w:hAnsi="Times New Roman"/>
          <w:bCs/>
          <w:lang w:eastAsia="hr-HR"/>
        </w:rPr>
        <w:t xml:space="preserve"> po poduzeću iznosilo 38,50%.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godinama ostvaruje ukupne p</w:t>
      </w:r>
      <w:r w:rsidR="000C66E0" w:rsidRPr="004E6412">
        <w:rPr>
          <w:rFonts w:ascii="Times New Roman" w:hAnsi="Times New Roman"/>
        </w:rPr>
        <w:t>rihode manje od ukupnih rashoda</w:t>
      </w:r>
      <w:r w:rsidRPr="004E6412">
        <w:rPr>
          <w:rFonts w:ascii="Times New Roman" w:hAnsi="Times New Roman"/>
        </w:rPr>
        <w:t xml:space="preserve"> te je navedeni odnos po godinama sve manji: 0,99 u 2010., 0,96 u 2011. i 0,93 u 2012. Dakle, u svim godinama građevinska industrija ima nedovoljan stupanj ekonomičnosti, koji s</w:t>
      </w:r>
      <w:r w:rsidR="000C66E0" w:rsidRPr="004E6412">
        <w:rPr>
          <w:rFonts w:ascii="Times New Roman" w:hAnsi="Times New Roman"/>
        </w:rPr>
        <w:t>e u promatranom razdoblju stalno</w:t>
      </w:r>
      <w:r w:rsidRPr="004E6412">
        <w:rPr>
          <w:rFonts w:ascii="Times New Roman" w:hAnsi="Times New Roman"/>
        </w:rPr>
        <w:t xml:space="preserve"> smanjuje (0,99; 0,96 i 0,93).</w:t>
      </w:r>
      <w:r w:rsidR="004823E2" w:rsidRPr="004E6412">
        <w:rPr>
          <w:rFonts w:ascii="Times New Roman" w:hAnsi="Times New Roman"/>
        </w:rPr>
        <w:t xml:space="preserve"> </w:t>
      </w:r>
      <w:r w:rsidRPr="004E6412">
        <w:rPr>
          <w:rFonts w:ascii="Times New Roman" w:hAnsi="Times New Roman"/>
        </w:rPr>
        <w:t>Godišnja promjena ukupnih</w:t>
      </w:r>
      <w:r w:rsidR="000C66E0" w:rsidRPr="004E6412">
        <w:rPr>
          <w:rFonts w:ascii="Times New Roman" w:hAnsi="Times New Roman"/>
        </w:rPr>
        <w:t xml:space="preserve"> prihoda građevinske industrije</w:t>
      </w:r>
      <w:r w:rsidRPr="004E6412">
        <w:rPr>
          <w:rFonts w:ascii="Times New Roman" w:hAnsi="Times New Roman"/>
        </w:rPr>
        <w:t xml:space="preserve"> pokazuje kako je u 2011. došlo do rasta obujma aktivnosti analiziranih djelatnosti od 18,99%, ali je u 2012. porast prihoda u odnosu na 2011. bio značajno manji (46,99% manji).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Operativna marža profita građevinske industrije je od 3,30% u 2010. pala na -3,46% u 2012., što je rezultat pada i u 201</w:t>
      </w:r>
      <w:r w:rsidR="000C66E0" w:rsidRPr="004E6412">
        <w:rPr>
          <w:rFonts w:ascii="Times New Roman" w:hAnsi="Times New Roman"/>
        </w:rPr>
        <w:t>1. i u 2012. Trend stalnog</w:t>
      </w:r>
      <w:r w:rsidRPr="004E6412">
        <w:rPr>
          <w:rFonts w:ascii="Times New Roman" w:hAnsi="Times New Roman"/>
        </w:rPr>
        <w:t xml:space="preserve"> smanje</w:t>
      </w:r>
      <w:r w:rsidR="000C66E0" w:rsidRPr="004E6412">
        <w:rPr>
          <w:rFonts w:ascii="Times New Roman" w:hAnsi="Times New Roman"/>
        </w:rPr>
        <w:t xml:space="preserve">nja operativne marže profita </w:t>
      </w:r>
      <w:r w:rsidRPr="004E6412">
        <w:rPr>
          <w:rFonts w:ascii="Times New Roman" w:hAnsi="Times New Roman"/>
        </w:rPr>
        <w:t xml:space="preserve">prisutan </w:t>
      </w:r>
      <w:r w:rsidR="000C66E0" w:rsidRPr="004E6412">
        <w:rPr>
          <w:rFonts w:ascii="Times New Roman" w:hAnsi="Times New Roman"/>
        </w:rPr>
        <w:t xml:space="preserve">je </w:t>
      </w:r>
      <w:r w:rsidRPr="004E6412">
        <w:rPr>
          <w:rFonts w:ascii="Times New Roman" w:hAnsi="Times New Roman"/>
        </w:rPr>
        <w:t>u svim trima djelatnostima, s time da je ostvarena operativna marža profita daleko najlošija u djelatnosti F42 Gradnja građevina niskogradnje te iznosi -9,17%. Jedina djelatnost koja je u 2012. imala pozitivnu operativnu maržu je djelatnost F43 Specijalizirane građevinske djelatnosti, ali je i njezina operativna marža pala s 3,30% u 2010. na 2,64%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razdoblju 2010.</w:t>
      </w:r>
      <w:r w:rsidR="000C66E0" w:rsidRPr="004E6412">
        <w:rPr>
          <w:rFonts w:ascii="Times New Roman" w:hAnsi="Times New Roman"/>
        </w:rPr>
        <w:t xml:space="preserve"> – </w:t>
      </w:r>
      <w:r w:rsidRPr="004E6412">
        <w:rPr>
          <w:rFonts w:ascii="Times New Roman" w:hAnsi="Times New Roman"/>
        </w:rPr>
        <w:t>2012., proizvodnost rada i proizvodnost kapitala za ukupnu građevinsku industriju opadaju</w:t>
      </w:r>
      <w:r w:rsidR="00AB501A" w:rsidRPr="004E6412">
        <w:rPr>
          <w:rFonts w:ascii="Times New Roman" w:hAnsi="Times New Roman"/>
        </w:rPr>
        <w:t xml:space="preserve"> vrlo visokim stopama</w:t>
      </w:r>
      <w:r w:rsidRPr="004E6412">
        <w:rPr>
          <w:rFonts w:ascii="Times New Roman" w:hAnsi="Times New Roman"/>
        </w:rPr>
        <w:t xml:space="preserve">. Proizvodnost rada je </w:t>
      </w:r>
      <w:r w:rsidR="00AB501A" w:rsidRPr="004E6412">
        <w:rPr>
          <w:rFonts w:ascii="Times New Roman" w:hAnsi="Times New Roman"/>
        </w:rPr>
        <w:t xml:space="preserve">u promatranom razdoblju </w:t>
      </w:r>
      <w:r w:rsidRPr="004E6412">
        <w:rPr>
          <w:rFonts w:ascii="Times New Roman" w:hAnsi="Times New Roman"/>
        </w:rPr>
        <w:t xml:space="preserve">pala za </w:t>
      </w:r>
      <w:r w:rsidR="00360B4D" w:rsidRPr="004E6412">
        <w:rPr>
          <w:rFonts w:ascii="Times New Roman" w:hAnsi="Times New Roman"/>
        </w:rPr>
        <w:t>22,03</w:t>
      </w:r>
      <w:r w:rsidRPr="004E6412">
        <w:rPr>
          <w:rFonts w:ascii="Times New Roman" w:hAnsi="Times New Roman"/>
        </w:rPr>
        <w:t xml:space="preserve">%, dok proizvodnost kapitala bilježi pad od </w:t>
      </w:r>
      <w:r w:rsidR="00AB501A" w:rsidRPr="004E6412">
        <w:rPr>
          <w:rFonts w:ascii="Times New Roman" w:hAnsi="Times New Roman"/>
        </w:rPr>
        <w:t>30,80%. Za to je najviše zaslužan pad bruto dodane vrijednosti od 31,40%.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Koeficijent tekuće likvidnosti građevinske industrije u svim je promatranim godinama 2010.-2012. bio izrazito nizak s trendom pada, dok se koeficijent ubrzane likvidnosti građevinske industrije u promatranom trogodišnjem razdoblju smanjio s 0,612 u 2010. na 0,528 </w:t>
      </w:r>
      <w:r w:rsidR="000C66E0" w:rsidRPr="004E6412">
        <w:rPr>
          <w:rFonts w:ascii="Times New Roman" w:hAnsi="Times New Roman"/>
        </w:rPr>
        <w:t>u 2012., što ukazuje na povećan</w:t>
      </w:r>
      <w:r w:rsidRPr="004E6412">
        <w:rPr>
          <w:rFonts w:ascii="Times New Roman" w:hAnsi="Times New Roman"/>
        </w:rPr>
        <w:t xml:space="preserve"> problem industrije u mogućnosti servisiranja kratkoročnih obveza kratkotrajnom imovinom (bez zaliha).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lastRenderedPageBreak/>
        <w:t>Koeficijent zaduženosti građevinske industrije u pr</w:t>
      </w:r>
      <w:r w:rsidR="000C66E0" w:rsidRPr="004E6412">
        <w:rPr>
          <w:rFonts w:ascii="Times New Roman" w:hAnsi="Times New Roman"/>
        </w:rPr>
        <w:t>omatranom razdoblju neprestano</w:t>
      </w:r>
      <w:r w:rsidRPr="004E6412">
        <w:rPr>
          <w:rFonts w:ascii="Times New Roman" w:hAnsi="Times New Roman"/>
        </w:rPr>
        <w:t xml:space="preserve"> ras</w:t>
      </w:r>
      <w:r w:rsidR="000C66E0" w:rsidRPr="004E6412">
        <w:rPr>
          <w:rFonts w:ascii="Times New Roman" w:hAnsi="Times New Roman"/>
        </w:rPr>
        <w:t xml:space="preserve">te. U trogodišnjem razdoblju </w:t>
      </w:r>
      <w:r w:rsidRPr="004E6412">
        <w:rPr>
          <w:rFonts w:ascii="Times New Roman" w:hAnsi="Times New Roman"/>
        </w:rPr>
        <w:t xml:space="preserve">povećao </w:t>
      </w:r>
      <w:r w:rsidR="000C66E0" w:rsidRPr="004E6412">
        <w:rPr>
          <w:rFonts w:ascii="Times New Roman" w:hAnsi="Times New Roman"/>
        </w:rPr>
        <w:t>se 12%. Zaduženost je stalno rasla u svim</w:t>
      </w:r>
      <w:r w:rsidRPr="004E6412">
        <w:rPr>
          <w:rFonts w:ascii="Times New Roman" w:hAnsi="Times New Roman"/>
        </w:rPr>
        <w:t xml:space="preserve"> tri</w:t>
      </w:r>
      <w:r w:rsidR="000C66E0" w:rsidRPr="004E6412">
        <w:rPr>
          <w:rFonts w:ascii="Times New Roman" w:hAnsi="Times New Roman"/>
        </w:rPr>
        <w:t>ma</w:t>
      </w:r>
      <w:r w:rsidRPr="004E6412">
        <w:rPr>
          <w:rFonts w:ascii="Times New Roman" w:hAnsi="Times New Roman"/>
        </w:rPr>
        <w:t xml:space="preserve"> djelatnosti</w:t>
      </w:r>
      <w:r w:rsidR="000C66E0" w:rsidRPr="004E6412">
        <w:rPr>
          <w:rFonts w:ascii="Times New Roman" w:hAnsi="Times New Roman"/>
        </w:rPr>
        <w:t>ma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promatranim godinama ima tendenciju poboljšanja pokazatelja odnosa izvoza i uvoza pa je 2012., za razliku od 2010. i 2011., vrijednost izvoza veća od vrijednosti uvoza. Međutim, spomenuti odnos veći je od 1 samo u slučaju djelatnosti F42 Gradnja građevina niskogradnje</w:t>
      </w:r>
      <w:r w:rsidR="000C66E0" w:rsidRPr="004E6412">
        <w:rPr>
          <w:rFonts w:ascii="Times New Roman" w:hAnsi="Times New Roman"/>
        </w:rPr>
        <w:t>,</w:t>
      </w:r>
      <w:r w:rsidRPr="004E6412">
        <w:rPr>
          <w:rFonts w:ascii="Times New Roman" w:hAnsi="Times New Roman"/>
        </w:rPr>
        <w:t xml:space="preserve"> dok je u slučaju djelatnosti F41 Gradnja zgrada i F43 Specijalizirane građevinske djelatnosti uvoz veći od izvoza.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U trogodišnjem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vrijednost RCA indeksa za ukupnu građevinsku industriju raste od -0,093 u 2010. na 0,287, ali je i dalje daleko ispod 1. Daleko najv</w:t>
      </w:r>
      <w:r w:rsidRPr="004E6412">
        <w:rPr>
          <w:rFonts w:ascii="Times New Roman" w:hAnsi="Times New Roman"/>
        </w:rPr>
        <w:t>eći i jedini pozitivan pokazatelj</w:t>
      </w:r>
      <w:r w:rsidR="001B41B0" w:rsidRPr="004E6412">
        <w:rPr>
          <w:rFonts w:ascii="Times New Roman" w:hAnsi="Times New Roman"/>
        </w:rPr>
        <w:t xml:space="preserve"> relativne komparativne prednosti ima djelatnost F42 Gradnja građevina niskogradnje</w:t>
      </w:r>
      <w:r w:rsidRPr="004E6412">
        <w:rPr>
          <w:rFonts w:ascii="Times New Roman" w:hAnsi="Times New Roman"/>
        </w:rPr>
        <w:t>,</w:t>
      </w:r>
      <w:r w:rsidR="001B41B0" w:rsidRPr="004E6412">
        <w:rPr>
          <w:rFonts w:ascii="Times New Roman" w:hAnsi="Times New Roman"/>
        </w:rPr>
        <w:t xml:space="preserve"> što je u skladu s činjenicom da ona </w:t>
      </w:r>
      <w:r w:rsidRPr="004E6412">
        <w:rPr>
          <w:rFonts w:ascii="Times New Roman" w:hAnsi="Times New Roman"/>
        </w:rPr>
        <w:t>jedina ima</w:t>
      </w:r>
      <w:r w:rsidR="001B41B0" w:rsidRPr="004E6412">
        <w:rPr>
          <w:rFonts w:ascii="Times New Roman" w:hAnsi="Times New Roman"/>
        </w:rPr>
        <w:t xml:space="preserve"> izvoz veći od uvoza u građevinskoj industriji.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Od ukupnog broja poduzeća</w:t>
      </w:r>
      <w:r w:rsidR="000C66E0" w:rsidRPr="004E6412">
        <w:rPr>
          <w:rFonts w:ascii="Times New Roman" w:hAnsi="Times New Roman"/>
        </w:rPr>
        <w:t>,</w:t>
      </w:r>
      <w:r w:rsidRPr="004E6412">
        <w:rPr>
          <w:rFonts w:ascii="Times New Roman" w:hAnsi="Times New Roman"/>
        </w:rPr>
        <w:t xml:space="preserve"> 98,60% čine mala poduzeća, 1,12% srednja poduzeća i 0,27% velika poduzeća. S druge strane, iako je velikih poduzeća brojčano neusporedivo manje, ona zapošljavaju 21,17% zaposlenika građevinske industrije. Stoga je značaj velikih poduzeća za građevinsku industriju vel</w:t>
      </w:r>
      <w:r w:rsidR="000C66E0" w:rsidRPr="004E6412">
        <w:rPr>
          <w:rFonts w:ascii="Times New Roman" w:hAnsi="Times New Roman"/>
        </w:rPr>
        <w:t>ik – 32 velika</w:t>
      </w:r>
      <w:r w:rsidRPr="004E6412">
        <w:rPr>
          <w:rFonts w:ascii="Times New Roman" w:hAnsi="Times New Roman"/>
        </w:rPr>
        <w:t xml:space="preserve"> po</w:t>
      </w:r>
      <w:r w:rsidR="000C66E0" w:rsidRPr="004E6412">
        <w:rPr>
          <w:rFonts w:ascii="Times New Roman" w:hAnsi="Times New Roman"/>
        </w:rPr>
        <w:t>duzeća zapošljavaju 16.921 osobu</w:t>
      </w:r>
      <w:r w:rsidRPr="004E6412">
        <w:rPr>
          <w:rFonts w:ascii="Times New Roman" w:hAnsi="Times New Roman"/>
        </w:rPr>
        <w:t xml:space="preserve"> odnosno 21,17% svih zaposlenih u građevinskoj industriji. Nadalje, iako ih čini samo 0,27% ukupnog broja poduzeća i zapošljavaju 21,17% svih zaposlenih u industriji, velika poduzeća imaju 65,92% ukupne aktive građevinske industrije, 53,64% izvoza, 20,33% prihoda i 11,25% dobiti. S obzirom na udio velikih poduzeća u aktivi (65,92%) i ukupnim prihodima (20,33%) u usporedbi s udjelom u dobiti (11,25%) nameće se zaključak kako ma</w:t>
      </w:r>
      <w:r w:rsidR="000C66E0" w:rsidRPr="004E6412">
        <w:rPr>
          <w:rFonts w:ascii="Times New Roman" w:hAnsi="Times New Roman"/>
        </w:rPr>
        <w:t>la i srednja poduzeća učinkovitije</w:t>
      </w:r>
      <w:r w:rsidRPr="004E6412">
        <w:rPr>
          <w:rFonts w:ascii="Times New Roman" w:hAnsi="Times New Roman"/>
        </w:rPr>
        <w:t xml:space="preserve"> koriste svoju imovinu i imaju veću profitabilnost od velikih poduzeća.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Analizom pojedinih skupina kvantitativnih pokazatelja građevinske industrije Hrvatske i pripadajućih djelatnosti, po profitabilnosti i likvidnosti izdvaja se djelatnost F43 Specijalizirane građevinske djelatnosti. Ta djelatnost zapošljava 29,09% ukupnog broja zaposlenih u području građevinarstva, jedina ima veće ukupne prihode od rashoda (1,02), pozitivnu razliku dobiti i gubitka (61.178.420), pozitivnu ROA (0,60%) i ROE (2,96%) te pozitivnu operativnu maržu (2,64%), s time da su svi pokazatelji profitabilnosti u opadanju. Likvidnost joj je u opadanju i na niskim razinama, ali značajno bolja od prosjeka industrije. Koeficijent zaduženosti djelatnosti je 0,7 te je viši od prosjeka industrije, a pokriće kamata 4,25</w:t>
      </w:r>
      <w:r w:rsidR="000C66E0" w:rsidRPr="004E6412">
        <w:rPr>
          <w:rFonts w:ascii="Times New Roman" w:hAnsi="Times New Roman"/>
        </w:rPr>
        <w:t>,</w:t>
      </w:r>
      <w:r w:rsidRPr="004E6412">
        <w:rPr>
          <w:rFonts w:ascii="Times New Roman" w:hAnsi="Times New Roman"/>
        </w:rPr>
        <w:t xml:space="preserve"> što je daleko bolje od ostalih djelatnosti u industriji. Djelatnost F43 nema komparativnih prednosti jer je indeks relativne komparativ</w:t>
      </w:r>
      <w:r w:rsidR="000C66E0" w:rsidRPr="004E6412">
        <w:rPr>
          <w:rFonts w:ascii="Times New Roman" w:hAnsi="Times New Roman"/>
        </w:rPr>
        <w:t>ne prednosti -0,122 (porastao s</w:t>
      </w:r>
      <w:r w:rsidRPr="004E6412">
        <w:rPr>
          <w:rFonts w:ascii="Times New Roman" w:hAnsi="Times New Roman"/>
        </w:rPr>
        <w:t xml:space="preserve"> razine od -</w:t>
      </w:r>
      <w:r w:rsidR="000C66E0" w:rsidRPr="004E6412">
        <w:rPr>
          <w:rFonts w:ascii="Times New Roman" w:hAnsi="Times New Roman"/>
        </w:rPr>
        <w:t xml:space="preserve">0,520); odnos uvoza i izvoza </w:t>
      </w:r>
      <w:r w:rsidRPr="004E6412">
        <w:rPr>
          <w:rFonts w:ascii="Times New Roman" w:hAnsi="Times New Roman"/>
        </w:rPr>
        <w:t>poboljšava</w:t>
      </w:r>
      <w:r w:rsidR="000C66E0" w:rsidRPr="004E6412">
        <w:rPr>
          <w:rFonts w:ascii="Times New Roman" w:hAnsi="Times New Roman"/>
        </w:rPr>
        <w:t xml:space="preserve"> se (s</w:t>
      </w:r>
      <w:r w:rsidRPr="004E6412">
        <w:rPr>
          <w:rFonts w:ascii="Times New Roman" w:hAnsi="Times New Roman"/>
        </w:rPr>
        <w:t xml:space="preserve"> 0,56 na 0,91), kao i saldo trgovinske bilance djelatnosti (</w:t>
      </w:r>
      <w:r w:rsidR="000C66E0" w:rsidRPr="004E6412">
        <w:rPr>
          <w:rFonts w:ascii="Times New Roman" w:hAnsi="Times New Roman"/>
        </w:rPr>
        <w:t>s -174.087.091 na -36.248.214 kuna</w:t>
      </w:r>
      <w:r w:rsidRPr="004E6412">
        <w:rPr>
          <w:rFonts w:ascii="Times New Roman" w:hAnsi="Times New Roman"/>
        </w:rPr>
        <w:t>); udio izvoza u ukupnim prihodima djelatnosti raste (4,01%) kao i u ukupnom izvozu industrije (s 17,39% na 25,18%), međunarodna razmjena se odvija u srodnim djelatnostima (GL indeks 0,952). Djelatnost ima manji udio u bruto dodanoj vrijednosti (25,89%) od udjela u broju zaposlenih (29,09%).</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42 Gr</w:t>
      </w:r>
      <w:r w:rsidR="000C66E0" w:rsidRPr="004E6412">
        <w:rPr>
          <w:rFonts w:ascii="Times New Roman" w:hAnsi="Times New Roman"/>
        </w:rPr>
        <w:t xml:space="preserve">adnja građevina niskogradnje </w:t>
      </w:r>
      <w:r w:rsidRPr="004E6412">
        <w:rPr>
          <w:rFonts w:ascii="Times New Roman" w:hAnsi="Times New Roman"/>
        </w:rPr>
        <w:t xml:space="preserve">izdvaja </w:t>
      </w:r>
      <w:r w:rsidR="000C66E0" w:rsidRPr="004E6412">
        <w:rPr>
          <w:rFonts w:ascii="Times New Roman" w:hAnsi="Times New Roman"/>
        </w:rPr>
        <w:t xml:space="preserve">se </w:t>
      </w:r>
      <w:r w:rsidRPr="004E6412">
        <w:rPr>
          <w:rFonts w:ascii="Times New Roman" w:hAnsi="Times New Roman"/>
        </w:rPr>
        <w:t>po</w:t>
      </w:r>
      <w:r w:rsidR="000C66E0" w:rsidRPr="004E6412">
        <w:rPr>
          <w:rFonts w:ascii="Times New Roman" w:hAnsi="Times New Roman"/>
        </w:rPr>
        <w:t xml:space="preserve"> sljedećem</w:t>
      </w:r>
      <w:r w:rsidRPr="004E6412">
        <w:rPr>
          <w:rFonts w:ascii="Times New Roman" w:hAnsi="Times New Roman"/>
        </w:rPr>
        <w:t>:</w:t>
      </w:r>
    </w:p>
    <w:p w:rsidR="001B41B0" w:rsidRPr="004E6412" w:rsidRDefault="001B41B0" w:rsidP="001B41B0">
      <w:pPr>
        <w:numPr>
          <w:ilvl w:val="1"/>
          <w:numId w:val="69"/>
        </w:numPr>
        <w:rPr>
          <w:sz w:val="22"/>
        </w:rPr>
      </w:pPr>
      <w:r w:rsidRPr="004E6412">
        <w:rPr>
          <w:sz w:val="22"/>
        </w:rPr>
        <w:t>međunarodnoj razmjeni: izvoz je znač</w:t>
      </w:r>
      <w:r w:rsidR="000C66E0" w:rsidRPr="004E6412">
        <w:rPr>
          <w:sz w:val="22"/>
        </w:rPr>
        <w:t>ajno veći od uvoza, a pokazatelji</w:t>
      </w:r>
      <w:r w:rsidRPr="004E6412">
        <w:rPr>
          <w:sz w:val="22"/>
        </w:rPr>
        <w:t xml:space="preserve"> </w:t>
      </w:r>
      <w:r w:rsidR="000C66E0" w:rsidRPr="004E6412">
        <w:rPr>
          <w:sz w:val="22"/>
        </w:rPr>
        <w:t>opisuju</w:t>
      </w:r>
      <w:r w:rsidRPr="004E6412">
        <w:rPr>
          <w:sz w:val="22"/>
        </w:rPr>
        <w:t xml:space="preserve"> trend poboljšanja. Indeks komparativne prednosti od 1,93 pokazuje postojanje komparativne prednosti; ima značajno veći izvoz od uvoza (odnos izvoza</w:t>
      </w:r>
      <w:r w:rsidR="000C66E0" w:rsidRPr="004E6412">
        <w:rPr>
          <w:sz w:val="22"/>
        </w:rPr>
        <w:t xml:space="preserve"> i uvoza je </w:t>
      </w:r>
      <w:r w:rsidR="000C66E0" w:rsidRPr="004E6412">
        <w:rPr>
          <w:sz w:val="22"/>
        </w:rPr>
        <w:lastRenderedPageBreak/>
        <w:t>2,39 sa stalnim</w:t>
      </w:r>
      <w:r w:rsidRPr="004E6412">
        <w:rPr>
          <w:sz w:val="22"/>
        </w:rPr>
        <w:t xml:space="preserve"> poslovanjem); saldo trgov</w:t>
      </w:r>
      <w:r w:rsidR="000C66E0" w:rsidRPr="004E6412">
        <w:rPr>
          <w:sz w:val="22"/>
        </w:rPr>
        <w:t xml:space="preserve">inske bilance je 429.565.568 kuna </w:t>
      </w:r>
      <w:r w:rsidRPr="004E6412">
        <w:rPr>
          <w:sz w:val="22"/>
        </w:rPr>
        <w:t>(porast od 13,87%), udio izvoza u ukupnim prihodima je 4,85% i kontinuirano raste,</w:t>
      </w:r>
    </w:p>
    <w:p w:rsidR="001B41B0" w:rsidRPr="004E6412" w:rsidRDefault="001B41B0" w:rsidP="001B41B0">
      <w:pPr>
        <w:numPr>
          <w:ilvl w:val="1"/>
          <w:numId w:val="69"/>
        </w:numPr>
        <w:rPr>
          <w:sz w:val="22"/>
        </w:rPr>
      </w:pPr>
      <w:r w:rsidRPr="004E6412">
        <w:rPr>
          <w:sz w:val="22"/>
        </w:rPr>
        <w:t>značajnom broju zaposlenih 25.526, odnosno 31,92% zaposlenih u industriji,</w:t>
      </w:r>
    </w:p>
    <w:p w:rsidR="001B41B0" w:rsidRPr="004E6412" w:rsidRDefault="001B41B0" w:rsidP="001B41B0">
      <w:pPr>
        <w:numPr>
          <w:ilvl w:val="1"/>
          <w:numId w:val="69"/>
        </w:numPr>
        <w:rPr>
          <w:sz w:val="22"/>
        </w:rPr>
      </w:pPr>
      <w:r w:rsidRPr="004E6412">
        <w:rPr>
          <w:sz w:val="22"/>
        </w:rPr>
        <w:t>bruto dodanoj vrijednosti: ima veći udio u bruto dodanoj vrijednosti (38,71%) od udjela u broju zaposlenih (31,29%),</w:t>
      </w:r>
    </w:p>
    <w:p w:rsidR="001B41B0" w:rsidRPr="004E6412" w:rsidRDefault="001B41B0" w:rsidP="001B41B0">
      <w:pPr>
        <w:numPr>
          <w:ilvl w:val="1"/>
          <w:numId w:val="69"/>
        </w:numPr>
        <w:rPr>
          <w:sz w:val="22"/>
        </w:rPr>
      </w:pPr>
      <w:r w:rsidRPr="004E6412">
        <w:rPr>
          <w:sz w:val="22"/>
        </w:rPr>
        <w:t>zaduženosti: znatno niža od prosjeka industrije (0,49), ali izrazito loš pokazatelj pokrića kamata (0,23) što je povezano s lošom profitabilnošću,</w:t>
      </w:r>
    </w:p>
    <w:p w:rsidR="001B41B0" w:rsidRPr="004E6412" w:rsidRDefault="000C66E0" w:rsidP="001B41B0">
      <w:pPr>
        <w:numPr>
          <w:ilvl w:val="1"/>
          <w:numId w:val="69"/>
        </w:numPr>
        <w:rPr>
          <w:sz w:val="22"/>
        </w:rPr>
      </w:pPr>
      <w:r w:rsidRPr="004E6412">
        <w:rPr>
          <w:sz w:val="22"/>
        </w:rPr>
        <w:t>proizvodnost</w:t>
      </w:r>
      <w:r w:rsidR="001E6C16" w:rsidRPr="004E6412">
        <w:rPr>
          <w:sz w:val="22"/>
        </w:rPr>
        <w:t>i rada najvišoj u industriji,</w:t>
      </w:r>
      <w:r w:rsidR="001B41B0" w:rsidRPr="004E6412">
        <w:rPr>
          <w:sz w:val="22"/>
        </w:rPr>
        <w:t xml:space="preserve"> </w:t>
      </w:r>
      <w:r w:rsidRPr="004E6412">
        <w:rPr>
          <w:sz w:val="22"/>
        </w:rPr>
        <w:t>143.188 kuna</w:t>
      </w:r>
      <w:r w:rsidR="00AB501A" w:rsidRPr="004E6412">
        <w:rPr>
          <w:sz w:val="22"/>
        </w:rPr>
        <w:t xml:space="preserve">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Problemi djelatnosti F42 su:</w:t>
      </w:r>
    </w:p>
    <w:p w:rsidR="001B41B0" w:rsidRPr="004E6412" w:rsidRDefault="001B41B0" w:rsidP="001B41B0">
      <w:pPr>
        <w:numPr>
          <w:ilvl w:val="1"/>
          <w:numId w:val="69"/>
        </w:numPr>
        <w:rPr>
          <w:sz w:val="22"/>
        </w:rPr>
      </w:pPr>
      <w:r w:rsidRPr="004E6412">
        <w:rPr>
          <w:sz w:val="22"/>
        </w:rPr>
        <w:t>Profitabilnost: manji ukupni prihodi od rashoda (0,89); negativna razlika dobiti i gubitka (-2.003.883.997); negativna ROA (-1,40%) i ROE (2,42</w:t>
      </w:r>
      <w:r w:rsidR="000C66E0" w:rsidRPr="004E6412">
        <w:rPr>
          <w:sz w:val="22"/>
        </w:rPr>
        <w:t>%) te negativna operativna marža</w:t>
      </w:r>
      <w:r w:rsidRPr="004E6412">
        <w:rPr>
          <w:sz w:val="22"/>
        </w:rPr>
        <w:t xml:space="preserve"> (-9,17%) s time da su svi pokazatelji profitabilnosti u opadanju.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0,63; koeficijent ubrzane likvidnosti 0,553; koeficijent trenutne likvidnosti je 0,11 što je malo više od donje granične vrijednosti.</w:t>
      </w:r>
    </w:p>
    <w:p w:rsidR="001B41B0" w:rsidRPr="004E6412" w:rsidRDefault="001B41B0" w:rsidP="001B41B0">
      <w:pPr>
        <w:numPr>
          <w:ilvl w:val="1"/>
          <w:numId w:val="69"/>
        </w:numPr>
        <w:rPr>
          <w:sz w:val="22"/>
        </w:rPr>
      </w:pPr>
      <w:r w:rsidRPr="004E6412">
        <w:rPr>
          <w:sz w:val="22"/>
        </w:rPr>
        <w:t xml:space="preserve">Proizvodnost kapitala je daleko najniža u industriji te iznosi </w:t>
      </w:r>
      <w:r w:rsidR="000C66E0" w:rsidRPr="004E6412">
        <w:rPr>
          <w:sz w:val="22"/>
        </w:rPr>
        <w:t>0,03 kuna.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 xml:space="preserve">41 Gradnja zgrada </w:t>
      </w:r>
      <w:r w:rsidR="001B41B0" w:rsidRPr="004E6412">
        <w:rPr>
          <w:rFonts w:ascii="Times New Roman" w:hAnsi="Times New Roman"/>
        </w:rPr>
        <w:t xml:space="preserve">bitna </w:t>
      </w:r>
      <w:r w:rsidRPr="004E6412">
        <w:rPr>
          <w:rFonts w:ascii="Times New Roman" w:hAnsi="Times New Roman"/>
        </w:rPr>
        <w:t xml:space="preserve">je </w:t>
      </w:r>
      <w:r w:rsidR="001B41B0" w:rsidRPr="004E6412">
        <w:rPr>
          <w:rFonts w:ascii="Times New Roman" w:hAnsi="Times New Roman"/>
        </w:rPr>
        <w:t>zbog velikog broja zaposlenih (31.160 osoba ili 38,99% cijele industrije). Međutim,</w:t>
      </w:r>
      <w:r w:rsidRPr="004E6412">
        <w:rPr>
          <w:rFonts w:ascii="Times New Roman" w:hAnsi="Times New Roman"/>
        </w:rPr>
        <w:t xml:space="preserve"> svi analizirani pokazatelji </w:t>
      </w:r>
      <w:r w:rsidR="001B41B0" w:rsidRPr="004E6412">
        <w:rPr>
          <w:rFonts w:ascii="Times New Roman" w:hAnsi="Times New Roman"/>
        </w:rPr>
        <w:t xml:space="preserve">izrazito </w:t>
      </w:r>
      <w:r w:rsidRPr="004E6412">
        <w:rPr>
          <w:rFonts w:ascii="Times New Roman" w:hAnsi="Times New Roman"/>
        </w:rPr>
        <w:t xml:space="preserve">su </w:t>
      </w:r>
      <w:r w:rsidR="001B41B0" w:rsidRPr="004E6412">
        <w:rPr>
          <w:rFonts w:ascii="Times New Roman" w:hAnsi="Times New Roman"/>
        </w:rPr>
        <w:t>loši:</w:t>
      </w:r>
    </w:p>
    <w:p w:rsidR="001B41B0" w:rsidRPr="004E6412" w:rsidRDefault="001B41B0" w:rsidP="001B41B0">
      <w:pPr>
        <w:numPr>
          <w:ilvl w:val="1"/>
          <w:numId w:val="69"/>
        </w:numPr>
        <w:rPr>
          <w:sz w:val="22"/>
        </w:rPr>
      </w:pPr>
      <w:r w:rsidRPr="004E6412">
        <w:rPr>
          <w:sz w:val="22"/>
        </w:rPr>
        <w:t>Profitabilnost: manji ukupni prihodi od rashoda (0,92); negativna razlika dobiti i gubitka (-1.653.089.557</w:t>
      </w:r>
      <w:r w:rsidR="001E6C16" w:rsidRPr="004E6412">
        <w:rPr>
          <w:sz w:val="22"/>
        </w:rPr>
        <w:t xml:space="preserve"> kuna</w:t>
      </w:r>
      <w:r w:rsidRPr="004E6412">
        <w:rPr>
          <w:sz w:val="22"/>
        </w:rPr>
        <w:t>); negativna ROA (-2,86%) i izrazito loša ROE (-38,53</w:t>
      </w:r>
      <w:r w:rsidR="0050349E" w:rsidRPr="004E6412">
        <w:rPr>
          <w:sz w:val="22"/>
        </w:rPr>
        <w:t>%) te negativna operativna marža</w:t>
      </w:r>
      <w:r w:rsidRPr="004E6412">
        <w:rPr>
          <w:sz w:val="22"/>
        </w:rPr>
        <w:t xml:space="preserve"> (-1,64%) s time da su svi pokazatelji profitabilnosti u opadanju.</w:t>
      </w:r>
    </w:p>
    <w:p w:rsidR="001B41B0" w:rsidRPr="004E6412" w:rsidRDefault="001B41B0" w:rsidP="001B41B0">
      <w:pPr>
        <w:numPr>
          <w:ilvl w:val="1"/>
          <w:numId w:val="69"/>
        </w:numPr>
        <w:rPr>
          <w:sz w:val="22"/>
        </w:rPr>
      </w:pPr>
      <w:r w:rsidRPr="004E6412">
        <w:rPr>
          <w:sz w:val="22"/>
        </w:rPr>
        <w:t>Zaduženost: znatno viša od prosjeka industrije (0,90), ali izrazito loš pokazatelj pokrića kamata (0,43) što je povezano s lošom profitabilnošću.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1,02; koeficijent ubrzane likvidnosti 0,453; koeficijent trenutne likvidnosti je 0,03.</w:t>
      </w:r>
    </w:p>
    <w:p w:rsidR="001B41B0" w:rsidRPr="004E6412" w:rsidRDefault="001B41B0" w:rsidP="001B41B0">
      <w:pPr>
        <w:numPr>
          <w:ilvl w:val="1"/>
          <w:numId w:val="69"/>
        </w:numPr>
        <w:rPr>
          <w:sz w:val="22"/>
        </w:rPr>
      </w:pPr>
      <w:r w:rsidRPr="004E6412">
        <w:rPr>
          <w:sz w:val="22"/>
        </w:rPr>
        <w:t>Proizvodnost: niska</w:t>
      </w:r>
      <w:r w:rsidR="00AB501A" w:rsidRPr="004E6412">
        <w:rPr>
          <w:sz w:val="22"/>
        </w:rPr>
        <w:t xml:space="preserve">; proizvodnost rada (107,154 </w:t>
      </w:r>
      <w:r w:rsidR="001E6C16" w:rsidRPr="004E6412">
        <w:rPr>
          <w:sz w:val="22"/>
        </w:rPr>
        <w:t>kune</w:t>
      </w:r>
      <w:r w:rsidRPr="004E6412">
        <w:rPr>
          <w:sz w:val="22"/>
        </w:rPr>
        <w:t xml:space="preserve">) i </w:t>
      </w:r>
      <w:r w:rsidR="00AB501A" w:rsidRPr="004E6412">
        <w:rPr>
          <w:sz w:val="22"/>
        </w:rPr>
        <w:t>pr</w:t>
      </w:r>
      <w:r w:rsidR="001E6C16" w:rsidRPr="004E6412">
        <w:rPr>
          <w:sz w:val="22"/>
        </w:rPr>
        <w:t>oizvodnost  kapitala (0,14 kuna</w:t>
      </w:r>
      <w:r w:rsidR="0050349E" w:rsidRPr="004E6412">
        <w:rPr>
          <w:sz w:val="22"/>
        </w:rPr>
        <w:t>).</w:t>
      </w:r>
    </w:p>
    <w:p w:rsidR="001B41B0" w:rsidRPr="004E6412" w:rsidRDefault="001B41B0" w:rsidP="001B41B0">
      <w:pPr>
        <w:numPr>
          <w:ilvl w:val="1"/>
          <w:numId w:val="69"/>
        </w:numPr>
        <w:rPr>
          <w:sz w:val="22"/>
        </w:rPr>
      </w:pPr>
      <w:r w:rsidRPr="004E6412">
        <w:rPr>
          <w:sz w:val="22"/>
        </w:rPr>
        <w:t>Bruto dodana vrijednost: ima manji udio u bruto dodanoj vrijednosti (35,39%) od udjela u broju zaposlenih (38,99%).</w:t>
      </w:r>
    </w:p>
    <w:p w:rsidR="001B41B0" w:rsidRPr="004E6412" w:rsidRDefault="001B41B0" w:rsidP="001B41B0">
      <w:pPr>
        <w:numPr>
          <w:ilvl w:val="1"/>
          <w:numId w:val="69"/>
        </w:numPr>
        <w:rPr>
          <w:sz w:val="22"/>
        </w:rPr>
      </w:pPr>
      <w:r w:rsidRPr="004E6412">
        <w:rPr>
          <w:sz w:val="22"/>
        </w:rPr>
        <w:t>Međunarodna razmjena: pokazatelji se poboljšavaju; nema komparativnih prednosti jer je indeks relativne komparativne prednosti -0,357; odnos uvoza i izvoza 0,75, saldo trgovinske bilance djelatnosti (-104.777.86</w:t>
      </w:r>
      <w:r w:rsidR="0050349E" w:rsidRPr="004E6412">
        <w:rPr>
          <w:sz w:val="22"/>
        </w:rPr>
        <w:t xml:space="preserve"> </w:t>
      </w:r>
      <w:r w:rsidR="001E6C16" w:rsidRPr="004E6412">
        <w:rPr>
          <w:sz w:val="22"/>
        </w:rPr>
        <w:t>kuna</w:t>
      </w:r>
      <w:r w:rsidRPr="004E6412">
        <w:rPr>
          <w:sz w:val="22"/>
        </w:rPr>
        <w:t>); udio izvoza u ukupnim prihodima djelatnosti raste (1,77%).</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 xml:space="preserve">Obilježja građevinske industrije u Hrvatskoj, kao i u svijetu, su visoka osjetljivost na ekonomske trendove, osobito poremećaje te, u području niskogradnje, oslonjenost na državne investicije. Otvaranjem inozemnim izravnim ulaganjima došlo je do porasta građevinske aktivnosti čiji je udio u BDP-u prije ekonomske krize bio iznimno visok. </w:t>
      </w:r>
    </w:p>
    <w:p w:rsidR="001B41B0" w:rsidRPr="004E6412" w:rsidRDefault="001B41B0" w:rsidP="001B41B0">
      <w:pPr>
        <w:rPr>
          <w:bCs/>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Početkom gos</w:t>
      </w:r>
      <w:r w:rsidR="0050349E" w:rsidRPr="004E6412">
        <w:rPr>
          <w:rFonts w:ascii="Times New Roman" w:hAnsi="Times New Roman"/>
          <w:bCs/>
        </w:rPr>
        <w:t>podarske krize dogodio se velik</w:t>
      </w:r>
      <w:r w:rsidRPr="004E6412">
        <w:rPr>
          <w:rFonts w:ascii="Times New Roman" w:hAnsi="Times New Roman"/>
          <w:bCs/>
        </w:rPr>
        <w:t xml:space="preserve"> pad građevinske aktivnosti. Zbog sloma tržišta nekretninama, pada inozemnih izravnih ulaganja te usporavanja i zaustavljanja državnih ulaganja u infrastrukturu prepolovili su se i prihodi građevinske industrije kao i broj zaposlenih.</w:t>
      </w:r>
    </w:p>
    <w:p w:rsidR="001B41B0" w:rsidRPr="004E6412" w:rsidRDefault="001B41B0" w:rsidP="00D001B9">
      <w:pPr>
        <w:pStyle w:val="Heading3"/>
        <w:rPr>
          <w:rFonts w:eastAsia="Calibri"/>
        </w:rPr>
        <w:sectPr w:rsidR="001B41B0" w:rsidRPr="004E6412" w:rsidSect="00894355">
          <w:pgSz w:w="11906" w:h="16838"/>
          <w:pgMar w:top="1417" w:right="1417" w:bottom="1417" w:left="1417" w:header="708" w:footer="708" w:gutter="0"/>
          <w:cols w:space="708"/>
          <w:docGrid w:linePitch="360"/>
        </w:sectPr>
      </w:pPr>
    </w:p>
    <w:p w:rsidR="001B41B0" w:rsidRPr="004E6412" w:rsidRDefault="001B41B0" w:rsidP="00D001B9">
      <w:pPr>
        <w:pStyle w:val="Heading3"/>
        <w:rPr>
          <w:rFonts w:eastAsia="Calibri"/>
        </w:rPr>
      </w:pPr>
      <w:bookmarkStart w:id="1046" w:name="_Toc372088086"/>
      <w:bookmarkStart w:id="1047" w:name="_Toc378069147"/>
      <w:r w:rsidRPr="004E6412">
        <w:rPr>
          <w:rFonts w:eastAsia="Calibri"/>
        </w:rPr>
        <w:lastRenderedPageBreak/>
        <w:t>Zaključni prikaz pokazatelja</w:t>
      </w:r>
      <w:bookmarkEnd w:id="1046"/>
      <w:bookmarkEnd w:id="1047"/>
      <w:r w:rsidRPr="004E6412">
        <w:rPr>
          <w:rFonts w:eastAsia="Calibri"/>
        </w:rPr>
        <w:t xml:space="preserve"> </w:t>
      </w:r>
    </w:p>
    <w:p w:rsidR="001B41B0" w:rsidRPr="004E6412" w:rsidRDefault="001B41B0" w:rsidP="001B41B0">
      <w:pPr>
        <w:spacing w:line="240" w:lineRule="auto"/>
        <w:jc w:val="center"/>
        <w:rPr>
          <w:b/>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48" w:name="_Toc372088181"/>
      <w:bookmarkStart w:id="1049" w:name="_Toc377551118"/>
      <w:bookmarkStart w:id="1050" w:name="_Toc377635307"/>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Kvantitativni pokazatelji (F)</w:t>
      </w:r>
      <w:bookmarkEnd w:id="1048"/>
      <w:bookmarkEnd w:id="1049"/>
      <w:bookmarkEnd w:id="10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270"/>
        <w:gridCol w:w="2548"/>
        <w:gridCol w:w="2631"/>
      </w:tblGrid>
      <w:tr w:rsidR="001B41B0" w:rsidRPr="004E6412" w:rsidTr="0097195F">
        <w:trPr>
          <w:trHeight w:val="20"/>
        </w:trPr>
        <w:tc>
          <w:tcPr>
            <w:tcW w:w="2381" w:type="pct"/>
            <w:shd w:val="pct15" w:color="auto" w:fill="auto"/>
            <w:vAlign w:val="center"/>
          </w:tcPr>
          <w:p w:rsidR="001B41B0" w:rsidRPr="004E6412" w:rsidRDefault="001B41B0" w:rsidP="0097195F">
            <w:pPr>
              <w:spacing w:line="240" w:lineRule="auto"/>
              <w:jc w:val="center"/>
              <w:rPr>
                <w:rFonts w:eastAsia="Times New Roman"/>
                <w:b/>
                <w:sz w:val="22"/>
                <w:lang w:eastAsia="hr-HR"/>
              </w:rPr>
            </w:pPr>
            <w:r w:rsidRPr="004E6412">
              <w:rPr>
                <w:rFonts w:eastAsia="Times New Roman"/>
                <w:b/>
                <w:sz w:val="22"/>
                <w:lang w:eastAsia="hr-HR"/>
              </w:rPr>
              <w:t>Pokazatelj</w:t>
            </w:r>
          </w:p>
        </w:tc>
        <w:tc>
          <w:tcPr>
            <w:tcW w:w="798"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2010.</w:t>
            </w:r>
          </w:p>
        </w:tc>
        <w:tc>
          <w:tcPr>
            <w:tcW w:w="896"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2012.</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Verižni indeksi fizičkog obujma građevinskih radova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84,20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91,50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88,90</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Broj zaposlenih prema satima rada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90.842</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84.393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79.926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49.156.073.349</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45.131.221.674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42.130.395.240</w:t>
            </w:r>
          </w:p>
        </w:tc>
      </w:tr>
      <w:tr w:rsidR="00CF2BA4" w:rsidRPr="004E6412" w:rsidTr="00CF2BA4">
        <w:trPr>
          <w:trHeight w:val="20"/>
        </w:trPr>
        <w:tc>
          <w:tcPr>
            <w:tcW w:w="2381" w:type="pct"/>
            <w:shd w:val="clear" w:color="auto" w:fill="auto"/>
            <w:vAlign w:val="center"/>
          </w:tcPr>
          <w:p w:rsidR="00CF2BA4" w:rsidRPr="004E6412" w:rsidRDefault="00CF2BA4" w:rsidP="0097195F">
            <w:pPr>
              <w:spacing w:line="240" w:lineRule="auto"/>
              <w:jc w:val="left"/>
              <w:rPr>
                <w:rFonts w:eastAsia="Times New Roman"/>
                <w:b/>
                <w:sz w:val="22"/>
                <w:lang w:eastAsia="hr-HR"/>
              </w:rPr>
            </w:pPr>
            <w:r w:rsidRPr="004E6412">
              <w:rPr>
                <w:rFonts w:eastAsia="Times New Roman"/>
                <w:b/>
                <w:sz w:val="22"/>
                <w:lang w:eastAsia="hr-HR"/>
              </w:rPr>
              <w:t>EBITDA (HRK)</w:t>
            </w:r>
          </w:p>
        </w:tc>
        <w:tc>
          <w:tcPr>
            <w:tcW w:w="798"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3.876.846.143</w:t>
            </w:r>
          </w:p>
        </w:tc>
        <w:tc>
          <w:tcPr>
            <w:tcW w:w="896"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3.018.691.801</w:t>
            </w:r>
          </w:p>
        </w:tc>
        <w:tc>
          <w:tcPr>
            <w:tcW w:w="925"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1.254.602.119</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Operativna marža profita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2,10%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-3,46%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541.116</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534.774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527.118</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Bruto dodana vrijednost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13.753.543.632</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11.623.671.047</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9.435.312.455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Dobitak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21.334</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17.550</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20.636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Gubitak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34.196</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45.798</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65.626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Odnos izvoza i uvoza</w:t>
            </w:r>
          </w:p>
        </w:tc>
        <w:tc>
          <w:tcPr>
            <w:tcW w:w="798" w:type="pct"/>
            <w:shd w:val="clear" w:color="auto" w:fill="auto"/>
            <w:noWrap/>
            <w:vAlign w:val="bottom"/>
          </w:tcPr>
          <w:p w:rsidR="001B41B0" w:rsidRPr="004E6412" w:rsidRDefault="001B41B0" w:rsidP="0097195F">
            <w:pPr>
              <w:spacing w:line="240" w:lineRule="auto"/>
              <w:jc w:val="right"/>
              <w:rPr>
                <w:sz w:val="22"/>
              </w:rPr>
            </w:pPr>
            <w:r w:rsidRPr="004E6412">
              <w:rPr>
                <w:sz w:val="22"/>
              </w:rPr>
              <w:t>0,95</w:t>
            </w:r>
          </w:p>
        </w:tc>
        <w:tc>
          <w:tcPr>
            <w:tcW w:w="896" w:type="pct"/>
            <w:shd w:val="clear" w:color="auto" w:fill="auto"/>
            <w:noWrap/>
            <w:vAlign w:val="bottom"/>
          </w:tcPr>
          <w:p w:rsidR="001B41B0" w:rsidRPr="004E6412" w:rsidRDefault="001B41B0" w:rsidP="0097195F">
            <w:pPr>
              <w:spacing w:line="240" w:lineRule="auto"/>
              <w:jc w:val="right"/>
              <w:rPr>
                <w:sz w:val="22"/>
              </w:rPr>
            </w:pPr>
            <w:r w:rsidRPr="004E6412">
              <w:rPr>
                <w:sz w:val="22"/>
              </w:rPr>
              <w:t>0,91</w:t>
            </w:r>
          </w:p>
        </w:tc>
        <w:tc>
          <w:tcPr>
            <w:tcW w:w="925" w:type="pct"/>
            <w:shd w:val="clear" w:color="auto" w:fill="auto"/>
            <w:noWrap/>
            <w:vAlign w:val="bottom"/>
          </w:tcPr>
          <w:p w:rsidR="001B41B0" w:rsidRPr="004E6412" w:rsidRDefault="001B41B0" w:rsidP="0097195F">
            <w:pPr>
              <w:spacing w:line="240" w:lineRule="auto"/>
              <w:jc w:val="right"/>
              <w:rPr>
                <w:sz w:val="22"/>
              </w:rPr>
            </w:pPr>
            <w:r w:rsidRPr="004E6412">
              <w:rPr>
                <w:sz w:val="22"/>
              </w:rPr>
              <w:t>1,35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Trgovinska bilanca (HRK)</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-140.076.049</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-159.197.895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288.503.214</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izvoza u ukupnom prihodu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2,61%</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2,75%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RCA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-0,093</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-0,107</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0,287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BDV</w:t>
            </w:r>
            <w:r w:rsidR="0050349E" w:rsidRPr="004E6412">
              <w:rPr>
                <w:rFonts w:eastAsia="Times New Roman"/>
                <w:b/>
                <w:sz w:val="22"/>
                <w:lang w:eastAsia="hr-HR"/>
              </w:rPr>
              <w:t>-a</w:t>
            </w:r>
            <w:r w:rsidRPr="004E6412">
              <w:rPr>
                <w:rFonts w:eastAsia="Times New Roman"/>
                <w:b/>
                <w:sz w:val="22"/>
                <w:lang w:eastAsia="hr-HR"/>
              </w:rPr>
              <w:t xml:space="preserve"> </w:t>
            </w:r>
            <w:r w:rsidR="0050349E" w:rsidRPr="004E6412">
              <w:rPr>
                <w:rFonts w:eastAsia="Times New Roman"/>
                <w:b/>
                <w:sz w:val="22"/>
                <w:lang w:eastAsia="hr-HR"/>
              </w:rPr>
              <w:t xml:space="preserve">građevinarstva u ukupnoj BDV-u </w:t>
            </w:r>
            <w:r w:rsidRPr="004E6412">
              <w:rPr>
                <w:rFonts w:eastAsia="Times New Roman"/>
                <w:b/>
                <w:sz w:val="22"/>
                <w:lang w:eastAsia="hr-HR"/>
              </w:rPr>
              <w:t>gospodarstva</w:t>
            </w:r>
            <w:r w:rsidRPr="004E6412">
              <w:rPr>
                <w:rStyle w:val="FootnoteReference"/>
                <w:rFonts w:eastAsia="Times New Roman"/>
                <w:b/>
                <w:sz w:val="22"/>
                <w:lang w:eastAsia="hr-HR"/>
              </w:rPr>
              <w:footnoteReference w:id="12"/>
            </w:r>
            <w:r w:rsidRPr="004E6412">
              <w:rPr>
                <w:rFonts w:eastAsia="Times New Roman"/>
                <w:b/>
                <w:sz w:val="22"/>
                <w:lang w:eastAsia="hr-HR"/>
              </w:rPr>
              <w:t xml:space="preserve"> (%)</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6,15%</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5,17%</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4,25%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Grubell-Lloydov indeks</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0,948</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0,886</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rada (HRK)</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151.401</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137.733</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118.051</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kapitala</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0,09</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0,08</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Jedinični trošak rada (HRK)</w:t>
            </w:r>
          </w:p>
        </w:tc>
        <w:tc>
          <w:tcPr>
            <w:tcW w:w="798"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0,53</w:t>
            </w:r>
          </w:p>
        </w:tc>
        <w:tc>
          <w:tcPr>
            <w:tcW w:w="896"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0,57</w:t>
            </w:r>
          </w:p>
        </w:tc>
        <w:tc>
          <w:tcPr>
            <w:tcW w:w="925"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0,67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Koeficijent zaduženosti</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0,56</w:t>
            </w:r>
          </w:p>
        </w:tc>
      </w:tr>
    </w:tbl>
    <w:p w:rsidR="001B41B0" w:rsidRPr="004E6412" w:rsidRDefault="001B41B0" w:rsidP="001B41B0">
      <w:pPr>
        <w:spacing w:line="240" w:lineRule="auto"/>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225B53" w:rsidRPr="007D0CFD" w:rsidRDefault="00225B53" w:rsidP="007D0CFD">
      <w:pPr>
        <w:pStyle w:val="Heading5"/>
        <w:rPr>
          <w:rStyle w:val="IntenseEmphasis"/>
          <w:b/>
          <w:bCs w:val="0"/>
          <w:iCs w:val="0"/>
          <w:color w:val="548DD4" w:themeColor="text2" w:themeTint="99"/>
          <w:sz w:val="20"/>
        </w:rPr>
      </w:pPr>
      <w:bookmarkStart w:id="1051" w:name="_Toc372088182"/>
      <w:bookmarkStart w:id="1052" w:name="_Toc377551119"/>
    </w:p>
    <w:p w:rsidR="001B41B0" w:rsidRPr="007D0CFD" w:rsidRDefault="001B41B0" w:rsidP="007D0CFD">
      <w:pPr>
        <w:pStyle w:val="Heading5"/>
        <w:rPr>
          <w:rStyle w:val="IntenseEmphasis"/>
          <w:rFonts w:eastAsia="Calibri"/>
          <w:b/>
          <w:bCs w:val="0"/>
          <w:iCs w:val="0"/>
          <w:color w:val="548DD4" w:themeColor="text2" w:themeTint="99"/>
          <w:sz w:val="20"/>
        </w:rPr>
      </w:pPr>
      <w:bookmarkStart w:id="1053" w:name="_Toc377635308"/>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Kvalitativni pokazatelji (F)</w:t>
      </w:r>
      <w:bookmarkEnd w:id="1051"/>
      <w:bookmarkEnd w:id="1052"/>
      <w:bookmarkEnd w:id="10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8845"/>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Čimbenici razvoja industrije</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0349E"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Dostupni</w:t>
            </w:r>
            <w:r w:rsidR="0050349E" w:rsidRPr="004E6412">
              <w:rPr>
                <w:sz w:val="22"/>
              </w:rPr>
              <w:t xml:space="preserve"> i kvalitetni proizvodni čimbenici</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uglavnom o investicijskim dobrima (nekretnine i infrastruktura).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 skladu s potrebama.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Najveći problem javna nabava, a zatim i zakonska ograničenja pri poslovanju u inozemstvu (radne dozvole, osnivanje podružnica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niska koncentracija po djelatnostima. Najveću koncentraciju, i prema ukupnim prihodima i prema zaposlenima, ima djelatnost gradnje građevina niskogradnje. U navedenoj djelatnosti 72 poduzeća ostvaruju 80% prihoda djelatnost</w:t>
            </w:r>
            <w:r w:rsidR="0050349E" w:rsidRPr="004E6412">
              <w:rPr>
                <w:sz w:val="22"/>
              </w:rPr>
              <w:t>i, dok</w:t>
            </w:r>
            <w:r w:rsidRPr="004E6412">
              <w:rPr>
                <w:sz w:val="22"/>
              </w:rPr>
              <w:t xml:space="preserve"> 100 poduzeća zapošljava 77% ukupno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Izvoz moguće ostvariti uglavnom na prostorno manje udaljena tržišta.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moguć. Potencijal zapošljavanja je nizak budući da se na inozemnim tržištima ne može lako zaposliti vlastita radna snaga, a trenutno tvrtke zbog manjka poslovne aktivnosti na domaćem tržištu imaju i višak radne snage. Najveći potencijal iskazuje poddjelatnost F43.2 Elektroinstalacijski radovi, uvođenje inst</w:t>
            </w:r>
            <w:r w:rsidR="0050349E" w:rsidRPr="004E6412">
              <w:rPr>
                <w:sz w:val="22"/>
              </w:rPr>
              <w:t>alacija vodovoda, kanalizacije te</w:t>
            </w:r>
            <w:r w:rsidRPr="004E6412">
              <w:rPr>
                <w:sz w:val="22"/>
              </w:rPr>
              <w:t xml:space="preserve"> plina i instalacija za grijanje i klimatizaciju, dok najveće gubitke ostvaruju poddjelatnosti F42.2 Gradnja cjevovoda, vodova za električnu struju i telekomunikacije, F42.1 Gradnja cesta i željezničkih pruga, F41.2 Gradnja stambenih i nestambenih zgrada, F41.1 Organizacija izvedbe projekata zgrade, F43.3 Završni građevinski radovi, F43.9 Ostale specijalizirane građevinske djelatnosti, F43.1 Uklanjanje građevina i pripremni radovi na gradilištu te F42.9 Gradnja ostalih građevina niskogradnje.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line="240" w:lineRule="auto"/>
        <w:jc w:val="left"/>
        <w:rPr>
          <w:sz w:val="22"/>
        </w:rPr>
      </w:pPr>
    </w:p>
    <w:p w:rsidR="001B41B0" w:rsidRPr="004E6412" w:rsidRDefault="001B41B0" w:rsidP="001B41B0">
      <w:p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rPr>
      </w:pPr>
      <w:bookmarkStart w:id="1054" w:name="_Toc378069148"/>
      <w:r w:rsidRPr="004E6412">
        <w:rPr>
          <w:rFonts w:ascii="Times New Roman" w:hAnsi="Times New Roman"/>
        </w:rPr>
        <w:lastRenderedPageBreak/>
        <w:t>J Informacije i komunikacije</w:t>
      </w:r>
      <w:bookmarkEnd w:id="1025"/>
      <w:bookmarkEnd w:id="1026"/>
      <w:bookmarkEnd w:id="1027"/>
      <w:bookmarkEnd w:id="1054"/>
    </w:p>
    <w:p w:rsidR="001B41B0" w:rsidRPr="004E6412" w:rsidRDefault="001B41B0" w:rsidP="001B41B0">
      <w:pPr>
        <w:rPr>
          <w:lang w:eastAsia="hr-HR"/>
        </w:rPr>
      </w:pPr>
    </w:p>
    <w:p w:rsidR="001B41B0" w:rsidRPr="004E6412" w:rsidRDefault="001B41B0" w:rsidP="001B41B0">
      <w:pPr>
        <w:rPr>
          <w:sz w:val="22"/>
        </w:rPr>
      </w:pPr>
      <w:r w:rsidRPr="004E6412">
        <w:rPr>
          <w:sz w:val="22"/>
        </w:rPr>
        <w:t>Industrija informacija i komunikacija (J) obuhvaća:</w:t>
      </w:r>
      <w:r w:rsidR="0050349E" w:rsidRPr="004E6412">
        <w:rPr>
          <w:sz w:val="22"/>
        </w:rPr>
        <w:t xml:space="preserve"> </w:t>
      </w:r>
      <w:r w:rsidRPr="004E6412">
        <w:rPr>
          <w:sz w:val="22"/>
        </w:rPr>
        <w:t xml:space="preserve">izdavačke djelatnosti (J58), </w:t>
      </w:r>
      <w:r w:rsidRPr="004E6412">
        <w:rPr>
          <w:bCs/>
          <w:sz w:val="22"/>
        </w:rPr>
        <w:t>proizvodnju filmova, videofilmova i televizijskog programa, djelatnosti snimanja zvučnih zapisa i izdavanja glazbenih zapisa (J59)</w:t>
      </w:r>
      <w:r w:rsidRPr="004E6412">
        <w:rPr>
          <w:sz w:val="22"/>
        </w:rPr>
        <w:t xml:space="preserve">, emitiranje programa (J60), telekomunikacije (J61), </w:t>
      </w:r>
      <w:r w:rsidRPr="004E6412">
        <w:rPr>
          <w:bCs/>
          <w:sz w:val="22"/>
        </w:rPr>
        <w:t>računalno programiranje, savjetovanje i djelatnosti povezane s njima (J62)</w:t>
      </w:r>
      <w:r w:rsidRPr="004E6412">
        <w:rPr>
          <w:sz w:val="22"/>
        </w:rPr>
        <w:t xml:space="preserve"> i informacijske uslužne djelatnosti.</w:t>
      </w:r>
    </w:p>
    <w:p w:rsidR="001B41B0" w:rsidRPr="004E6412" w:rsidRDefault="001B41B0" w:rsidP="001B41B0"/>
    <w:p w:rsidR="001B41B0" w:rsidRPr="004E6412" w:rsidRDefault="001B41B0" w:rsidP="00D001B9">
      <w:pPr>
        <w:pStyle w:val="Heading3"/>
      </w:pPr>
      <w:bookmarkStart w:id="1055" w:name="_Toc365992575"/>
      <w:bookmarkStart w:id="1056" w:name="_Toc366154340"/>
      <w:bookmarkStart w:id="1057" w:name="_Toc366154461"/>
      <w:bookmarkStart w:id="1058" w:name="_Toc366410008"/>
      <w:bookmarkStart w:id="1059" w:name="_Toc372088087"/>
      <w:bookmarkStart w:id="1060" w:name="_Toc378069149"/>
      <w:r w:rsidRPr="004E6412">
        <w:t>Globalni trendovi razvoja</w:t>
      </w:r>
      <w:bookmarkEnd w:id="1055"/>
      <w:bookmarkEnd w:id="1056"/>
      <w:bookmarkEnd w:id="1057"/>
      <w:bookmarkEnd w:id="1058"/>
      <w:bookmarkEnd w:id="1059"/>
      <w:bookmarkEnd w:id="1060"/>
    </w:p>
    <w:p w:rsidR="001B41B0" w:rsidRPr="004E6412" w:rsidRDefault="001E6C16" w:rsidP="001B41B0">
      <w:pPr>
        <w:pStyle w:val="ListParagraph"/>
        <w:numPr>
          <w:ilvl w:val="0"/>
          <w:numId w:val="64"/>
        </w:numPr>
        <w:spacing w:after="0"/>
        <w:jc w:val="both"/>
        <w:rPr>
          <w:rFonts w:ascii="Times New Roman" w:hAnsi="Times New Roman"/>
        </w:rPr>
      </w:pPr>
      <w:r w:rsidRPr="004E6412">
        <w:rPr>
          <w:rFonts w:ascii="Times New Roman" w:hAnsi="Times New Roman"/>
        </w:rPr>
        <w:t>Obilježja</w:t>
      </w:r>
      <w:r w:rsidR="001B41B0" w:rsidRPr="004E6412">
        <w:rPr>
          <w:rFonts w:ascii="Times New Roman" w:hAnsi="Times New Roman"/>
        </w:rPr>
        <w:t xml:space="preserve"> ICT industrije su visoka inovati</w:t>
      </w:r>
      <w:r w:rsidR="0050349E" w:rsidRPr="004E6412">
        <w:rPr>
          <w:rFonts w:ascii="Times New Roman" w:hAnsi="Times New Roman"/>
        </w:rPr>
        <w:t>vnost i ovisnost o stalnom</w:t>
      </w:r>
      <w:r w:rsidR="001B41B0" w:rsidRPr="004E6412">
        <w:rPr>
          <w:rFonts w:ascii="Times New Roman" w:hAnsi="Times New Roman"/>
        </w:rPr>
        <w:t xml:space="preserve"> tehnološkom napretku. Ona je također izvor dramatičnih promjena u poslovnoj praksi drugih industrijskih djelatnosti; od potrošača i poduzeća danas se očekuje trenutna međusobna komunikacija. IT industrija bila je i izvor velikih povećanja produktivnosti u posljednjim desetljećima. Proces konvergencije između IT i telefonije odvija se već nek</w:t>
      </w:r>
      <w:r w:rsidR="004F14D7" w:rsidRPr="004E6412">
        <w:rPr>
          <w:rFonts w:ascii="Times New Roman" w:hAnsi="Times New Roman"/>
        </w:rPr>
        <w:t>o vrijeme, vođen pretvorbom</w:t>
      </w:r>
      <w:r w:rsidR="001B41B0" w:rsidRPr="004E6412">
        <w:rPr>
          <w:rFonts w:ascii="Times New Roman" w:hAnsi="Times New Roman"/>
        </w:rPr>
        <w:t xml:space="preserve"> prij</w:t>
      </w:r>
      <w:r w:rsidR="0050349E" w:rsidRPr="004E6412">
        <w:rPr>
          <w:rFonts w:ascii="Times New Roman" w:hAnsi="Times New Roman"/>
        </w:rPr>
        <w:t>enosa glasa s analognog signala</w:t>
      </w:r>
      <w:r w:rsidR="001B41B0" w:rsidRPr="004E6412">
        <w:rPr>
          <w:rFonts w:ascii="Times New Roman" w:hAnsi="Times New Roman"/>
        </w:rPr>
        <w:t xml:space="preserve"> na digitalni paket, ne razlikujući ga od ostalih paketa podataka koji putuju računalnom mrežom.</w:t>
      </w:r>
    </w:p>
    <w:p w:rsidR="001B41B0" w:rsidRPr="004E6412" w:rsidRDefault="001B41B0" w:rsidP="001B41B0">
      <w:pPr>
        <w:rPr>
          <w:sz w:val="22"/>
        </w:rPr>
      </w:pPr>
    </w:p>
    <w:p w:rsidR="001B41B0" w:rsidRPr="004E6412" w:rsidRDefault="0050349E" w:rsidP="001B41B0">
      <w:pPr>
        <w:pStyle w:val="ListParagraph"/>
        <w:numPr>
          <w:ilvl w:val="0"/>
          <w:numId w:val="64"/>
        </w:numPr>
        <w:spacing w:after="0"/>
        <w:jc w:val="both"/>
        <w:rPr>
          <w:rFonts w:ascii="Times New Roman" w:hAnsi="Times New Roman"/>
        </w:rPr>
      </w:pPr>
      <w:r w:rsidRPr="004E6412">
        <w:rPr>
          <w:rFonts w:ascii="Times New Roman" w:hAnsi="Times New Roman"/>
        </w:rPr>
        <w:t xml:space="preserve">U 2013. </w:t>
      </w:r>
      <w:r w:rsidR="001B41B0" w:rsidRPr="004E6412">
        <w:rPr>
          <w:rFonts w:ascii="Times New Roman" w:hAnsi="Times New Roman"/>
        </w:rPr>
        <w:t>41% svjetskog stanovništva bilo je priključeno na Internet. Polovica od njih bila je u zemljama u r</w:t>
      </w:r>
      <w:r w:rsidRPr="004E6412">
        <w:rPr>
          <w:rFonts w:ascii="Times New Roman" w:hAnsi="Times New Roman"/>
        </w:rPr>
        <w:t>azvoju gdje je stopa ulaza</w:t>
      </w:r>
      <w:r w:rsidR="001B41B0" w:rsidRPr="004E6412">
        <w:rPr>
          <w:rFonts w:ascii="Times New Roman" w:hAnsi="Times New Roman"/>
        </w:rPr>
        <w:t xml:space="preserve"> Interneta u kućanstvu dosegla 28%. U razvijenom svijetu, 78% kućanstava spojeno je na Internet. Od 1,1 milijarde stanovnika koji nisu priključeni na Internet, 90% njih nalazi se u zemljama u razvoju. Europa i Afrika su regije s najvišo</w:t>
      </w:r>
      <w:r w:rsidR="00796EEA" w:rsidRPr="004E6412">
        <w:rPr>
          <w:rFonts w:ascii="Times New Roman" w:hAnsi="Times New Roman"/>
        </w:rPr>
        <w:t>m i najnižom razinom prodora</w:t>
      </w:r>
      <w:r w:rsidR="001B41B0" w:rsidRPr="004E6412">
        <w:rPr>
          <w:rFonts w:ascii="Times New Roman" w:hAnsi="Times New Roman"/>
        </w:rPr>
        <w:t xml:space="preserve"> Interneta u kućanstvima: 77%  Europa i 7% Afrika. </w:t>
      </w:r>
    </w:p>
    <w:p w:rsidR="001B41B0" w:rsidRPr="004E6412" w:rsidRDefault="001B41B0" w:rsidP="001B41B0"/>
    <w:p w:rsidR="001B41B0" w:rsidRPr="004E6412" w:rsidRDefault="001B41B0" w:rsidP="00D001B9">
      <w:pPr>
        <w:pStyle w:val="Heading3"/>
      </w:pPr>
      <w:bookmarkStart w:id="1061" w:name="_Toc365992576"/>
      <w:bookmarkStart w:id="1062" w:name="_Toc366154341"/>
      <w:bookmarkStart w:id="1063" w:name="_Toc366154462"/>
      <w:bookmarkStart w:id="1064" w:name="_Toc366410009"/>
      <w:bookmarkStart w:id="1065" w:name="_Toc372088088"/>
      <w:bookmarkStart w:id="1066" w:name="_Toc378069150"/>
      <w:r w:rsidRPr="004E6412">
        <w:t>Trendovi razvoja u Europskoj uniji</w:t>
      </w:r>
      <w:bookmarkEnd w:id="1061"/>
      <w:bookmarkEnd w:id="1062"/>
      <w:bookmarkEnd w:id="1063"/>
      <w:bookmarkEnd w:id="1064"/>
      <w:bookmarkEnd w:id="1065"/>
      <w:bookmarkEnd w:id="1066"/>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Unutar promatrane industri</w:t>
      </w:r>
      <w:r w:rsidR="002A2A71" w:rsidRPr="004E6412">
        <w:rPr>
          <w:rFonts w:ascii="Times New Roman" w:hAnsi="Times New Roman"/>
        </w:rPr>
        <w:t>je J u EU27 u 2010. poslovale su</w:t>
      </w:r>
      <w:r w:rsidRPr="004E6412">
        <w:rPr>
          <w:rFonts w:ascii="Times New Roman" w:hAnsi="Times New Roman"/>
        </w:rPr>
        <w:t xml:space="preserve"> 873.000 tvrtki, industrija je zapošljavala 5,8 milijuna zaposlenika te je generirala 487,9 milijardi dodane vrijednosti. </w:t>
      </w:r>
    </w:p>
    <w:p w:rsidR="001B41B0" w:rsidRPr="004E6412" w:rsidRDefault="001B41B0" w:rsidP="001B41B0">
      <w:pPr>
        <w:pStyle w:val="ListParagraph"/>
        <w:spacing w:after="0"/>
        <w:jc w:val="both"/>
        <w:rPr>
          <w:rFonts w:ascii="Times New Roman" w:hAnsi="Times New Roman"/>
        </w:rPr>
      </w:pPr>
    </w:p>
    <w:p w:rsidR="001B41B0" w:rsidRPr="004E6412" w:rsidRDefault="00B10FBF" w:rsidP="001B41B0">
      <w:pPr>
        <w:pStyle w:val="ListParagraph"/>
        <w:numPr>
          <w:ilvl w:val="0"/>
          <w:numId w:val="65"/>
        </w:numPr>
        <w:spacing w:after="0"/>
        <w:jc w:val="both"/>
        <w:rPr>
          <w:rFonts w:ascii="Times New Roman" w:hAnsi="Times New Roman"/>
          <w:bCs/>
        </w:rPr>
      </w:pPr>
      <w:r w:rsidRPr="004E6412">
        <w:rPr>
          <w:rFonts w:ascii="Times New Roman" w:hAnsi="Times New Roman"/>
        </w:rPr>
        <w:t>Dvije od šest djelatnosti prevladavale</w:t>
      </w:r>
      <w:r w:rsidR="001B41B0" w:rsidRPr="004E6412">
        <w:rPr>
          <w:rFonts w:ascii="Times New Roman" w:hAnsi="Times New Roman"/>
        </w:rPr>
        <w:t xml:space="preserve"> su ICT industrijom unutar EU27: </w:t>
      </w:r>
      <w:r w:rsidR="001B41B0" w:rsidRPr="004E6412">
        <w:rPr>
          <w:rFonts w:ascii="Times New Roman" w:hAnsi="Times New Roman"/>
          <w:bCs/>
        </w:rPr>
        <w:t xml:space="preserve">računalno programiranje, savjetovanje i djelatnosti povezane s njima (J 62) i telekomunikacije (J 61). Ove dvije djelatnosti generirale su blizu tri četvrtine dodane vrijednosti industrije te su zapošljavale skoro dvije trećine ukupnog broja zaposlenih u industriji. Treća najveća djelatnost bile su izdavačke djelatnosti. </w:t>
      </w:r>
    </w:p>
    <w:p w:rsidR="001B41B0" w:rsidRPr="004E6412" w:rsidRDefault="001B41B0" w:rsidP="001B41B0">
      <w:pPr>
        <w:rPr>
          <w:bCs/>
          <w:sz w:val="22"/>
        </w:rPr>
      </w:pPr>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Među članicama EU</w:t>
      </w:r>
      <w:r w:rsidR="004E22CA" w:rsidRPr="004E6412">
        <w:rPr>
          <w:rFonts w:ascii="Times New Roman" w:hAnsi="Times New Roman"/>
        </w:rPr>
        <w:t>-a</w:t>
      </w:r>
      <w:r w:rsidRPr="004E6412">
        <w:rPr>
          <w:rFonts w:ascii="Times New Roman" w:hAnsi="Times New Roman"/>
        </w:rPr>
        <w:t xml:space="preserve">, najveći doprinos dodanoj vrijednosti i zapošljavanju unutar ICT industrije 2010. dalo je Ujedinjeno Kraljevstvo (UK). </w:t>
      </w:r>
    </w:p>
    <w:p w:rsidR="001B41B0" w:rsidRPr="004E6412" w:rsidRDefault="001B41B0" w:rsidP="001B41B0"/>
    <w:p w:rsidR="001B41B0" w:rsidRPr="004E6412" w:rsidRDefault="001B41B0" w:rsidP="00D001B9">
      <w:pPr>
        <w:pStyle w:val="Heading3"/>
      </w:pPr>
      <w:bookmarkStart w:id="1067" w:name="_Toc365992577"/>
      <w:bookmarkStart w:id="1068" w:name="_Toc366154342"/>
      <w:bookmarkStart w:id="1069" w:name="_Toc366154463"/>
      <w:bookmarkStart w:id="1070" w:name="_Toc366410010"/>
      <w:bookmarkStart w:id="1071" w:name="_Toc372088089"/>
      <w:bookmarkStart w:id="1072" w:name="_Toc378069151"/>
      <w:r w:rsidRPr="004E6412">
        <w:t>Stanje i perspektive razvoja u Republici Hrvatskoj</w:t>
      </w:r>
      <w:bookmarkEnd w:id="1067"/>
      <w:bookmarkEnd w:id="1068"/>
      <w:bookmarkEnd w:id="1069"/>
      <w:bookmarkEnd w:id="1070"/>
      <w:bookmarkEnd w:id="1071"/>
      <w:bookmarkEnd w:id="1072"/>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Industrija Informacije i komunikacije u Hrvatskoj broji 4.215 poduzeća. Broj zaposlenih u razdoblju 2010.</w:t>
      </w:r>
      <w:r w:rsidR="004E22CA" w:rsidRPr="004E6412">
        <w:rPr>
          <w:rFonts w:ascii="Times New Roman" w:hAnsi="Times New Roman"/>
        </w:rPr>
        <w:t xml:space="preserve"> – </w:t>
      </w:r>
      <w:r w:rsidRPr="004E6412">
        <w:rPr>
          <w:rFonts w:ascii="Times New Roman" w:hAnsi="Times New Roman"/>
        </w:rPr>
        <w:t>2012</w:t>
      </w:r>
      <w:r w:rsidR="004E22CA" w:rsidRPr="004E6412">
        <w:rPr>
          <w:rFonts w:ascii="Times New Roman" w:hAnsi="Times New Roman"/>
        </w:rPr>
        <w:t>. po godinama kretao se redom</w:t>
      </w:r>
      <w:r w:rsidRPr="004E6412">
        <w:rPr>
          <w:rFonts w:ascii="Times New Roman" w:hAnsi="Times New Roman"/>
        </w:rPr>
        <w:t xml:space="preserve"> 31.843, 31.081 i 31.388 djelatnika. Ukupna dodana vrijednost industrije u 2012.</w:t>
      </w:r>
      <w:r w:rsidR="004E22CA" w:rsidRPr="004E6412">
        <w:rPr>
          <w:rFonts w:ascii="Times New Roman" w:hAnsi="Times New Roman"/>
        </w:rPr>
        <w:t xml:space="preserve"> bila je </w:t>
      </w:r>
      <w:r w:rsidRPr="004E6412">
        <w:rPr>
          <w:rFonts w:ascii="Times New Roman" w:hAnsi="Times New Roman"/>
        </w:rPr>
        <w:t xml:space="preserve">11,22 milijarde HRK.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Od ukupnog broja poduzeća, 98,79% čine mala poduzeća. S druge strane, iako je velikih poduzeća brojčano neusporedivo manje, ona zapošljavaju samo 6,78% manje osoba od malih poduzeća. Stoga je značaj velikih poduzeća za industriju informacija i komunikacija izniman – </w:t>
      </w:r>
      <w:r w:rsidRPr="004E6412">
        <w:rPr>
          <w:rFonts w:ascii="Times New Roman" w:hAnsi="Times New Roman"/>
        </w:rPr>
        <w:lastRenderedPageBreak/>
        <w:t xml:space="preserve">16 velikih poduzeća (0,38% ukupnog broja poduzeća) zapošljava 12.673 osobe odnosno 40,38% svih zaposlenih u industriji informacija i komunikacija. Isto tako, aktiva velikih poduzeća je 3,32 puta veća od aktive malih poduzeća, ukupni prihodi su 2,49 puta veći u velikih u odnosu na mala poduzeća, ukupna dobit nakon poreza je 3,56 puta veća, ali i ukupni gubitak nakon poreza je 1,38 puta veći. Udio malih poduzeća je u odnosu na udio velikih poduzeća veći jedino u slučaju broja zaposlenih i izvoza. Prema udjelu u broju poduzeća izdvajaju se djelatnosti J59 Proizvodnja filmova, videofilmova i televizijskog programa, djelatnosti snimanja zvučnih zapisa i izdavanja glazbenih zapisa i J63 Informacijske uslužne djelatnosti koje uopće nemaju velikih poduzeća, te djelatnosti J58 Izdavačke djelatnosti i J61 Telekomunikacije koje imaju nadprosječno velik broj srednjih poduzeća u odnosu na prosjek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Promatrana industrija u razdoblju 2010.</w:t>
      </w:r>
      <w:r w:rsidR="004E22CA" w:rsidRPr="004E6412">
        <w:rPr>
          <w:rFonts w:ascii="Times New Roman" w:hAnsi="Times New Roman"/>
        </w:rPr>
        <w:t xml:space="preserve"> – </w:t>
      </w:r>
      <w:r w:rsidRPr="004E6412">
        <w:rPr>
          <w:rFonts w:ascii="Times New Roman" w:hAnsi="Times New Roman"/>
        </w:rPr>
        <w:t>2012. ostvaruje ukupne prihode veće od ukupnih rashoda, s tim</w:t>
      </w:r>
      <w:r w:rsidR="004E22CA" w:rsidRPr="004E6412">
        <w:rPr>
          <w:rFonts w:ascii="Times New Roman" w:hAnsi="Times New Roman"/>
        </w:rPr>
        <w:t>e</w:t>
      </w:r>
      <w:r w:rsidRPr="004E6412">
        <w:rPr>
          <w:rFonts w:ascii="Times New Roman" w:hAnsi="Times New Roman"/>
        </w:rPr>
        <w:t xml:space="preserve"> da je navedeni odnos po godinama jednak u 2012. i 2010. (na razini 1,12), dok je u 2011. bio na nešto višoj razini (na razini 1,13).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Operativna marža profita industrije informacija i komunikacija je u cijelom promatranom vremenskom razdoblju 2010.</w:t>
      </w:r>
      <w:r w:rsidR="004E22CA" w:rsidRPr="004E6412">
        <w:rPr>
          <w:rFonts w:ascii="Times New Roman" w:hAnsi="Times New Roman"/>
        </w:rPr>
        <w:t xml:space="preserve"> – </w:t>
      </w:r>
      <w:r w:rsidRPr="004E6412">
        <w:rPr>
          <w:rFonts w:ascii="Times New Roman" w:hAnsi="Times New Roman"/>
        </w:rPr>
        <w:t>2012. pozitivna, no kroz godine varira. U 2011. je bila najviša, i iznosila je 8,36%, što predstavlja udvostručenje u odnosu na 2010. Međutim, u 2012. blago opada</w:t>
      </w:r>
      <w:r w:rsidR="004E22CA" w:rsidRPr="004E6412">
        <w:rPr>
          <w:rFonts w:ascii="Times New Roman" w:hAnsi="Times New Roman"/>
        </w:rPr>
        <w:t xml:space="preserve"> </w:t>
      </w:r>
      <w:r w:rsidRPr="004E6412">
        <w:rPr>
          <w:rFonts w:ascii="Times New Roman" w:hAnsi="Times New Roman"/>
        </w:rPr>
        <w:t>(za manje od 0,5 postotnih poena) u odnosu na 2011.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razdoblju 2010.</w:t>
      </w:r>
      <w:r w:rsidR="009D53B1" w:rsidRPr="004E6412">
        <w:rPr>
          <w:rFonts w:ascii="Times New Roman" w:hAnsi="Times New Roman"/>
        </w:rPr>
        <w:t xml:space="preserve"> – </w:t>
      </w:r>
      <w:r w:rsidRPr="004E6412">
        <w:rPr>
          <w:rFonts w:ascii="Times New Roman" w:hAnsi="Times New Roman"/>
        </w:rPr>
        <w:t>2012</w:t>
      </w:r>
      <w:r w:rsidR="009D53B1" w:rsidRPr="004E6412">
        <w:rPr>
          <w:rFonts w:ascii="Times New Roman" w:hAnsi="Times New Roman"/>
        </w:rPr>
        <w:t xml:space="preserve">. proizvodnost rada </w:t>
      </w:r>
      <w:r w:rsidR="00AB501A" w:rsidRPr="004E6412">
        <w:rPr>
          <w:rFonts w:ascii="Times New Roman" w:hAnsi="Times New Roman"/>
        </w:rPr>
        <w:t xml:space="preserve">pala </w:t>
      </w:r>
      <w:r w:rsidR="009D53B1" w:rsidRPr="004E6412">
        <w:rPr>
          <w:rFonts w:ascii="Times New Roman" w:hAnsi="Times New Roman"/>
        </w:rPr>
        <w:t xml:space="preserve">je </w:t>
      </w:r>
      <w:r w:rsidR="00AB501A" w:rsidRPr="004E6412">
        <w:rPr>
          <w:rFonts w:ascii="Times New Roman" w:hAnsi="Times New Roman"/>
        </w:rPr>
        <w:t>za 1,79</w:t>
      </w:r>
      <w:r w:rsidRPr="004E6412">
        <w:rPr>
          <w:rFonts w:ascii="Times New Roman" w:hAnsi="Times New Roman"/>
        </w:rPr>
        <w:t xml:space="preserve">%, a proizvodnost kapitala kontinuirano raste te je u analiziranom razdoblju porasla </w:t>
      </w:r>
      <w:r w:rsidR="009D53B1" w:rsidRPr="004E6412">
        <w:rPr>
          <w:rFonts w:ascii="Times New Roman" w:hAnsi="Times New Roman"/>
        </w:rPr>
        <w:t>s</w:t>
      </w:r>
      <w:r w:rsidR="00AB501A" w:rsidRPr="004E6412">
        <w:rPr>
          <w:rFonts w:ascii="Times New Roman" w:hAnsi="Times New Roman"/>
        </w:rPr>
        <w:t xml:space="preserve"> 0,89</w:t>
      </w:r>
      <w:r w:rsidRPr="004E6412">
        <w:rPr>
          <w:rFonts w:ascii="Times New Roman" w:hAnsi="Times New Roman"/>
        </w:rPr>
        <w:t xml:space="preserve"> na </w:t>
      </w:r>
      <w:r w:rsidR="00AB501A" w:rsidRPr="004E6412">
        <w:rPr>
          <w:rFonts w:ascii="Times New Roman" w:hAnsi="Times New Roman"/>
        </w:rPr>
        <w:t>0,92</w:t>
      </w:r>
      <w:r w:rsidRPr="004E6412">
        <w:rPr>
          <w:rFonts w:ascii="Times New Roman" w:hAnsi="Times New Roman"/>
        </w:rPr>
        <w:t xml:space="preserve"> što predstavlja povećanje od </w:t>
      </w:r>
      <w:r w:rsidR="00AB501A" w:rsidRPr="004E6412">
        <w:rPr>
          <w:rFonts w:ascii="Times New Roman" w:hAnsi="Times New Roman"/>
        </w:rPr>
        <w:t>4,17</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svim godinama u razdoblju 2010.</w:t>
      </w:r>
      <w:r w:rsidR="009D53B1" w:rsidRPr="004E6412">
        <w:rPr>
          <w:rFonts w:ascii="Times New Roman" w:hAnsi="Times New Roman"/>
        </w:rPr>
        <w:t xml:space="preserve"> – </w:t>
      </w:r>
      <w:r w:rsidRPr="004E6412">
        <w:rPr>
          <w:rFonts w:ascii="Times New Roman" w:hAnsi="Times New Roman"/>
        </w:rPr>
        <w:t>2012., sve djelatnosti pokazuju pad koeficijenta tek</w:t>
      </w:r>
      <w:r w:rsidR="009D53B1" w:rsidRPr="004E6412">
        <w:rPr>
          <w:rFonts w:ascii="Times New Roman" w:hAnsi="Times New Roman"/>
        </w:rPr>
        <w:t xml:space="preserve">uće likvidnosti. Najveći pad </w:t>
      </w:r>
      <w:r w:rsidRPr="004E6412">
        <w:rPr>
          <w:rFonts w:ascii="Times New Roman" w:hAnsi="Times New Roman"/>
        </w:rPr>
        <w:t xml:space="preserve">ostvaren </w:t>
      </w:r>
      <w:r w:rsidR="009D53B1" w:rsidRPr="004E6412">
        <w:rPr>
          <w:rFonts w:ascii="Times New Roman" w:hAnsi="Times New Roman"/>
        </w:rPr>
        <w:t xml:space="preserve">je </w:t>
      </w:r>
      <w:r w:rsidRPr="004E6412">
        <w:rPr>
          <w:rFonts w:ascii="Times New Roman" w:hAnsi="Times New Roman"/>
        </w:rPr>
        <w:t>u djelatnosti J60 Emitiranje programa (21,36%), a slijedi je djela</w:t>
      </w:r>
      <w:r w:rsidR="009D53B1" w:rsidRPr="004E6412">
        <w:rPr>
          <w:rFonts w:ascii="Times New Roman" w:hAnsi="Times New Roman"/>
        </w:rPr>
        <w:t>tnost J58 Izdavačke djelatnosti</w:t>
      </w:r>
      <w:r w:rsidRPr="004E6412">
        <w:rPr>
          <w:rFonts w:ascii="Times New Roman" w:hAnsi="Times New Roman"/>
        </w:rPr>
        <w:t xml:space="preserve"> s padom od 18,75%. Najmanji pad koeficijenta tekuće likvidnosti primjetan je kod djelatnosti J62, koji je iznosio 4,32%.</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Koeficijent zaduženosti industrije informacija i komunikacija u razdoblju 2010.</w:t>
      </w:r>
      <w:r w:rsidR="009D53B1" w:rsidRPr="004E6412">
        <w:rPr>
          <w:rFonts w:ascii="Times New Roman" w:hAnsi="Times New Roman"/>
        </w:rPr>
        <w:t xml:space="preserve"> – </w:t>
      </w:r>
      <w:r w:rsidRPr="004E6412">
        <w:rPr>
          <w:rFonts w:ascii="Times New Roman" w:hAnsi="Times New Roman"/>
        </w:rPr>
        <w:t>2012.  varira, no sveukupno se u 2012. sman</w:t>
      </w:r>
      <w:r w:rsidR="009D53B1" w:rsidRPr="004E6412">
        <w:rPr>
          <w:rFonts w:ascii="Times New Roman" w:hAnsi="Times New Roman"/>
        </w:rPr>
        <w:t>jio u odnosu na prvu promatranu</w:t>
      </w:r>
      <w:r w:rsidRPr="004E6412">
        <w:rPr>
          <w:rFonts w:ascii="Times New Roman" w:hAnsi="Times New Roman"/>
        </w:rPr>
        <w:t xml:space="preserve"> 2010. </w:t>
      </w:r>
      <w:r w:rsidR="009D53B1" w:rsidRPr="004E6412">
        <w:rPr>
          <w:rFonts w:ascii="Times New Roman" w:hAnsi="Times New Roman"/>
        </w:rPr>
        <w:t xml:space="preserve">godinu. </w:t>
      </w:r>
      <w:r w:rsidRPr="004E6412">
        <w:rPr>
          <w:rFonts w:ascii="Times New Roman" w:hAnsi="Times New Roman"/>
        </w:rPr>
        <w:t>To ukazuje na porast stabilnosti i sigurnosti financiranja poslovanja poduzeća industrije.</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Iako je industrija informacija i komunikacija u svim promatranim godinama (2010.</w:t>
      </w:r>
      <w:r w:rsidR="009D53B1" w:rsidRPr="004E6412">
        <w:rPr>
          <w:rFonts w:ascii="Times New Roman" w:hAnsi="Times New Roman"/>
        </w:rPr>
        <w:t xml:space="preserve"> – </w:t>
      </w:r>
      <w:r w:rsidRPr="004E6412">
        <w:rPr>
          <w:rFonts w:ascii="Times New Roman" w:hAnsi="Times New Roman"/>
        </w:rPr>
        <w:t>2012.) imala vrijednost izvoza manju od vrijednosti uvoza,</w:t>
      </w:r>
      <w:r w:rsidR="009D53B1" w:rsidRPr="004E6412">
        <w:rPr>
          <w:rFonts w:ascii="Times New Roman" w:hAnsi="Times New Roman"/>
        </w:rPr>
        <w:t xml:space="preserve"> njihova se razlika </w:t>
      </w:r>
      <w:r w:rsidRPr="004E6412">
        <w:rPr>
          <w:rFonts w:ascii="Times New Roman" w:hAnsi="Times New Roman"/>
        </w:rPr>
        <w:t>kontinuirano smanjuje. U 2012. su sve djelatnosti, uz iznimku djelatnosti J60 Emitiranje programa, imale odnos izvoza i uvoza veći od 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GL indeks industrije informacija i komunikacija bilježi povećanje vrijednosti s 0,873 u 2010. na 0,904 u 2012. Međutim, u svim godinama on je bliži gornjoj graničnoj vrijednosti (1) što upućuje da se u prosjeku većina međunarodne razmjene ove industrije od</w:t>
      </w:r>
      <w:r w:rsidR="009D53B1" w:rsidRPr="004E6412">
        <w:rPr>
          <w:rFonts w:ascii="Times New Roman" w:hAnsi="Times New Roman"/>
        </w:rPr>
        <w:t xml:space="preserve">vija s povezanim djelatnostima. </w:t>
      </w:r>
      <w:r w:rsidRPr="004E6412">
        <w:rPr>
          <w:rFonts w:ascii="Times New Roman" w:hAnsi="Times New Roman"/>
        </w:rPr>
        <w:t xml:space="preserve">Najveću intraindustrijsku međunarodnu razmjenu ima djelatnost J59 Proizvodnja filmova, videofilmova i televizijskog programa, djelatnosti snimanja zvučnih zapisa i izdavanja glazbenih zapisa s GL indeksom od 0,874, a najmanju J60 Emitiranje programa s GL indeksom od 0,198.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lastRenderedPageBreak/>
        <w:t>Daleko najveći udio bruto dodane vrijednosti u ukupnoj bruto dodanoj vrijednosti industrije informacija i komunikacija u 2012. ostvaruje djelatnost J61 Telekomunikacije (ud</w:t>
      </w:r>
      <w:r w:rsidR="009D53B1" w:rsidRPr="004E6412">
        <w:rPr>
          <w:rFonts w:ascii="Times New Roman" w:hAnsi="Times New Roman"/>
        </w:rPr>
        <w:t xml:space="preserve">io od 60,02%), a značajno zaostaje sljedeća djelatnost </w:t>
      </w:r>
      <w:r w:rsidR="004F14D7" w:rsidRPr="004E6412">
        <w:rPr>
          <w:rFonts w:ascii="Times New Roman" w:hAnsi="Times New Roman"/>
        </w:rPr>
        <w:t>J62 Računalno programiranje</w:t>
      </w:r>
      <w:r w:rsidRPr="004E6412">
        <w:rPr>
          <w:rFonts w:ascii="Times New Roman" w:hAnsi="Times New Roman"/>
        </w:rPr>
        <w:t xml:space="preserve">, savjetovanje i djelatnosti povezane s njima s udjelom od 18,82%. S druge strane, s najmanjim udjelom bruto dodane vrijednosti u ukupnoj bruto dodanoj vrijednosti industrije informacija i komunikacija izdvaja se djelatnost J59 Proizvodnja filmova, videofilmova i televizijskog programa, djelatnosti snimanja zvučnih zapisa i izdavanja glazbenih zapisa (udio od 2,38%).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Među analiziranim djelatnostima najznačajniji pad udjela bruto dodane vrijednosti u bruto dodanoj vrijednosti industrije informacija i komunikacija imala je djela</w:t>
      </w:r>
      <w:r w:rsidR="004F14D7" w:rsidRPr="004E6412">
        <w:rPr>
          <w:rFonts w:ascii="Times New Roman" w:hAnsi="Times New Roman"/>
        </w:rPr>
        <w:t>tnost J58 Izdavačke djelatnosti</w:t>
      </w:r>
      <w:r w:rsidRPr="004E6412">
        <w:rPr>
          <w:rFonts w:ascii="Times New Roman" w:hAnsi="Times New Roman"/>
        </w:rPr>
        <w:t xml:space="preserve"> (pad od 11,35%), a najveći rast djelatnost J63 Informacijske uslužne djelatnosti (rast od 36,55%). Gledano pak u postotnim poenima</w:t>
      </w:r>
      <w:r w:rsidR="004F14D7" w:rsidRPr="004E6412">
        <w:rPr>
          <w:rFonts w:ascii="Times New Roman" w:hAnsi="Times New Roman"/>
        </w:rPr>
        <w:t>,</w:t>
      </w:r>
      <w:r w:rsidRPr="004E6412">
        <w:rPr>
          <w:rFonts w:ascii="Times New Roman" w:hAnsi="Times New Roman"/>
        </w:rPr>
        <w:t xml:space="preserve"> najveći je pad udjela imala djelatnost J61 Telekomunikacije (pad od </w:t>
      </w:r>
      <w:r w:rsidR="009D53B1" w:rsidRPr="004E6412">
        <w:rPr>
          <w:rFonts w:ascii="Times New Roman" w:hAnsi="Times New Roman"/>
        </w:rPr>
        <w:t>1,55 postotnih poena), a najveći</w:t>
      </w:r>
      <w:r w:rsidRPr="004E6412">
        <w:rPr>
          <w:rFonts w:ascii="Times New Roman" w:hAnsi="Times New Roman"/>
        </w:rPr>
        <w:t xml:space="preserve"> rast ud</w:t>
      </w:r>
      <w:r w:rsidR="004F14D7" w:rsidRPr="004E6412">
        <w:rPr>
          <w:rFonts w:ascii="Times New Roman" w:hAnsi="Times New Roman"/>
        </w:rPr>
        <w:t>jela J62 Računalno programiranje</w:t>
      </w:r>
      <w:r w:rsidRPr="004E6412">
        <w:rPr>
          <w:rFonts w:ascii="Times New Roman" w:hAnsi="Times New Roman"/>
        </w:rPr>
        <w:t>, savjetovanje i djelatnosti povezane s njima (rast od 2,39 postotna poena).</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Analizom pojedinih skupina kvantitativnih pokazatelja industrije informacija i komunikacija i pripadajućih djelatnosti, a na temelju kriterija strateške važnosti pojedinih djelatnosti za rast i razvoj kako promatrane industrije tako i ukupnog gospodarstva, izdvajaju se djelatnosti J61 i J</w:t>
      </w:r>
      <w:r w:rsidR="009D53B1" w:rsidRPr="004E6412">
        <w:rPr>
          <w:rFonts w:ascii="Times New Roman" w:hAnsi="Times New Roman"/>
        </w:rPr>
        <w:t>62 sa sljedećim obilježjinma</w:t>
      </w:r>
      <w:r w:rsidRPr="004E6412">
        <w:rPr>
          <w:rFonts w:ascii="Times New Roman" w:hAnsi="Times New Roman"/>
        </w:rPr>
        <w:t>:</w:t>
      </w:r>
    </w:p>
    <w:p w:rsidR="001B41B0" w:rsidRPr="004E6412" w:rsidRDefault="001B41B0" w:rsidP="001B41B0">
      <w:pPr>
        <w:numPr>
          <w:ilvl w:val="1"/>
          <w:numId w:val="66"/>
        </w:numPr>
        <w:rPr>
          <w:sz w:val="22"/>
        </w:rPr>
      </w:pPr>
      <w:r w:rsidRPr="004E6412">
        <w:rPr>
          <w:sz w:val="22"/>
        </w:rPr>
        <w:t>Odnos ukupnih prihoda i rashoda među djelatnostima je najveći u djelatnosti J61 Telekomunikacije (1,20).</w:t>
      </w:r>
    </w:p>
    <w:p w:rsidR="001B41B0" w:rsidRPr="004E6412" w:rsidRDefault="001B41B0" w:rsidP="001B41B0">
      <w:pPr>
        <w:numPr>
          <w:ilvl w:val="1"/>
          <w:numId w:val="66"/>
        </w:numPr>
        <w:rPr>
          <w:sz w:val="22"/>
        </w:rPr>
      </w:pPr>
      <w:r w:rsidRPr="004E6412">
        <w:rPr>
          <w:sz w:val="22"/>
        </w:rPr>
        <w:t>Apsolutno gledano daleko najveću razliku dobiti i gubitka u 2012. ima djelatnost J6</w:t>
      </w:r>
      <w:r w:rsidR="009D53B1" w:rsidRPr="004E6412">
        <w:rPr>
          <w:sz w:val="22"/>
        </w:rPr>
        <w:t>1 Telekomunikacije, a slijedi je</w:t>
      </w:r>
      <w:r w:rsidRPr="004E6412">
        <w:rPr>
          <w:sz w:val="22"/>
        </w:rPr>
        <w:t xml:space="preserve"> djelatnost J62 Računalno programiranje, savjetovanje i djelatnosti povezane s njima.</w:t>
      </w:r>
    </w:p>
    <w:p w:rsidR="001B41B0" w:rsidRPr="004E6412" w:rsidRDefault="001B41B0" w:rsidP="001B41B0">
      <w:pPr>
        <w:numPr>
          <w:ilvl w:val="1"/>
          <w:numId w:val="66"/>
        </w:numPr>
        <w:rPr>
          <w:sz w:val="22"/>
        </w:rPr>
      </w:pPr>
      <w:r w:rsidRPr="004E6412">
        <w:rPr>
          <w:sz w:val="22"/>
        </w:rPr>
        <w:t xml:space="preserve">Promatrano po djelatnostima, J62 Računalno programiranje, savjetovanje i djelatnosti povezane s njima ima najveću ROA (9,50%), a slijedi J61 Telekomunikacije (9,03%). Te dvije djelatnosti </w:t>
      </w:r>
      <w:r w:rsidR="009D53B1" w:rsidRPr="004E6412">
        <w:rPr>
          <w:sz w:val="22"/>
        </w:rPr>
        <w:t xml:space="preserve">jedine imaju </w:t>
      </w:r>
      <w:r w:rsidRPr="004E6412">
        <w:rPr>
          <w:sz w:val="22"/>
        </w:rPr>
        <w:t xml:space="preserve">ROA veću od prosjeka industrije (6,83%). </w:t>
      </w:r>
    </w:p>
    <w:p w:rsidR="001B41B0" w:rsidRPr="004E6412" w:rsidRDefault="001B41B0" w:rsidP="001B41B0">
      <w:pPr>
        <w:numPr>
          <w:ilvl w:val="1"/>
          <w:numId w:val="66"/>
        </w:numPr>
        <w:rPr>
          <w:sz w:val="22"/>
        </w:rPr>
      </w:pPr>
      <w:r w:rsidRPr="004E6412">
        <w:rPr>
          <w:sz w:val="22"/>
        </w:rPr>
        <w:t>U djelatnosti J62 Računalno programiranje, savjetovanje i djelatnosti povezane s njima i J63 Info</w:t>
      </w:r>
      <w:r w:rsidR="004F14D7" w:rsidRPr="004E6412">
        <w:rPr>
          <w:sz w:val="22"/>
        </w:rPr>
        <w:t xml:space="preserve">rmacijske uslužne djelatnosti </w:t>
      </w:r>
      <w:r w:rsidRPr="004E6412">
        <w:rPr>
          <w:sz w:val="22"/>
        </w:rPr>
        <w:t xml:space="preserve">ROA </w:t>
      </w:r>
      <w:r w:rsidR="004F14D7" w:rsidRPr="004E6412">
        <w:rPr>
          <w:sz w:val="22"/>
        </w:rPr>
        <w:t xml:space="preserve">je </w:t>
      </w:r>
      <w:r w:rsidRPr="004E6412">
        <w:rPr>
          <w:sz w:val="22"/>
        </w:rPr>
        <w:t>u 2012. na višoj razini nego u 2010.</w:t>
      </w:r>
    </w:p>
    <w:p w:rsidR="001B41B0" w:rsidRPr="004E6412" w:rsidRDefault="001B41B0" w:rsidP="001B41B0">
      <w:pPr>
        <w:numPr>
          <w:ilvl w:val="1"/>
          <w:numId w:val="66"/>
        </w:numPr>
        <w:rPr>
          <w:sz w:val="22"/>
        </w:rPr>
      </w:pPr>
      <w:r w:rsidRPr="004E6412">
        <w:rPr>
          <w:sz w:val="22"/>
        </w:rPr>
        <w:t>Promatrano po djelatnostima, najveću ROE ima J62 Računalno programiranje, savjetovanje i djelatnosti povezane s njima (26,50%) iza koje slijedi J59 Proizvodnja filmova, videofilmova i televizijskog programa, djelatnosti snimanja zvučnih zapisa i izdavanja glazbe</w:t>
      </w:r>
      <w:r w:rsidR="009D53B1" w:rsidRPr="004E6412">
        <w:rPr>
          <w:sz w:val="22"/>
        </w:rPr>
        <w:t>nih zapisa (19,29%). Pored dviju</w:t>
      </w:r>
      <w:r w:rsidRPr="004E6412">
        <w:rPr>
          <w:sz w:val="22"/>
        </w:rPr>
        <w:t xml:space="preserve"> djelatnosti, još i djelatnost J61 Telekomunikacije (15,76%) ima ROE veću od prosjeka industrije (13,54%).</w:t>
      </w:r>
    </w:p>
    <w:p w:rsidR="001B41B0" w:rsidRPr="004E6412" w:rsidRDefault="001B41B0" w:rsidP="001B41B0">
      <w:pPr>
        <w:numPr>
          <w:ilvl w:val="1"/>
          <w:numId w:val="66"/>
        </w:numPr>
        <w:rPr>
          <w:sz w:val="22"/>
        </w:rPr>
      </w:pPr>
      <w:r w:rsidRPr="004E6412">
        <w:rPr>
          <w:sz w:val="22"/>
        </w:rPr>
        <w:t xml:space="preserve">Visina proizvodnosti rada industrije prije svega </w:t>
      </w:r>
      <w:r w:rsidR="009D53B1" w:rsidRPr="004E6412">
        <w:rPr>
          <w:sz w:val="22"/>
        </w:rPr>
        <w:t xml:space="preserve">je </w:t>
      </w:r>
      <w:r w:rsidRPr="004E6412">
        <w:rPr>
          <w:sz w:val="22"/>
        </w:rPr>
        <w:t xml:space="preserve">rezultat visoke proizvodnosti J61 (djelatnost telekomunikacija) koja je </w:t>
      </w:r>
      <w:r w:rsidR="00AB501A" w:rsidRPr="004E6412">
        <w:rPr>
          <w:sz w:val="22"/>
        </w:rPr>
        <w:t>dvostruko</w:t>
      </w:r>
      <w:r w:rsidRPr="004E6412">
        <w:rPr>
          <w:sz w:val="22"/>
        </w:rPr>
        <w:t xml:space="preserve"> veća od</w:t>
      </w:r>
      <w:r w:rsidR="00AB501A" w:rsidRPr="004E6412">
        <w:rPr>
          <w:sz w:val="22"/>
        </w:rPr>
        <w:t xml:space="preserve"> prosjeka cjelokupne industrije.</w:t>
      </w:r>
    </w:p>
    <w:p w:rsidR="001B41B0" w:rsidRPr="004E6412" w:rsidRDefault="001B41B0" w:rsidP="001B41B0">
      <w:pPr>
        <w:numPr>
          <w:ilvl w:val="1"/>
          <w:numId w:val="66"/>
        </w:numPr>
        <w:rPr>
          <w:sz w:val="22"/>
        </w:rPr>
      </w:pPr>
      <w:r w:rsidRPr="004E6412">
        <w:rPr>
          <w:sz w:val="22"/>
        </w:rPr>
        <w:t>Proi</w:t>
      </w:r>
      <w:r w:rsidR="009D53B1" w:rsidRPr="004E6412">
        <w:rPr>
          <w:sz w:val="22"/>
        </w:rPr>
        <w:t xml:space="preserve">zvodnost kapitala industrije </w:t>
      </w:r>
      <w:r w:rsidRPr="004E6412">
        <w:rPr>
          <w:sz w:val="22"/>
        </w:rPr>
        <w:t xml:space="preserve">određena </w:t>
      </w:r>
      <w:r w:rsidR="009D53B1" w:rsidRPr="004E6412">
        <w:rPr>
          <w:sz w:val="22"/>
        </w:rPr>
        <w:t xml:space="preserve">je </w:t>
      </w:r>
      <w:r w:rsidRPr="004E6412">
        <w:rPr>
          <w:sz w:val="22"/>
        </w:rPr>
        <w:t>prije svega proizvodnošću kapitala industrije djelatnosti J62 (djelatnost računalnog programiranja, savjetovanja i djelat</w:t>
      </w:r>
      <w:r w:rsidR="00AB501A" w:rsidRPr="004E6412">
        <w:rPr>
          <w:sz w:val="22"/>
        </w:rPr>
        <w:t xml:space="preserve">nosti povezane s njima) koja iznosi 3,01 u 2012. godini, čime </w:t>
      </w:r>
      <w:r w:rsidR="009D53B1" w:rsidRPr="004E6412">
        <w:rPr>
          <w:sz w:val="22"/>
        </w:rPr>
        <w:t xml:space="preserve">je </w:t>
      </w:r>
      <w:r w:rsidR="00AB501A" w:rsidRPr="004E6412">
        <w:rPr>
          <w:sz w:val="22"/>
        </w:rPr>
        <w:t>dvostruko veća od proizvodnosti rada druge po redu djelatnosti J60 Emitiranje programa.</w:t>
      </w:r>
    </w:p>
    <w:p w:rsidR="001B41B0" w:rsidRPr="004E6412" w:rsidRDefault="001B41B0" w:rsidP="001B41B0">
      <w:pPr>
        <w:numPr>
          <w:ilvl w:val="1"/>
          <w:numId w:val="66"/>
        </w:numPr>
        <w:rPr>
          <w:sz w:val="22"/>
        </w:rPr>
      </w:pPr>
      <w:r w:rsidRPr="004E6412">
        <w:rPr>
          <w:sz w:val="22"/>
        </w:rPr>
        <w:t>Djelatnost J</w:t>
      </w:r>
      <w:r w:rsidR="00AB501A" w:rsidRPr="004E6412">
        <w:rPr>
          <w:sz w:val="22"/>
        </w:rPr>
        <w:t>61</w:t>
      </w:r>
      <w:r w:rsidRPr="004E6412">
        <w:rPr>
          <w:sz w:val="22"/>
        </w:rPr>
        <w:t xml:space="preserve"> Telekomunikacij</w:t>
      </w:r>
      <w:r w:rsidR="00AB501A" w:rsidRPr="004E6412">
        <w:rPr>
          <w:sz w:val="22"/>
        </w:rPr>
        <w:t>e</w:t>
      </w:r>
      <w:r w:rsidRPr="004E6412">
        <w:rPr>
          <w:sz w:val="22"/>
        </w:rPr>
        <w:t xml:space="preserve"> ima najveću, a J5</w:t>
      </w:r>
      <w:r w:rsidR="004823E2" w:rsidRPr="004E6412">
        <w:rPr>
          <w:sz w:val="22"/>
        </w:rPr>
        <w:t>9</w:t>
      </w:r>
      <w:r w:rsidR="00AB501A" w:rsidRPr="004E6412">
        <w:rPr>
          <w:sz w:val="22"/>
        </w:rPr>
        <w:t xml:space="preserve"> Proizvodnja filmova, videofilmova i televizijskog programa, djelatnosti snimanja zvučnih zapisa i izdavanja glazbenih zapisa</w:t>
      </w:r>
      <w:r w:rsidRPr="004E6412">
        <w:rPr>
          <w:sz w:val="22"/>
        </w:rPr>
        <w:t xml:space="preserve"> nadprosječnu razliku ukupnog prihoda po zaposlenom</w:t>
      </w:r>
      <w:r w:rsidR="009D53B1" w:rsidRPr="004E6412">
        <w:rPr>
          <w:sz w:val="22"/>
        </w:rPr>
        <w:t>e</w:t>
      </w:r>
      <w:r w:rsidRPr="004E6412">
        <w:rPr>
          <w:sz w:val="22"/>
        </w:rPr>
        <w:t xml:space="preserve"> i opremljenosti rada kapitalima.</w:t>
      </w:r>
    </w:p>
    <w:p w:rsidR="001B41B0" w:rsidRPr="004E6412" w:rsidRDefault="001B41B0" w:rsidP="001B41B0">
      <w:pPr>
        <w:numPr>
          <w:ilvl w:val="1"/>
          <w:numId w:val="66"/>
        </w:numPr>
        <w:rPr>
          <w:sz w:val="22"/>
        </w:rPr>
      </w:pPr>
      <w:r w:rsidRPr="004E6412">
        <w:rPr>
          <w:sz w:val="22"/>
        </w:rPr>
        <w:t>U 2012., najveći koeficijent tekuće likvidnosti ostvaruje djelatnost J61 Telekomunikacije te on iznosi 1,64</w:t>
      </w:r>
      <w:r w:rsidR="009D53B1" w:rsidRPr="004E6412">
        <w:rPr>
          <w:sz w:val="22"/>
        </w:rPr>
        <w:t>,</w:t>
      </w:r>
      <w:r w:rsidRPr="004E6412">
        <w:rPr>
          <w:sz w:val="22"/>
        </w:rPr>
        <w:t xml:space="preserve"> što je 17,99% više od prosjeka industrije. Slijedi </w:t>
      </w:r>
      <w:r w:rsidRPr="004E6412">
        <w:rPr>
          <w:sz w:val="22"/>
        </w:rPr>
        <w:lastRenderedPageBreak/>
        <w:t>je djelatnost J62 Računalno programiranje, savjetovanje i djelatnosti povezane s njima s koeficijentom tekuće likvidnosti 1,55.</w:t>
      </w:r>
    </w:p>
    <w:p w:rsidR="001B41B0" w:rsidRPr="004E6412" w:rsidRDefault="009D53B1" w:rsidP="001B41B0">
      <w:pPr>
        <w:numPr>
          <w:ilvl w:val="1"/>
          <w:numId w:val="66"/>
        </w:numPr>
        <w:rPr>
          <w:sz w:val="22"/>
        </w:rPr>
      </w:pPr>
      <w:r w:rsidRPr="004E6412">
        <w:rPr>
          <w:sz w:val="22"/>
        </w:rPr>
        <w:t>U 2012.</w:t>
      </w:r>
      <w:r w:rsidR="001B41B0" w:rsidRPr="004E6412">
        <w:rPr>
          <w:sz w:val="22"/>
        </w:rPr>
        <w:t xml:space="preserve"> najveći koeficijent ubrzane likvidnosti ostvaruje djelatnost J61 Telekomunikacije te on iznosi 1,573 što je 27,68% više od prosjeka industrije. Slijedi je djelatnost J62 Računalno programiranje, savjetovanje i djelatnosti povezane s njima s koeficijentom ubrzane likvidnosti 1,329.</w:t>
      </w:r>
    </w:p>
    <w:p w:rsidR="001B41B0" w:rsidRPr="004E6412" w:rsidRDefault="001B41B0" w:rsidP="001B41B0">
      <w:pPr>
        <w:numPr>
          <w:ilvl w:val="1"/>
          <w:numId w:val="66"/>
        </w:numPr>
        <w:rPr>
          <w:sz w:val="22"/>
        </w:rPr>
      </w:pPr>
      <w:r w:rsidRPr="004E6412">
        <w:rPr>
          <w:sz w:val="22"/>
        </w:rPr>
        <w:t>Koeficijent trenutne likvidnosti djelatnost</w:t>
      </w:r>
      <w:r w:rsidR="009D53B1" w:rsidRPr="004E6412">
        <w:rPr>
          <w:sz w:val="22"/>
        </w:rPr>
        <w:t>i</w:t>
      </w:r>
      <w:r w:rsidRPr="004E6412">
        <w:rPr>
          <w:sz w:val="22"/>
        </w:rPr>
        <w:t xml:space="preserve"> J61 Telekomunikacije je 0,78 što je 81,40% više od prosjeka industrije. Sve ostale djelatnosti imaju koeficijent trenutne likvidnosti značajno niži od prosjeka industrije.</w:t>
      </w:r>
    </w:p>
    <w:p w:rsidR="001B41B0" w:rsidRPr="004E6412" w:rsidRDefault="001B41B0" w:rsidP="001B41B0">
      <w:pPr>
        <w:numPr>
          <w:ilvl w:val="1"/>
          <w:numId w:val="66"/>
        </w:numPr>
        <w:rPr>
          <w:sz w:val="22"/>
        </w:rPr>
      </w:pPr>
      <w:r w:rsidRPr="004E6412">
        <w:rPr>
          <w:sz w:val="22"/>
        </w:rPr>
        <w:t>Djelatnost J61 Telekomunikacije u financiranju svojih aktivnosti najviše koristi vlastita sredstva s udjelom od 63%. Ona je ujedno i djelatnost kojoj je jedinoj u analiziranom razdoblju pala zaduženost i to s 0,43 na 0,37, što je pad od 13,95%.</w:t>
      </w:r>
    </w:p>
    <w:p w:rsidR="001B41B0" w:rsidRPr="004E6412" w:rsidRDefault="001B41B0" w:rsidP="001B41B0">
      <w:pPr>
        <w:numPr>
          <w:ilvl w:val="1"/>
          <w:numId w:val="66"/>
        </w:numPr>
        <w:rPr>
          <w:sz w:val="22"/>
        </w:rPr>
      </w:pPr>
      <w:r w:rsidRPr="004E6412">
        <w:rPr>
          <w:sz w:val="22"/>
        </w:rPr>
        <w:t>Odnos izvoza i uvoza: Djelatnosti s najvećim omjerom su J61 Telekomunikacije (1,197) i J62 Računalno programiranje, savjetovanje i djelatnosti povezane s njima (1,109).</w:t>
      </w:r>
    </w:p>
    <w:p w:rsidR="001B41B0" w:rsidRPr="004E6412" w:rsidRDefault="00C12005" w:rsidP="001B41B0">
      <w:pPr>
        <w:numPr>
          <w:ilvl w:val="1"/>
          <w:numId w:val="66"/>
        </w:numPr>
        <w:rPr>
          <w:sz w:val="22"/>
        </w:rPr>
      </w:pPr>
      <w:r w:rsidRPr="004E6412">
        <w:rPr>
          <w:sz w:val="22"/>
        </w:rPr>
        <w:t>Djelatnost</w:t>
      </w:r>
      <w:r w:rsidR="001B41B0" w:rsidRPr="004E6412">
        <w:rPr>
          <w:sz w:val="22"/>
        </w:rPr>
        <w:t xml:space="preserve"> J62 Računalno programiranje, savjetovanje i djelatnosti povezane s njima (632.063.347 HRK) je najveća neto izvodnica od analiziranih djelatnosti.</w:t>
      </w:r>
    </w:p>
    <w:p w:rsidR="001B41B0" w:rsidRPr="004E6412" w:rsidRDefault="001B41B0" w:rsidP="001B41B0">
      <w:pPr>
        <w:numPr>
          <w:ilvl w:val="1"/>
          <w:numId w:val="66"/>
        </w:numPr>
        <w:rPr>
          <w:sz w:val="22"/>
        </w:rPr>
      </w:pPr>
      <w:r w:rsidRPr="004E6412">
        <w:rPr>
          <w:sz w:val="22"/>
        </w:rPr>
        <w:t>U ukupnom izvozu industrije informacija i komunikacija u 2012. najveći udio imaju djelatnost J62 Računalno programiranje, savjetovanje i djelatnosti povezane s njima s visokih 40,82% i J61 Telekomunikacije s visokih 39,34%.</w:t>
      </w:r>
    </w:p>
    <w:p w:rsidR="001B41B0" w:rsidRPr="004E6412" w:rsidRDefault="001B41B0" w:rsidP="001B41B0">
      <w:pPr>
        <w:numPr>
          <w:ilvl w:val="1"/>
          <w:numId w:val="66"/>
        </w:numPr>
        <w:rPr>
          <w:sz w:val="22"/>
        </w:rPr>
      </w:pPr>
      <w:r w:rsidRPr="004E6412">
        <w:rPr>
          <w:sz w:val="22"/>
        </w:rPr>
        <w:t>Od pripadajućih djelatnosti industrije informacija i komunikacija daleko najveći udio BDV-a u ukupnom BDV-u gospodarstva u 2012. ima djelatnost J61 Telekomunikacije (udio od 2,48%).</w:t>
      </w:r>
    </w:p>
    <w:p w:rsidR="001B41B0" w:rsidRPr="004E6412" w:rsidRDefault="001B41B0" w:rsidP="001B41B0">
      <w:pPr>
        <w:numPr>
          <w:ilvl w:val="1"/>
          <w:numId w:val="66"/>
        </w:numPr>
        <w:rPr>
          <w:sz w:val="22"/>
        </w:rPr>
      </w:pPr>
      <w:r w:rsidRPr="004E6412">
        <w:rPr>
          <w:sz w:val="22"/>
        </w:rPr>
        <w:t>Samo djelatnos</w:t>
      </w:r>
      <w:r w:rsidR="00C12005" w:rsidRPr="004E6412">
        <w:rPr>
          <w:sz w:val="22"/>
        </w:rPr>
        <w:t>t J61 Telekomunikacije ostvaruje</w:t>
      </w:r>
      <w:r w:rsidRPr="004E6412">
        <w:rPr>
          <w:sz w:val="22"/>
        </w:rPr>
        <w:t xml:space="preserve"> veći udio u stvaranju bruto dodane vrijednosti od svog udjela u broju zaposlenih u hrvatskoj industriji informacija i komunikacija (udio u bruto dodanoj vrijednosti 60,02%, a u </w:t>
      </w:r>
      <w:r w:rsidR="00C12005" w:rsidRPr="004E6412">
        <w:rPr>
          <w:sz w:val="22"/>
        </w:rPr>
        <w:t xml:space="preserve">broju zaposlenih 28,21%) te </w:t>
      </w:r>
      <w:r w:rsidRPr="004E6412">
        <w:rPr>
          <w:sz w:val="22"/>
        </w:rPr>
        <w:t xml:space="preserve">pokazuje najveću proizvodnost. Uzimajući u obzir činjenicu da su plaće i naknade zaposlenima glavna sastavnica bruto dodane vrijednosti, spomenuta djelatnost može se smatrati znatno uspješnijom od ostatka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Industriju informacija i komunikacija u Hrvatskoj čine većinom telekom operateri, a glavnina proizvodnje i prodaje IT usluga koncentrirana </w:t>
      </w:r>
      <w:r w:rsidR="00C12005" w:rsidRPr="004E6412">
        <w:rPr>
          <w:rFonts w:ascii="Times New Roman" w:hAnsi="Times New Roman"/>
        </w:rPr>
        <w:t>je u velikim tvrtkama i sustavnim</w:t>
      </w:r>
      <w:r w:rsidRPr="004E6412">
        <w:rPr>
          <w:rFonts w:ascii="Times New Roman" w:hAnsi="Times New Roman"/>
        </w:rPr>
        <w:t xml:space="preserve"> integratorima kao što su Ericsson, MSAN-KING, HT-Combis i drugi.</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lang w:eastAsia="hr-HR"/>
        </w:rPr>
      </w:pPr>
      <w:r w:rsidRPr="004E6412">
        <w:rPr>
          <w:rFonts w:ascii="Times New Roman" w:hAnsi="Times New Roman"/>
        </w:rPr>
        <w:t>Kao glavni problemi industrije ističu se:</w:t>
      </w:r>
      <w:r w:rsidR="00C12005" w:rsidRPr="004E6412">
        <w:rPr>
          <w:rFonts w:ascii="Times New Roman" w:hAnsi="Times New Roman"/>
        </w:rPr>
        <w:t xml:space="preserve"> </w:t>
      </w:r>
      <w:r w:rsidRPr="004E6412">
        <w:rPr>
          <w:rFonts w:ascii="Times New Roman" w:hAnsi="Times New Roman"/>
        </w:rPr>
        <w:t>brze promjene, a time i potreba za k</w:t>
      </w:r>
      <w:r w:rsidR="00C12005" w:rsidRPr="004E6412">
        <w:rPr>
          <w:rFonts w:ascii="Times New Roman" w:hAnsi="Times New Roman"/>
        </w:rPr>
        <w:t>ontinuiranim ulaganjem koje nije</w:t>
      </w:r>
      <w:r w:rsidRPr="004E6412">
        <w:rPr>
          <w:rFonts w:ascii="Times New Roman" w:hAnsi="Times New Roman"/>
        </w:rPr>
        <w:t xml:space="preserve"> moguće zbog nedostatka kapitala, na razini države sporo prihvaćanje novih tehnologija i spora informatizacija poslovnih procesa, slaba infrastruktura i smanjenje investici</w:t>
      </w:r>
      <w:r w:rsidR="00C12005" w:rsidRPr="004E6412">
        <w:rPr>
          <w:rFonts w:ascii="Times New Roman" w:hAnsi="Times New Roman"/>
        </w:rPr>
        <w:t>ja na razini drž</w:t>
      </w:r>
      <w:r w:rsidR="0072448B" w:rsidRPr="004E6412">
        <w:rPr>
          <w:rFonts w:ascii="Times New Roman" w:hAnsi="Times New Roman"/>
        </w:rPr>
        <w:t>ave, nizak udio širokopojasnog I</w:t>
      </w:r>
      <w:r w:rsidR="00C12005" w:rsidRPr="004E6412">
        <w:rPr>
          <w:rFonts w:ascii="Times New Roman" w:hAnsi="Times New Roman"/>
        </w:rPr>
        <w:t xml:space="preserve">nterneta </w:t>
      </w:r>
      <w:r w:rsidR="004F14D7" w:rsidRPr="004E6412">
        <w:rPr>
          <w:rFonts w:ascii="Times New Roman" w:hAnsi="Times New Roman"/>
        </w:rPr>
        <w:t>(krajem 2012. oko</w:t>
      </w:r>
      <w:r w:rsidRPr="004E6412">
        <w:rPr>
          <w:rFonts w:ascii="Times New Roman" w:hAnsi="Times New Roman"/>
        </w:rPr>
        <w:t xml:space="preserve"> 30% u fiksn</w:t>
      </w:r>
      <w:r w:rsidR="004F14D7" w:rsidRPr="004E6412">
        <w:rPr>
          <w:rFonts w:ascii="Times New Roman" w:hAnsi="Times New Roman"/>
        </w:rPr>
        <w:t xml:space="preserve">oj mreži, ali pritom manji udio </w:t>
      </w:r>
      <w:r w:rsidRPr="004E6412">
        <w:rPr>
          <w:rFonts w:ascii="Times New Roman" w:hAnsi="Times New Roman"/>
        </w:rPr>
        <w:t>pristupa</w:t>
      </w:r>
      <w:r w:rsidR="004F14D7" w:rsidRPr="004E6412">
        <w:rPr>
          <w:rFonts w:ascii="Times New Roman" w:hAnsi="Times New Roman"/>
        </w:rPr>
        <w:t xml:space="preserve"> sa stalnom stopom naknade</w:t>
      </w:r>
      <w:r w:rsidRPr="004E6412">
        <w:rPr>
          <w:rFonts w:ascii="Times New Roman" w:hAnsi="Times New Roman"/>
        </w:rPr>
        <w:t>). U mobilnoj mreži postotak je oko 20%</w:t>
      </w:r>
      <w:r w:rsidR="00C12005" w:rsidRPr="004E6412">
        <w:rPr>
          <w:rFonts w:ascii="Times New Roman" w:hAnsi="Times New Roman"/>
        </w:rPr>
        <w:t>, prosječna brzina spajanja na I</w:t>
      </w:r>
      <w:r w:rsidRPr="004E6412">
        <w:rPr>
          <w:rFonts w:ascii="Times New Roman" w:hAnsi="Times New Roman"/>
        </w:rPr>
        <w:t>nternet je još uvijek skoro na samom europskom dnu, slabi poticaji za tvrtke koje imaju vlastiti razvoj, nizak stupanj potražnje za uslugama ove industrije kao posljedica slabe svijesti o prednostima korištenja ICT rješenja, malo domaće tržište i velika konkurencija te još uvijek niska razina ulaganja u javnom sektoru.</w:t>
      </w: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pStyle w:val="Heading3"/>
        <w:sectPr w:rsidR="001B41B0" w:rsidRPr="004E6412" w:rsidSect="00894355">
          <w:footerReference w:type="default" r:id="rId58"/>
          <w:pgSz w:w="11906" w:h="16838"/>
          <w:pgMar w:top="1417" w:right="1417" w:bottom="1417" w:left="1417" w:header="708" w:footer="708" w:gutter="0"/>
          <w:cols w:space="708"/>
          <w:docGrid w:linePitch="360"/>
        </w:sectPr>
      </w:pPr>
      <w:bookmarkStart w:id="1073" w:name="_Toc365992578"/>
      <w:bookmarkStart w:id="1074" w:name="_Toc366154464"/>
      <w:bookmarkStart w:id="1075" w:name="_Toc366410011"/>
    </w:p>
    <w:p w:rsidR="001B41B0" w:rsidRPr="004E6412" w:rsidRDefault="001B41B0" w:rsidP="00D001B9">
      <w:pPr>
        <w:pStyle w:val="Heading3"/>
        <w:rPr>
          <w:rFonts w:eastAsia="Calibri"/>
        </w:rPr>
      </w:pPr>
      <w:bookmarkStart w:id="1076" w:name="_Toc372088090"/>
      <w:bookmarkStart w:id="1077" w:name="_Toc378069152"/>
      <w:r w:rsidRPr="004E6412">
        <w:rPr>
          <w:rFonts w:eastAsia="Calibri"/>
        </w:rPr>
        <w:lastRenderedPageBreak/>
        <w:t>Zaključni prikaz pokazatelja</w:t>
      </w:r>
      <w:bookmarkEnd w:id="1076"/>
      <w:bookmarkEnd w:id="1077"/>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1078" w:name="_Toc372088183"/>
      <w:bookmarkStart w:id="1079" w:name="_Toc377551120"/>
      <w:bookmarkStart w:id="1080" w:name="_Toc377635309"/>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Kvantitativni pokazatelji (J)</w:t>
      </w:r>
      <w:r w:rsidRPr="007D0CFD">
        <w:rPr>
          <w:rStyle w:val="IntenseEmphasis"/>
          <w:b/>
          <w:bCs w:val="0"/>
          <w:iCs w:val="0"/>
          <w:color w:val="548DD4" w:themeColor="text2" w:themeTint="99"/>
          <w:sz w:val="20"/>
        </w:rPr>
        <w:footnoteReference w:id="13"/>
      </w:r>
      <w:bookmarkEnd w:id="1078"/>
      <w:bookmarkEnd w:id="1079"/>
      <w:bookmarkEnd w:id="108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2693"/>
        <w:gridCol w:w="2409"/>
        <w:gridCol w:w="2631"/>
      </w:tblGrid>
      <w:tr w:rsidR="001B41B0" w:rsidRPr="004E6412" w:rsidTr="0097195F">
        <w:trPr>
          <w:trHeight w:val="20"/>
          <w:jc w:val="center"/>
        </w:trPr>
        <w:tc>
          <w:tcPr>
            <w:tcW w:w="2281" w:type="pct"/>
            <w:shd w:val="pct15" w:color="auto" w:fill="auto"/>
            <w:vAlign w:val="center"/>
          </w:tcPr>
          <w:p w:rsidR="001B41B0" w:rsidRPr="004E6412" w:rsidRDefault="001B41B0" w:rsidP="0097195F">
            <w:pPr>
              <w:spacing w:line="240" w:lineRule="auto"/>
              <w:jc w:val="center"/>
              <w:rPr>
                <w:sz w:val="22"/>
                <w:lang w:eastAsia="hr-HR"/>
              </w:rPr>
            </w:pP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8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Broj zaposlenih prema satima rada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31.843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31.081</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31.388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27.946.113.136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27.177.031.032</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26.718.127.447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EBITDA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326.993.199.321</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332.612.759.023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330.950.121.948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Operativna marža profita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12,63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13,69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877.622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874.394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851.221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Bruto dodana vrijednost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11.590.779.979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12.111.560.193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11.220.989.131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Dobitak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103.406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103.594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95.515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Gubitak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33.187</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27.623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27.594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Odnos izvoza i uvoza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0,774</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0,816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0,824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Trgovinska bilanca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-710.401.793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-595.206.427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-555.727.148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Udio izvoza u ukupnom prihodu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RCA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-0,166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-0,159</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 xml:space="preserve">Udio BDV-a industrije u ukupnom BDV-u gospodarstva (%)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5,19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5,39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5,05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Grubell-Lloydov indeks</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0,873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363.998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389.677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357.493</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kapitala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Jedinični trošak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0,38</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Koeficijent zaduženosti</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0,5</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0,45</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0,47</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1081" w:name="_Toc372088184"/>
      <w:bookmarkStart w:id="1082" w:name="_Toc377551121"/>
      <w:bookmarkStart w:id="1083" w:name="_Toc377635310"/>
      <w:r w:rsidRPr="007D0CFD">
        <w:rPr>
          <w:rStyle w:val="IntenseEmphasis"/>
          <w:b/>
          <w:bCs w:val="0"/>
          <w:iCs w:val="0"/>
          <w:color w:val="548DD4" w:themeColor="text2" w:themeTint="99"/>
          <w:sz w:val="20"/>
        </w:rPr>
        <w:lastRenderedPageBreak/>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09</w:t>
      </w:r>
      <w:r w:rsidRPr="007D0CFD">
        <w:rPr>
          <w:rStyle w:val="IntenseEmphasis"/>
          <w:b/>
          <w:bCs w:val="0"/>
          <w:iCs w:val="0"/>
          <w:color w:val="548DD4" w:themeColor="text2" w:themeTint="99"/>
          <w:sz w:val="20"/>
        </w:rPr>
        <w:t>. Kvalitativni pokazatelji (J)</w:t>
      </w:r>
      <w:bookmarkEnd w:id="1081"/>
      <w:bookmarkEnd w:id="1082"/>
      <w:bookmarkEnd w:id="10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8845"/>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w:t>
            </w:r>
            <w:r w:rsidR="00C12005" w:rsidRPr="004E6412">
              <w:rPr>
                <w:b/>
                <w:sz w:val="22"/>
              </w:rPr>
              <w:t>st i kvaliteta proizvodnih čimbenika</w:t>
            </w:r>
          </w:p>
        </w:tc>
        <w:tc>
          <w:tcPr>
            <w:tcW w:w="3110" w:type="pct"/>
            <w:shd w:val="clear" w:color="auto" w:fill="auto"/>
          </w:tcPr>
          <w:p w:rsidR="001B41B0" w:rsidRPr="004E6412" w:rsidRDefault="00C12005" w:rsidP="0097195F">
            <w:pPr>
              <w:spacing w:line="240" w:lineRule="auto"/>
              <w:rPr>
                <w:sz w:val="22"/>
              </w:rPr>
            </w:pPr>
            <w:r w:rsidRPr="004E6412">
              <w:rPr>
                <w:sz w:val="22"/>
              </w:rPr>
              <w:t>Manjak obrazovane</w:t>
            </w:r>
            <w:r w:rsidR="001B41B0" w:rsidRPr="004E6412">
              <w:rPr>
                <w:sz w:val="22"/>
              </w:rPr>
              <w:t xml:space="preserve"> radne snage koja predstavlja najvažniji </w:t>
            </w:r>
            <w:r w:rsidR="001B41B0" w:rsidRPr="004E6412">
              <w:rPr>
                <w:i/>
                <w:sz w:val="22"/>
              </w:rPr>
              <w:t>input</w:t>
            </w:r>
            <w:r w:rsidR="001B41B0" w:rsidRPr="004E6412">
              <w:rPr>
                <w:sz w:val="22"/>
              </w:rPr>
              <w:t xml:space="preserve"> ove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Usluge ove industrije namijenjene su finalnoj potrošnji. Država bi trebala igrati značajnu ulogu u stvaranju pretpostavki za prodaju usluga ove industrije (poboljšati infrastrukturnu opremljenost, informatizacija javnih poduzeća, uvođenje e-usluga u javna poduzeća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Nije moguće donijeti jedinstven zaključak zbog razlika među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Posebne zakonske odredbe za navedeno područje: Zakon o elektro</w:t>
            </w:r>
            <w:r w:rsidR="00C12005" w:rsidRPr="004E6412">
              <w:rPr>
                <w:sz w:val="22"/>
              </w:rPr>
              <w:t>ničkim komunikacijama, Zakon o h</w:t>
            </w:r>
            <w:r w:rsidRPr="004E6412">
              <w:rPr>
                <w:sz w:val="22"/>
              </w:rPr>
              <w:t>rvatskoj radioteleviziji, Zakon o audiovizualnim djelatnostima, Zakon o elektroničkim medijima, Zakon o elektroničkoj ispravi, Zakon o elektroničkoj trgovini, Zakon o informacijskoj sigurnosti, Zakon o medijima, Zakon o poštanskim uslugama i drugi.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Osobito izraženu koncentraciju pokazuju djelatnosti emitiranja programa i telekomunikacija u kojima 2 odnosno 3 poduzeća ostvaruju 72%</w:t>
            </w:r>
            <w:r w:rsidR="00C12005" w:rsidRPr="004E6412">
              <w:rPr>
                <w:sz w:val="22"/>
              </w:rPr>
              <w:t>,</w:t>
            </w:r>
            <w:r w:rsidRPr="004E6412">
              <w:rPr>
                <w:sz w:val="22"/>
              </w:rPr>
              <w:t xml:space="preserve"> odnosno 79%</w:t>
            </w:r>
            <w:r w:rsidR="00C12005" w:rsidRPr="004E6412">
              <w:rPr>
                <w:sz w:val="22"/>
              </w:rPr>
              <w:t>,</w:t>
            </w:r>
            <w:r w:rsidRPr="004E6412">
              <w:rPr>
                <w:sz w:val="22"/>
              </w:rPr>
              <w:t xml:space="preserve"> ukupnih prihoda djelatnosti. Najmanju koncentraciju ima djelatnost računalnog programiranja, savjetovanja i djelatnosti povez</w:t>
            </w:r>
            <w:r w:rsidR="00C12005" w:rsidRPr="004E6412">
              <w:rPr>
                <w:sz w:val="22"/>
              </w:rPr>
              <w:t>ane s njima. Slično je stanje</w:t>
            </w:r>
            <w:r w:rsidRPr="004E6412">
              <w:rPr>
                <w:sz w:val="22"/>
              </w:rPr>
              <w:t xml:space="preserve"> koncentracije i s obzirom na broj zaposlenih po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Veliki izvozni potencijal. Domaće tržište je malo i izrazito konkurentno tako da su se poduz</w:t>
            </w:r>
            <w:r w:rsidR="00C12005" w:rsidRPr="004E6412">
              <w:rPr>
                <w:sz w:val="22"/>
              </w:rPr>
              <w:t>eća nužno morala usmjeriti prema</w:t>
            </w:r>
            <w:r w:rsidRPr="004E6412">
              <w:rPr>
                <w:sz w:val="22"/>
              </w:rPr>
              <w:t xml:space="preserve"> izvoz</w:t>
            </w:r>
            <w:r w:rsidR="00C12005" w:rsidRPr="004E6412">
              <w:rPr>
                <w:sz w:val="22"/>
              </w:rPr>
              <w:t>u</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w:t>
            </w:r>
            <w:r w:rsidR="00C12005" w:rsidRPr="004E6412">
              <w:rPr>
                <w:sz w:val="22"/>
              </w:rPr>
              <w:t>jal rasta i zapošljavanja velik</w:t>
            </w:r>
            <w:r w:rsidRPr="004E6412">
              <w:rPr>
                <w:sz w:val="22"/>
              </w:rPr>
              <w:t>, a</w:t>
            </w:r>
            <w:r w:rsidR="00C12005" w:rsidRPr="004E6412">
              <w:rPr>
                <w:sz w:val="22"/>
              </w:rPr>
              <w:t>li zapošljavanje</w:t>
            </w:r>
            <w:r w:rsidRPr="004E6412">
              <w:rPr>
                <w:sz w:val="22"/>
              </w:rPr>
              <w:t xml:space="preserve"> radne snage koja je na t</w:t>
            </w:r>
            <w:r w:rsidR="00C12005" w:rsidRPr="004E6412">
              <w:rPr>
                <w:sz w:val="22"/>
              </w:rPr>
              <w:t>ržištu rada deficitarna (visoko</w:t>
            </w:r>
            <w:r w:rsidRPr="004E6412">
              <w:rPr>
                <w:sz w:val="22"/>
              </w:rPr>
              <w:t>stručna radna snaga, inženjeri). Posebno se ističe potencijal rasta i zapošljavanja poddjelatnosti J62 Računalno programiranje, savjetovanje i djelatnosti povezane s njima.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after="200"/>
        <w:jc w:val="left"/>
        <w:rPr>
          <w:sz w:val="22"/>
        </w:rPr>
      </w:pPr>
    </w:p>
    <w:p w:rsidR="001B41B0" w:rsidRPr="004E6412" w:rsidRDefault="001B41B0" w:rsidP="001B41B0">
      <w:pPr>
        <w:spacing w:after="200"/>
        <w:jc w:val="left"/>
        <w:rPr>
          <w:rFonts w:eastAsia="Times New Roman"/>
          <w:color w:val="17365D"/>
          <w:spacing w:val="5"/>
          <w:kern w:val="28"/>
          <w:sz w:val="52"/>
          <w:szCs w:val="52"/>
        </w:r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spacing w:val="-4"/>
          <w:lang w:eastAsia="hr-HR"/>
        </w:rPr>
      </w:pPr>
      <w:bookmarkStart w:id="1084" w:name="_Toc366154468"/>
      <w:bookmarkStart w:id="1085" w:name="_Toc366410015"/>
      <w:bookmarkStart w:id="1086" w:name="_Toc378069153"/>
      <w:bookmarkEnd w:id="1073"/>
      <w:bookmarkEnd w:id="1074"/>
      <w:bookmarkEnd w:id="1075"/>
      <w:r w:rsidRPr="004E6412">
        <w:rPr>
          <w:rFonts w:ascii="Times New Roman" w:hAnsi="Times New Roman"/>
        </w:rPr>
        <w:lastRenderedPageBreak/>
        <w:t xml:space="preserve">Model vrednovanja i </w:t>
      </w:r>
      <w:r w:rsidR="005B1407" w:rsidRPr="004E6412">
        <w:rPr>
          <w:rFonts w:ascii="Times New Roman" w:hAnsi="Times New Roman"/>
        </w:rPr>
        <w:t>grupiranja</w:t>
      </w:r>
      <w:r w:rsidRPr="004E6412">
        <w:rPr>
          <w:rFonts w:ascii="Times New Roman" w:hAnsi="Times New Roman"/>
        </w:rPr>
        <w:t xml:space="preserve"> ključnih </w:t>
      </w:r>
      <w:r w:rsidR="005B1407" w:rsidRPr="004E6412">
        <w:rPr>
          <w:rFonts w:ascii="Times New Roman" w:hAnsi="Times New Roman"/>
        </w:rPr>
        <w:t>pod</w:t>
      </w:r>
      <w:r w:rsidRPr="004E6412">
        <w:rPr>
          <w:rFonts w:ascii="Times New Roman" w:hAnsi="Times New Roman"/>
        </w:rPr>
        <w:t>djelatnosti</w:t>
      </w:r>
      <w:bookmarkEnd w:id="1084"/>
      <w:bookmarkEnd w:id="1085"/>
      <w:bookmarkEnd w:id="1086"/>
    </w:p>
    <w:p w:rsidR="005B1407" w:rsidRPr="004E6412" w:rsidRDefault="005B1407" w:rsidP="005B1407">
      <w:pPr>
        <w:rPr>
          <w:rFonts w:eastAsia="Times New Roman"/>
          <w:b/>
          <w:bCs/>
          <w:szCs w:val="26"/>
          <w:lang w:eastAsia="hr-HR"/>
        </w:rPr>
      </w:pPr>
      <w:bookmarkStart w:id="1087" w:name="_Toc367117052"/>
    </w:p>
    <w:p w:rsidR="005B1407" w:rsidRPr="004E6412" w:rsidRDefault="005B1407" w:rsidP="005B1407">
      <w:pPr>
        <w:pStyle w:val="Heading2"/>
      </w:pPr>
      <w:bookmarkStart w:id="1088" w:name="_Toc378069154"/>
      <w:r w:rsidRPr="004E6412">
        <w:t>Kriteriji vrednovanja industrijskih poddjelatnosti</w:t>
      </w:r>
      <w:bookmarkEnd w:id="1088"/>
      <w:r w:rsidRPr="004E6412">
        <w:t xml:space="preserve">  </w:t>
      </w:r>
    </w:p>
    <w:p w:rsidR="005B1407" w:rsidRPr="004E6412" w:rsidRDefault="005B1407" w:rsidP="005B1407">
      <w:pPr>
        <w:keepNext/>
        <w:keepLines/>
        <w:outlineLvl w:val="2"/>
        <w:rPr>
          <w:rFonts w:eastAsia="Times New Roman"/>
          <w:b/>
          <w:bCs/>
          <w:color w:val="365F91"/>
        </w:rPr>
      </w:pPr>
    </w:p>
    <w:p w:rsidR="006E2016" w:rsidRPr="004E6412" w:rsidRDefault="005B1407" w:rsidP="00B15A78">
      <w:pPr>
        <w:numPr>
          <w:ilvl w:val="0"/>
          <w:numId w:val="125"/>
        </w:numPr>
        <w:contextualSpacing/>
        <w:rPr>
          <w:bCs/>
          <w:sz w:val="22"/>
        </w:rPr>
      </w:pPr>
      <w:r w:rsidRPr="004E6412">
        <w:rPr>
          <w:bCs/>
          <w:sz w:val="22"/>
        </w:rPr>
        <w:t>S ciljem rangiranja i definiranja ocjena poddjelatnosti industrije izrađeno je i testirano nekoliko modela kako bi se pronašao onaj koji na najbolji mogući način dijagnosticira poddjelatnosti industrije koje imaju najveću sposobnost razvoja, rasta i zapošljavanja u Republici Hrvatskoj. Svaki od modela temeljio se na podacima iz financijskih izvještaja na razini poddjelatnosti industrije za razdoblje 2010.</w:t>
      </w:r>
      <w:r w:rsidR="00C45E92" w:rsidRPr="004E6412">
        <w:rPr>
          <w:bCs/>
          <w:sz w:val="22"/>
        </w:rPr>
        <w:t xml:space="preserve"> – </w:t>
      </w:r>
      <w:r w:rsidRPr="004E6412">
        <w:rPr>
          <w:bCs/>
          <w:sz w:val="22"/>
        </w:rPr>
        <w:t xml:space="preserve">2012. </w:t>
      </w:r>
    </w:p>
    <w:p w:rsidR="006E2016" w:rsidRPr="004E6412" w:rsidRDefault="006E2016" w:rsidP="006E2016">
      <w:pPr>
        <w:contextualSpacing/>
        <w:rPr>
          <w:bCs/>
          <w:sz w:val="22"/>
        </w:rPr>
      </w:pPr>
    </w:p>
    <w:p w:rsidR="005B1407" w:rsidRPr="004E6412" w:rsidRDefault="005B1407" w:rsidP="00B15A78">
      <w:pPr>
        <w:numPr>
          <w:ilvl w:val="0"/>
          <w:numId w:val="125"/>
        </w:numPr>
        <w:contextualSpacing/>
        <w:rPr>
          <w:bCs/>
          <w:sz w:val="22"/>
        </w:rPr>
      </w:pPr>
      <w:r w:rsidRPr="004E6412">
        <w:rPr>
          <w:bCs/>
          <w:sz w:val="22"/>
        </w:rPr>
        <w:t>Kroz različite modele analiziran je utjecaj sl</w:t>
      </w:r>
      <w:r w:rsidR="006E2016" w:rsidRPr="004E6412">
        <w:rPr>
          <w:bCs/>
          <w:sz w:val="22"/>
        </w:rPr>
        <w:t>jedećih odrednica ili varijabli</w:t>
      </w:r>
      <w:r w:rsidRPr="004E6412">
        <w:rPr>
          <w:bCs/>
          <w:sz w:val="22"/>
        </w:rPr>
        <w:t xml:space="preserve"> na rast i zapošljavanje određenih poddjelatnosti industrije: </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m</w:t>
      </w:r>
      <w:r w:rsidR="005B1407" w:rsidRPr="004E6412">
        <w:rPr>
          <w:rFonts w:ascii="Times New Roman" w:hAnsi="Times New Roman"/>
        </w:rPr>
        <w:t>akroekonomskih uvjeta poslovanja: fluktuacije</w:t>
      </w:r>
      <w:r w:rsidR="00742812" w:rsidRPr="004E6412">
        <w:rPr>
          <w:rFonts w:ascii="Times New Roman" w:hAnsi="Times New Roman"/>
        </w:rPr>
        <w:t xml:space="preserve"> u BDP-u i njegovim sastavnicama</w:t>
      </w:r>
      <w:r w:rsidR="005B1407" w:rsidRPr="004E6412">
        <w:rPr>
          <w:rFonts w:ascii="Times New Roman" w:hAnsi="Times New Roman"/>
        </w:rPr>
        <w:t>, zaposlenost, kamatna stopa, devizni tečaj, državna potrošnja, porezna politika i promjena u relativnim cijenama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 xml:space="preserve">Utjecaj </w:t>
      </w:r>
      <w:r w:rsidR="004823E2" w:rsidRPr="004E6412">
        <w:rPr>
          <w:rFonts w:ascii="Times New Roman" w:hAnsi="Times New Roman"/>
        </w:rPr>
        <w:t>potražnje</w:t>
      </w:r>
      <w:r w:rsidR="005B1407" w:rsidRPr="004E6412">
        <w:rPr>
          <w:rFonts w:ascii="Times New Roman" w:hAnsi="Times New Roman"/>
        </w:rPr>
        <w:t xml:space="preserve"> za industrijskim proizvodima: potrošnja stanovništva, investicije, potrošnja države, neto izvoz, potražnja za intermedijarnim proizvodima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nputa u proizvodnom proc</w:t>
      </w:r>
      <w:r w:rsidR="00C45E92" w:rsidRPr="004E6412">
        <w:rPr>
          <w:rFonts w:ascii="Times New Roman" w:hAnsi="Times New Roman"/>
        </w:rPr>
        <w:t>esu: fizička, dobra, radna snaga;</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u</w:t>
      </w:r>
      <w:r w:rsidR="005B1407" w:rsidRPr="004E6412">
        <w:rPr>
          <w:rFonts w:ascii="Times New Roman" w:hAnsi="Times New Roman"/>
        </w:rPr>
        <w:t>lag</w:t>
      </w:r>
      <w:r w:rsidRPr="004E6412">
        <w:rPr>
          <w:rFonts w:ascii="Times New Roman" w:hAnsi="Times New Roman"/>
        </w:rPr>
        <w:t>anja u istraživanje i razvoj te inovacije</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ndustrijske strukture</w:t>
      </w:r>
      <w:r w:rsidR="00C45E92" w:rsidRPr="004E6412">
        <w:rPr>
          <w:rFonts w:ascii="Times New Roman" w:hAnsi="Times New Roman"/>
        </w:rPr>
        <w:t>;</w:t>
      </w:r>
      <w:r w:rsidR="005B1407" w:rsidRPr="004E6412">
        <w:rPr>
          <w:rFonts w:ascii="Times New Roman" w:hAnsi="Times New Roman"/>
        </w:rPr>
        <w:t xml:space="preserve"> </w:t>
      </w:r>
    </w:p>
    <w:p w:rsidR="005B1407" w:rsidRPr="004E6412" w:rsidRDefault="00C45E92" w:rsidP="00B15A78">
      <w:pPr>
        <w:pStyle w:val="ListParagraph"/>
        <w:numPr>
          <w:ilvl w:val="1"/>
          <w:numId w:val="125"/>
        </w:numPr>
        <w:spacing w:after="0"/>
        <w:rPr>
          <w:rFonts w:ascii="Times New Roman" w:hAnsi="Times New Roman"/>
        </w:rPr>
      </w:pPr>
      <w:r w:rsidRPr="004E6412">
        <w:rPr>
          <w:rFonts w:ascii="Times New Roman" w:hAnsi="Times New Roman"/>
        </w:rPr>
        <w:t>Utjecaj uvjeta</w:t>
      </w:r>
      <w:r w:rsidR="005B1407" w:rsidRPr="004E6412">
        <w:rPr>
          <w:rFonts w:ascii="Times New Roman" w:hAnsi="Times New Roman"/>
        </w:rPr>
        <w:t xml:space="preserve"> trgovinske razmjene s inozemstvom</w:t>
      </w:r>
      <w:r w:rsidRPr="004E6412">
        <w:rPr>
          <w:rFonts w:ascii="Times New Roman" w:hAnsi="Times New Roman"/>
        </w:rPr>
        <w:t>.</w:t>
      </w:r>
    </w:p>
    <w:p w:rsidR="00FA434D" w:rsidRPr="004E6412" w:rsidRDefault="00FA434D" w:rsidP="00FA434D">
      <w:pPr>
        <w:pStyle w:val="ListParagraph"/>
        <w:spacing w:after="0"/>
        <w:ind w:left="1440"/>
        <w:rPr>
          <w:rFonts w:ascii="Times New Roman" w:hAnsi="Times New Roman"/>
        </w:rPr>
      </w:pPr>
    </w:p>
    <w:p w:rsidR="005B1407" w:rsidRPr="004E6412" w:rsidRDefault="005B1407" w:rsidP="00B15A78">
      <w:pPr>
        <w:numPr>
          <w:ilvl w:val="0"/>
          <w:numId w:val="125"/>
        </w:numPr>
        <w:contextualSpacing/>
        <w:rPr>
          <w:bCs/>
          <w:sz w:val="22"/>
        </w:rPr>
      </w:pPr>
      <w:r w:rsidRPr="004E6412">
        <w:rPr>
          <w:bCs/>
          <w:sz w:val="22"/>
        </w:rPr>
        <w:t>Ključni zaključci koji su utjecali na odabir modela vrednovanja poddjelatnosti su:</w:t>
      </w:r>
    </w:p>
    <w:p w:rsidR="005B1407" w:rsidRPr="004E6412" w:rsidRDefault="005B1407" w:rsidP="00B15A78">
      <w:pPr>
        <w:numPr>
          <w:ilvl w:val="1"/>
          <w:numId w:val="125"/>
        </w:numPr>
        <w:contextualSpacing/>
        <w:rPr>
          <w:bCs/>
          <w:sz w:val="22"/>
        </w:rPr>
      </w:pPr>
      <w:r w:rsidRPr="004E6412">
        <w:rPr>
          <w:bCs/>
          <w:sz w:val="22"/>
        </w:rPr>
        <w:t xml:space="preserve">Realno aprecirani devizni tečaj domaće valute negativno utječe na cjenovnu konkurentnost domaće robe na inozemnom tržištu, što se može </w:t>
      </w:r>
      <w:r w:rsidR="00221960" w:rsidRPr="004E6412">
        <w:rPr>
          <w:bCs/>
          <w:sz w:val="22"/>
        </w:rPr>
        <w:t>smatrati značajnom odrednicom</w:t>
      </w:r>
      <w:r w:rsidRPr="004E6412">
        <w:rPr>
          <w:bCs/>
          <w:sz w:val="22"/>
        </w:rPr>
        <w:t xml:space="preserve"> strukture industrijske proizvodnje koja domaću robu i robni izvoz usmjerava prema proizvodnji i izvozu proizvoda koji su manje cjenovno osjetljivi</w:t>
      </w:r>
      <w:r w:rsidR="00C45E92" w:rsidRPr="004E6412">
        <w:rPr>
          <w:bCs/>
          <w:sz w:val="22"/>
        </w:rPr>
        <w:t>.</w:t>
      </w:r>
    </w:p>
    <w:p w:rsidR="005B1407" w:rsidRPr="004E6412" w:rsidRDefault="005B1407" w:rsidP="00B15A78">
      <w:pPr>
        <w:numPr>
          <w:ilvl w:val="1"/>
          <w:numId w:val="125"/>
        </w:numPr>
        <w:contextualSpacing/>
        <w:rPr>
          <w:bCs/>
          <w:sz w:val="22"/>
        </w:rPr>
      </w:pPr>
      <w:r w:rsidRPr="004E6412">
        <w:rPr>
          <w:sz w:val="22"/>
        </w:rPr>
        <w:t>Povećanje investicija u fiksni kapital i povećanje zastupljenosti radne snage visokog stupnja obrazovanja moglo bi pozitivno utjecati na produktivnost rada i približavanje razvijenijim zemljama članicama Europske unije. Omjer troška rada i produktivnosti rada nije toliko nepovoljan, što nameće pitanje strukture industrijske proizvodnje u RH i potražnje za proizvedenom robom na međunarodnim tržištima, a prije svega na tržištu Europske unije</w:t>
      </w:r>
      <w:r w:rsidRPr="004E6412">
        <w:rPr>
          <w:i/>
          <w:szCs w:val="24"/>
        </w:rPr>
        <w:t>.</w:t>
      </w:r>
    </w:p>
    <w:p w:rsidR="00FA434D" w:rsidRPr="004E6412" w:rsidRDefault="005B1407" w:rsidP="00B15A78">
      <w:pPr>
        <w:numPr>
          <w:ilvl w:val="1"/>
          <w:numId w:val="125"/>
        </w:numPr>
        <w:contextualSpacing/>
        <w:rPr>
          <w:bCs/>
          <w:sz w:val="22"/>
        </w:rPr>
      </w:pPr>
      <w:r w:rsidRPr="004E6412">
        <w:rPr>
          <w:bCs/>
          <w:sz w:val="22"/>
        </w:rPr>
        <w:t>Osobna potrošnja zauzima najv</w:t>
      </w:r>
      <w:r w:rsidR="00C45E92" w:rsidRPr="004E6412">
        <w:rPr>
          <w:bCs/>
          <w:sz w:val="22"/>
        </w:rPr>
        <w:t xml:space="preserve">eći udio u BDP-u, a  ovisna je </w:t>
      </w:r>
      <w:r w:rsidRPr="004E6412">
        <w:rPr>
          <w:bCs/>
          <w:sz w:val="22"/>
        </w:rPr>
        <w:t>o kretanju osobnog dohotka (realni pad u razdoblju 2009</w:t>
      </w:r>
      <w:r w:rsidR="00221960" w:rsidRPr="004E6412">
        <w:rPr>
          <w:bCs/>
          <w:sz w:val="22"/>
        </w:rPr>
        <w:t>.</w:t>
      </w:r>
      <w:r w:rsidRPr="004E6412">
        <w:rPr>
          <w:bCs/>
          <w:sz w:val="22"/>
        </w:rPr>
        <w:t xml:space="preserve"> – 2012</w:t>
      </w:r>
      <w:r w:rsidR="00221960" w:rsidRPr="004E6412">
        <w:rPr>
          <w:bCs/>
          <w:sz w:val="22"/>
        </w:rPr>
        <w:t>.</w:t>
      </w:r>
      <w:r w:rsidRPr="004E6412">
        <w:rPr>
          <w:bCs/>
          <w:sz w:val="22"/>
        </w:rPr>
        <w:t>) te je pod snažnim utjecajem kreditne aktivnosti po</w:t>
      </w:r>
      <w:r w:rsidR="00221960" w:rsidRPr="004E6412">
        <w:rPr>
          <w:bCs/>
          <w:sz w:val="22"/>
        </w:rPr>
        <w:t>slovnih ban</w:t>
      </w:r>
      <w:r w:rsidR="00C45E92" w:rsidRPr="004E6412">
        <w:rPr>
          <w:bCs/>
          <w:sz w:val="22"/>
        </w:rPr>
        <w:t xml:space="preserve">aka koje </w:t>
      </w:r>
      <w:r w:rsidR="00221960" w:rsidRPr="004E6412">
        <w:rPr>
          <w:bCs/>
          <w:sz w:val="22"/>
        </w:rPr>
        <w:t>su u razdoblju</w:t>
      </w:r>
      <w:r w:rsidRPr="004E6412">
        <w:rPr>
          <w:bCs/>
          <w:sz w:val="22"/>
        </w:rPr>
        <w:t xml:space="preserve"> 2003</w:t>
      </w:r>
      <w:r w:rsidR="00221960" w:rsidRPr="004E6412">
        <w:rPr>
          <w:bCs/>
          <w:sz w:val="22"/>
        </w:rPr>
        <w:t>.</w:t>
      </w:r>
      <w:r w:rsidRPr="004E6412">
        <w:rPr>
          <w:bCs/>
          <w:sz w:val="22"/>
        </w:rPr>
        <w:t xml:space="preserve"> – 2012</w:t>
      </w:r>
      <w:r w:rsidR="00221960" w:rsidRPr="004E6412">
        <w:rPr>
          <w:bCs/>
          <w:sz w:val="22"/>
        </w:rPr>
        <w:t>.</w:t>
      </w:r>
      <w:r w:rsidRPr="004E6412">
        <w:rPr>
          <w:bCs/>
          <w:sz w:val="22"/>
        </w:rPr>
        <w:t xml:space="preserve"> imale </w:t>
      </w:r>
      <w:r w:rsidR="00C45E92" w:rsidRPr="004E6412">
        <w:rPr>
          <w:bCs/>
          <w:sz w:val="22"/>
        </w:rPr>
        <w:t>znatan</w:t>
      </w:r>
      <w:r w:rsidRPr="004E6412">
        <w:rPr>
          <w:bCs/>
          <w:sz w:val="22"/>
        </w:rPr>
        <w:t xml:space="preserve"> utjecaj na potrošnju stanovništva.</w:t>
      </w:r>
    </w:p>
    <w:p w:rsidR="005B1407" w:rsidRPr="004E6412" w:rsidRDefault="00C45E92" w:rsidP="00B15A78">
      <w:pPr>
        <w:numPr>
          <w:ilvl w:val="1"/>
          <w:numId w:val="125"/>
        </w:numPr>
        <w:contextualSpacing/>
        <w:rPr>
          <w:bCs/>
          <w:sz w:val="22"/>
        </w:rPr>
      </w:pPr>
      <w:r w:rsidRPr="004E6412">
        <w:rPr>
          <w:bCs/>
          <w:sz w:val="22"/>
        </w:rPr>
        <w:t>Domaći robni izvoz obilježava</w:t>
      </w:r>
      <w:r w:rsidR="005B1407" w:rsidRPr="004E6412">
        <w:rPr>
          <w:bCs/>
          <w:sz w:val="22"/>
        </w:rPr>
        <w:t xml:space="preserve"> neelastičnost na promjene cijena s jedne strane, ali i dohodovna elastičnost s druge (85% promjena u robnom izvozu RH može </w:t>
      </w:r>
      <w:r w:rsidR="00FA434D" w:rsidRPr="004E6412">
        <w:rPr>
          <w:bCs/>
          <w:sz w:val="22"/>
        </w:rPr>
        <w:t>se objasniti promjenama realnog</w:t>
      </w:r>
      <w:r w:rsidR="005B1407" w:rsidRPr="004E6412">
        <w:rPr>
          <w:bCs/>
          <w:sz w:val="22"/>
        </w:rPr>
        <w:t xml:space="preserve"> deviznog tečaja i promjenama stope rasta BDP-a u EU). </w:t>
      </w:r>
      <w:r w:rsidR="005B1407" w:rsidRPr="004E6412">
        <w:rPr>
          <w:sz w:val="22"/>
        </w:rPr>
        <w:t xml:space="preserve">Robni izvoz RH prilagodio se makroekonomskim uvjetima poslovanja te se usmjerio u industrijske poddjelatnosti koje imaju manju elastičnost na promjenu cijena. </w:t>
      </w:r>
    </w:p>
    <w:p w:rsidR="005B1407" w:rsidRPr="004E6412" w:rsidRDefault="005B1407" w:rsidP="00B15A78">
      <w:pPr>
        <w:numPr>
          <w:ilvl w:val="0"/>
          <w:numId w:val="125"/>
        </w:numPr>
        <w:contextualSpacing/>
        <w:rPr>
          <w:bCs/>
          <w:sz w:val="22"/>
        </w:rPr>
      </w:pPr>
      <w:r w:rsidRPr="004E6412">
        <w:rPr>
          <w:bCs/>
          <w:sz w:val="22"/>
        </w:rPr>
        <w:lastRenderedPageBreak/>
        <w:t xml:space="preserve">Odabrani model temelji se na tri kriterija korištena za vrednovanje poddjelatnosti, grupiranje poddjelatnosti u skupine i njihovo rangiranje unutar skupine. Spomenuti kriteriji su: </w:t>
      </w:r>
      <w:r w:rsidR="00221960" w:rsidRPr="004E6412">
        <w:rPr>
          <w:b/>
          <w:bCs/>
          <w:sz w:val="22"/>
        </w:rPr>
        <w:t>(1)</w:t>
      </w:r>
      <w:r w:rsidR="00221960" w:rsidRPr="004E6412">
        <w:rPr>
          <w:bCs/>
          <w:sz w:val="22"/>
        </w:rPr>
        <w:t xml:space="preserve"> </w:t>
      </w:r>
      <w:r w:rsidRPr="004E6412">
        <w:rPr>
          <w:b/>
          <w:bCs/>
          <w:sz w:val="22"/>
        </w:rPr>
        <w:t xml:space="preserve">profitabilnost, </w:t>
      </w:r>
      <w:r w:rsidR="00221960" w:rsidRPr="004E6412">
        <w:rPr>
          <w:b/>
          <w:bCs/>
          <w:sz w:val="22"/>
        </w:rPr>
        <w:t xml:space="preserve">(2) </w:t>
      </w:r>
      <w:r w:rsidRPr="004E6412">
        <w:rPr>
          <w:b/>
          <w:bCs/>
          <w:sz w:val="22"/>
        </w:rPr>
        <w:t xml:space="preserve">izvozna orijentiranost i </w:t>
      </w:r>
      <w:r w:rsidR="00221960" w:rsidRPr="004E6412">
        <w:rPr>
          <w:b/>
          <w:bCs/>
          <w:sz w:val="22"/>
        </w:rPr>
        <w:t xml:space="preserve">(3) </w:t>
      </w:r>
      <w:r w:rsidRPr="004E6412">
        <w:rPr>
          <w:b/>
          <w:bCs/>
          <w:sz w:val="22"/>
        </w:rPr>
        <w:t>veličina poddjelatnosti</w:t>
      </w:r>
      <w:r w:rsidRPr="004E6412">
        <w:rPr>
          <w:bCs/>
          <w:sz w:val="22"/>
        </w:rPr>
        <w:t>.</w:t>
      </w:r>
    </w:p>
    <w:p w:rsidR="005B1407" w:rsidRPr="004E6412" w:rsidRDefault="005B1407" w:rsidP="00FA434D">
      <w:pPr>
        <w:ind w:left="720"/>
        <w:contextualSpacing/>
        <w:rPr>
          <w:bCs/>
          <w:sz w:val="22"/>
        </w:rPr>
      </w:pPr>
    </w:p>
    <w:p w:rsidR="005B1407" w:rsidRPr="004E6412" w:rsidRDefault="005B1407" w:rsidP="00B15A78">
      <w:pPr>
        <w:numPr>
          <w:ilvl w:val="0"/>
          <w:numId w:val="125"/>
        </w:numPr>
        <w:contextualSpacing/>
        <w:rPr>
          <w:bCs/>
        </w:rPr>
      </w:pPr>
      <w:r w:rsidRPr="004E6412">
        <w:rPr>
          <w:bCs/>
          <w:sz w:val="22"/>
        </w:rPr>
        <w:t>Profitabilnost mjerena EBITDA</w:t>
      </w:r>
      <w:r w:rsidR="00C45E92" w:rsidRPr="004E6412">
        <w:rPr>
          <w:bCs/>
          <w:sz w:val="22"/>
        </w:rPr>
        <w:t>-om</w:t>
      </w:r>
      <w:r w:rsidRPr="004E6412">
        <w:rPr>
          <w:bCs/>
          <w:sz w:val="22"/>
        </w:rPr>
        <w:t xml:space="preserve"> po zaposlenom</w:t>
      </w:r>
      <w:r w:rsidR="00C45E92" w:rsidRPr="004E6412">
        <w:rPr>
          <w:bCs/>
          <w:sz w:val="22"/>
        </w:rPr>
        <w:t>e</w:t>
      </w:r>
      <w:r w:rsidRPr="004E6412">
        <w:rPr>
          <w:bCs/>
          <w:sz w:val="22"/>
        </w:rPr>
        <w:t xml:space="preserve"> osnovni je kriterij vrednovanja uspješnosti poslovanja koji odraž</w:t>
      </w:r>
      <w:r w:rsidR="00C45E92" w:rsidRPr="004E6412">
        <w:rPr>
          <w:bCs/>
          <w:sz w:val="22"/>
        </w:rPr>
        <w:t>ava sposobnost određenog subjekt</w:t>
      </w:r>
      <w:r w:rsidRPr="004E6412">
        <w:rPr>
          <w:bCs/>
          <w:sz w:val="22"/>
        </w:rPr>
        <w:t xml:space="preserve">a u stvaranju bruto dodane vrijednosti. </w:t>
      </w:r>
    </w:p>
    <w:p w:rsidR="00FA434D" w:rsidRPr="004E6412" w:rsidRDefault="00FA434D" w:rsidP="00FA434D">
      <w:pPr>
        <w:contextualSpacing/>
        <w:rPr>
          <w:bCs/>
        </w:rPr>
      </w:pPr>
    </w:p>
    <w:p w:rsidR="005B1407" w:rsidRPr="004E6412" w:rsidRDefault="005B1407" w:rsidP="00B15A78">
      <w:pPr>
        <w:numPr>
          <w:ilvl w:val="0"/>
          <w:numId w:val="125"/>
        </w:numPr>
        <w:contextualSpacing/>
        <w:rPr>
          <w:bCs/>
          <w:sz w:val="22"/>
        </w:rPr>
      </w:pPr>
      <w:r w:rsidRPr="004E6412">
        <w:rPr>
          <w:bCs/>
          <w:sz w:val="22"/>
        </w:rPr>
        <w:t>Veličina poddjelatnosti</w:t>
      </w:r>
      <w:r w:rsidR="009568DC" w:rsidRPr="004E6412">
        <w:rPr>
          <w:bCs/>
          <w:sz w:val="22"/>
        </w:rPr>
        <w:t>,</w:t>
      </w:r>
      <w:r w:rsidRPr="004E6412">
        <w:rPr>
          <w:bCs/>
          <w:sz w:val="22"/>
        </w:rPr>
        <w:t xml:space="preserve"> definirana brojem zaposlenih u određenoj poddjelatnosti</w:t>
      </w:r>
      <w:r w:rsidR="009568DC" w:rsidRPr="004E6412">
        <w:rPr>
          <w:bCs/>
          <w:sz w:val="22"/>
        </w:rPr>
        <w:t>,</w:t>
      </w:r>
      <w:r w:rsidRPr="004E6412">
        <w:rPr>
          <w:bCs/>
          <w:sz w:val="22"/>
        </w:rPr>
        <w:t xml:space="preserve"> kriterij je</w:t>
      </w:r>
      <w:r w:rsidR="00C45E92" w:rsidRPr="004E6412">
        <w:rPr>
          <w:bCs/>
          <w:sz w:val="22"/>
        </w:rPr>
        <w:t xml:space="preserve"> značaja</w:t>
      </w:r>
      <w:r w:rsidRPr="004E6412">
        <w:rPr>
          <w:bCs/>
          <w:sz w:val="22"/>
        </w:rPr>
        <w:t xml:space="preserve"> poddjelatnosti za cjelokupno gospodarstvo</w:t>
      </w:r>
      <w:r w:rsidR="009568DC" w:rsidRPr="004E6412">
        <w:rPr>
          <w:bCs/>
          <w:sz w:val="22"/>
        </w:rPr>
        <w:t>.</w:t>
      </w:r>
      <w:r w:rsidRPr="004E6412">
        <w:rPr>
          <w:bCs/>
          <w:sz w:val="22"/>
        </w:rPr>
        <w:t xml:space="preserve"> </w:t>
      </w:r>
    </w:p>
    <w:p w:rsidR="005B1407" w:rsidRPr="004E6412" w:rsidRDefault="005B1407" w:rsidP="00FA434D">
      <w:pPr>
        <w:pStyle w:val="ListParagraph"/>
        <w:spacing w:after="0"/>
        <w:rPr>
          <w:rFonts w:ascii="Times New Roman" w:hAnsi="Times New Roman"/>
          <w:bCs/>
        </w:rPr>
      </w:pPr>
    </w:p>
    <w:p w:rsidR="005B1407" w:rsidRPr="004E6412" w:rsidRDefault="00C45E92" w:rsidP="00B15A78">
      <w:pPr>
        <w:numPr>
          <w:ilvl w:val="0"/>
          <w:numId w:val="125"/>
        </w:numPr>
        <w:contextualSpacing/>
        <w:rPr>
          <w:bCs/>
          <w:sz w:val="22"/>
        </w:rPr>
      </w:pPr>
      <w:r w:rsidRPr="004E6412">
        <w:rPr>
          <w:bCs/>
          <w:sz w:val="22"/>
        </w:rPr>
        <w:t>Orijentacija prem</w:t>
      </w:r>
      <w:r w:rsidR="009568DC" w:rsidRPr="004E6412">
        <w:rPr>
          <w:bCs/>
          <w:sz w:val="22"/>
        </w:rPr>
        <w:t xml:space="preserve">a inozemnim tržištima, odnosno izvozna orijentacija uzeta je kao važan kriterij pri ocjeni uspješnosti poslovanja te sposobnosti budućeg rasta industrijskih poddjelatnosti budući </w:t>
      </w:r>
      <w:r w:rsidRPr="004E6412">
        <w:rPr>
          <w:bCs/>
          <w:sz w:val="22"/>
        </w:rPr>
        <w:t xml:space="preserve">da </w:t>
      </w:r>
      <w:r w:rsidR="009568DC" w:rsidRPr="004E6412">
        <w:rPr>
          <w:bCs/>
          <w:sz w:val="22"/>
        </w:rPr>
        <w:t>d</w:t>
      </w:r>
      <w:r w:rsidR="00A50B73" w:rsidRPr="004E6412">
        <w:rPr>
          <w:bCs/>
          <w:sz w:val="22"/>
        </w:rPr>
        <w:t>omaća potražnja, koja je u značajnoj mjeri određena domaćom potrošnjom odnosno kreditima poslovnih banaka, ne može omogućiti rast domaće industri</w:t>
      </w:r>
      <w:r w:rsidR="009568DC" w:rsidRPr="004E6412">
        <w:rPr>
          <w:bCs/>
          <w:sz w:val="22"/>
        </w:rPr>
        <w:t>je željenom dinamikom.</w:t>
      </w:r>
    </w:p>
    <w:p w:rsidR="005B1407" w:rsidRPr="004E6412" w:rsidRDefault="005B1407" w:rsidP="00FA434D">
      <w:pPr>
        <w:rPr>
          <w:bCs/>
          <w:sz w:val="22"/>
        </w:rPr>
      </w:pPr>
    </w:p>
    <w:p w:rsidR="005B1407" w:rsidRPr="004E6412" w:rsidRDefault="005B1407" w:rsidP="00B15A78">
      <w:pPr>
        <w:numPr>
          <w:ilvl w:val="0"/>
          <w:numId w:val="125"/>
        </w:numPr>
        <w:contextualSpacing/>
        <w:rPr>
          <w:sz w:val="22"/>
        </w:rPr>
      </w:pPr>
      <w:r w:rsidRPr="004E6412">
        <w:rPr>
          <w:sz w:val="22"/>
        </w:rPr>
        <w:t>Industrijske poddjela</w:t>
      </w:r>
      <w:r w:rsidR="00C45E92" w:rsidRPr="004E6412">
        <w:rPr>
          <w:sz w:val="22"/>
        </w:rPr>
        <w:t>tnosti početno se dijele</w:t>
      </w:r>
      <w:r w:rsidRPr="004E6412">
        <w:rPr>
          <w:sz w:val="22"/>
        </w:rPr>
        <w:t xml:space="preserve"> u dvije skupine. Prvu skupinu čine one poddjelatnosti koje su u 2012. ostvarile pozitivan EBITDA, dok su u drugoj one poddjelatnosti koje su u 2012. ostvarile negativan EBITDA.</w:t>
      </w:r>
    </w:p>
    <w:p w:rsidR="005B1407" w:rsidRPr="004E6412" w:rsidRDefault="005B1407" w:rsidP="00FA434D">
      <w:pPr>
        <w:rPr>
          <w:sz w:val="22"/>
        </w:rPr>
      </w:pPr>
    </w:p>
    <w:p w:rsidR="005B1407" w:rsidRPr="004E6412" w:rsidRDefault="00C45E92" w:rsidP="00B15A78">
      <w:pPr>
        <w:numPr>
          <w:ilvl w:val="0"/>
          <w:numId w:val="125"/>
        </w:numPr>
        <w:contextualSpacing/>
        <w:rPr>
          <w:sz w:val="22"/>
        </w:rPr>
      </w:pPr>
      <w:r w:rsidRPr="004E6412">
        <w:rPr>
          <w:sz w:val="22"/>
        </w:rPr>
        <w:t>Kako bi se utvrdile</w:t>
      </w:r>
      <w:r w:rsidR="005B1407" w:rsidRPr="004E6412">
        <w:rPr>
          <w:sz w:val="22"/>
        </w:rPr>
        <w:t xml:space="preserve"> poddjelatnosti koje imaju najbolji pokazatelj EBITDA/broj zaposlenih uz istovremeno poštivanje kriterija značajnosti broja zaposlenih, postavljen je problem kvadratnog programiranja oblika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broja zaposlenih u poddjelatnosti i ukupnog broja zaposlenih u svim promatranim granama gospodarske poddjelatnosti.</w:t>
      </w:r>
    </w:p>
    <w:p w:rsidR="005B1407" w:rsidRPr="004E6412" w:rsidRDefault="005B1407" w:rsidP="00B15A78">
      <w:pPr>
        <w:numPr>
          <w:ilvl w:val="1"/>
          <w:numId w:val="125"/>
        </w:numPr>
        <w:contextualSpacing/>
        <w:rPr>
          <w:sz w:val="22"/>
        </w:rPr>
      </w:pPr>
      <w:r w:rsidRPr="004E6412">
        <w:rPr>
          <w:sz w:val="22"/>
        </w:rPr>
        <w:t>Y – omjer EBITDA poddjelatnosti i broja zaposlenih u poddjelatnosti.</w:t>
      </w:r>
    </w:p>
    <w:p w:rsidR="005B1407" w:rsidRPr="004E6412" w:rsidRDefault="005B1407" w:rsidP="00FA434D">
      <w:pPr>
        <w:contextualSpacing/>
        <w:rPr>
          <w:sz w:val="22"/>
        </w:rPr>
      </w:pPr>
    </w:p>
    <w:p w:rsidR="005B1407" w:rsidRPr="004E6412" w:rsidRDefault="005B1407" w:rsidP="00B15A78">
      <w:pPr>
        <w:numPr>
          <w:ilvl w:val="0"/>
          <w:numId w:val="125"/>
        </w:numPr>
        <w:contextualSpacing/>
        <w:rPr>
          <w:bCs/>
          <w:sz w:val="22"/>
        </w:rPr>
      </w:pPr>
      <w:r w:rsidRPr="004E6412">
        <w:rPr>
          <w:bCs/>
          <w:sz w:val="22"/>
        </w:rPr>
        <w:t>Navedeni ob</w:t>
      </w:r>
      <w:r w:rsidR="00C45E92" w:rsidRPr="004E6412">
        <w:rPr>
          <w:bCs/>
          <w:sz w:val="22"/>
        </w:rPr>
        <w:t xml:space="preserve">lik kvadratnog programiranja </w:t>
      </w:r>
      <w:r w:rsidRPr="004E6412">
        <w:rPr>
          <w:bCs/>
          <w:sz w:val="22"/>
        </w:rPr>
        <w:t>jedini</w:t>
      </w:r>
      <w:r w:rsidR="00C45E92" w:rsidRPr="004E6412">
        <w:rPr>
          <w:bCs/>
          <w:sz w:val="22"/>
        </w:rPr>
        <w:t xml:space="preserve"> je</w:t>
      </w:r>
      <w:r w:rsidRPr="004E6412">
        <w:rPr>
          <w:bCs/>
          <w:sz w:val="22"/>
        </w:rPr>
        <w:t xml:space="preserve"> pristup koji može dati odgovor na postavljeno pitanje: „Koje su </w:t>
      </w:r>
      <w:r w:rsidR="00221960" w:rsidRPr="004E6412">
        <w:rPr>
          <w:bCs/>
          <w:sz w:val="22"/>
        </w:rPr>
        <w:t>industrijske poddjelatnosti profitabilne</w:t>
      </w:r>
      <w:r w:rsidRPr="004E6412">
        <w:rPr>
          <w:bCs/>
          <w:sz w:val="22"/>
        </w:rPr>
        <w:t xml:space="preserve"> i istovremeno velike i, u tom smislu, značajne za domaće gospodarstvo?“.</w:t>
      </w:r>
    </w:p>
    <w:p w:rsidR="005B1407" w:rsidRPr="004E6412" w:rsidRDefault="005B1407" w:rsidP="00FA434D">
      <w:pPr>
        <w:ind w:left="720"/>
        <w:contextualSpacing/>
        <w:rPr>
          <w:sz w:val="22"/>
        </w:rPr>
      </w:pPr>
    </w:p>
    <w:p w:rsidR="005B1407" w:rsidRPr="004E6412" w:rsidRDefault="005B1407" w:rsidP="00B15A78">
      <w:pPr>
        <w:numPr>
          <w:ilvl w:val="0"/>
          <w:numId w:val="125"/>
        </w:numPr>
        <w:contextualSpacing/>
        <w:rPr>
          <w:sz w:val="22"/>
        </w:rPr>
      </w:pPr>
      <w:r w:rsidRPr="004E6412">
        <w:rPr>
          <w:sz w:val="22"/>
        </w:rPr>
        <w:t>Nakon definiranja funkcije cilja tra</w:t>
      </w:r>
      <w:r w:rsidR="00C45E92" w:rsidRPr="004E6412">
        <w:rPr>
          <w:sz w:val="22"/>
        </w:rPr>
        <w:t>žilo se optimalno i suboptimalno rješenje. Rezultate</w:t>
      </w:r>
      <w:r w:rsidRPr="004E6412">
        <w:rPr>
          <w:sz w:val="22"/>
        </w:rPr>
        <w:t xml:space="preserve"> rješenja postavljenog</w:t>
      </w:r>
      <w:r w:rsidR="00C45E92" w:rsidRPr="004E6412">
        <w:rPr>
          <w:sz w:val="22"/>
        </w:rPr>
        <w:t>a</w:t>
      </w:r>
      <w:r w:rsidRPr="004E6412">
        <w:rPr>
          <w:sz w:val="22"/>
        </w:rPr>
        <w:t xml:space="preserve"> problema prikazuju poddjelatnosti u kojima je poželjno povećati broj zaposlenih s obzirom na kriterij značajnosti i profitabilnosti.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S ciljem ocjene poslovne orijentacije u smislu inozemnog i tuzemnog tržišta u obzir su uzeti ukupni poslovni prihod i prihod od izvoza.</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 xml:space="preserve">Udio prihoda od izvoza u poslovnom prihodu pojedine poddjelatnosti veći od </w:t>
      </w:r>
      <w:r w:rsidR="00221960" w:rsidRPr="004E6412">
        <w:rPr>
          <w:sz w:val="22"/>
        </w:rPr>
        <w:t>udjela prosječnog prihoda od izvoza u</w:t>
      </w:r>
      <w:r w:rsidRPr="004E6412">
        <w:rPr>
          <w:sz w:val="22"/>
        </w:rPr>
        <w:t xml:space="preserve"> poslovnom prihoda svih promatranih poddjelatnosti ukazuje na orijentaciju na inozemno tržište. Sve one poddjelatnosti koje, prema navedenom kriteriju, nisu orijentirane na</w:t>
      </w:r>
      <w:r w:rsidR="00C45E92" w:rsidRPr="004E6412">
        <w:rPr>
          <w:sz w:val="22"/>
        </w:rPr>
        <w:t xml:space="preserve"> inozemno tržište, definirane</w:t>
      </w:r>
      <w:r w:rsidRPr="004E6412">
        <w:rPr>
          <w:sz w:val="22"/>
        </w:rPr>
        <w:t xml:space="preserve"> su kao poddjelatnosti koje su orijentirane tuzemnom (d</w:t>
      </w:r>
      <w:r w:rsidR="00D73CC2" w:rsidRPr="004E6412">
        <w:rPr>
          <w:sz w:val="22"/>
        </w:rPr>
        <w:t>o</w:t>
      </w:r>
      <w:r w:rsidRPr="004E6412">
        <w:rPr>
          <w:sz w:val="22"/>
        </w:rPr>
        <w:t>maćem) tržištu.</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lastRenderedPageBreak/>
        <w:t>Poddjelatnosti koje su orijentirane na inozemna tržišta dodatno su klasificirane prema značajnosti koja se definira kao udio prihoda od izvoza pojedine poddjelatnosti u ukupnom prihodu od izvoza svih poddjelatnosti u promatranoj godini.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Kako bi se ocijenila izvozna orijentacija poddjelatnosti i njezin značaj u ukupnom izvozu zemlje, definiran je sljedeći problem kvadratnog programiranja: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prihoda od izvoza u poddjelatnosti i ukupnog poslovnog prihoda</w:t>
      </w:r>
      <w:r w:rsidR="00C45E92" w:rsidRPr="004E6412">
        <w:rPr>
          <w:sz w:val="22"/>
        </w:rPr>
        <w:t>,</w:t>
      </w:r>
    </w:p>
    <w:p w:rsidR="005B1407" w:rsidRPr="004E6412" w:rsidRDefault="005B1407" w:rsidP="00B15A78">
      <w:pPr>
        <w:numPr>
          <w:ilvl w:val="1"/>
          <w:numId w:val="125"/>
        </w:numPr>
        <w:contextualSpacing/>
        <w:rPr>
          <w:sz w:val="22"/>
        </w:rPr>
      </w:pPr>
      <w:r w:rsidRPr="004E6412">
        <w:rPr>
          <w:sz w:val="22"/>
        </w:rPr>
        <w:t>Y – omjer prihoda od izvoza u poddjelatnosti i prihoda od izvoza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Značaj poddjelatnosti orijentiranih tuzemnom tržištu utvrđen je prema udjelu poslovnog prihoda svake pojedine poddjelatnosti u ukupnom poslovnom prihodu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Dobiveni rezultati svih klasifikacija prikazani su na ljestvici od 0 do 10, kako bi se osigurala usporedivost.</w:t>
      </w:r>
    </w:p>
    <w:p w:rsidR="005B1407" w:rsidRPr="004E6412" w:rsidRDefault="005B1407" w:rsidP="00FA434D">
      <w:pPr>
        <w:pStyle w:val="ListParagraph"/>
        <w:spacing w:after="0"/>
        <w:rPr>
          <w:rFonts w:ascii="Times New Roman" w:hAnsi="Times New Roman"/>
        </w:rPr>
      </w:pPr>
    </w:p>
    <w:p w:rsidR="005B1407" w:rsidRPr="004E6412" w:rsidRDefault="005B1407" w:rsidP="00B15A78">
      <w:pPr>
        <w:numPr>
          <w:ilvl w:val="0"/>
          <w:numId w:val="125"/>
        </w:numPr>
        <w:contextualSpacing/>
        <w:rPr>
          <w:rFonts w:eastAsia="Times New Roman"/>
          <w:b/>
          <w:bCs/>
          <w:szCs w:val="26"/>
          <w:lang w:eastAsia="hr-HR"/>
        </w:rPr>
      </w:pPr>
      <w:r w:rsidRPr="004E6412">
        <w:rPr>
          <w:bCs/>
          <w:sz w:val="22"/>
        </w:rPr>
        <w:t>Nakon dobivene ocjene poddjelatnosti i njihova grupiranja temeljem odabranog mode</w:t>
      </w:r>
      <w:r w:rsidR="00C45E92" w:rsidRPr="004E6412">
        <w:rPr>
          <w:bCs/>
          <w:sz w:val="22"/>
        </w:rPr>
        <w:t>la, provedena je tzv. „stručna</w:t>
      </w:r>
      <w:r w:rsidR="00225B53">
        <w:rPr>
          <w:bCs/>
          <w:sz w:val="22"/>
        </w:rPr>
        <w:t>/ekspertna</w:t>
      </w:r>
      <w:r w:rsidRPr="004E6412">
        <w:rPr>
          <w:bCs/>
          <w:sz w:val="22"/>
        </w:rPr>
        <w:t xml:space="preserve"> analiza/procjena“ koja se temeljila na rezultatima provedene strateške analize industrijskih djelatnosti.</w:t>
      </w:r>
      <w:r w:rsidR="00C71141" w:rsidRPr="004E6412">
        <w:rPr>
          <w:bCs/>
          <w:sz w:val="22"/>
        </w:rPr>
        <w:t xml:space="preserve"> Rezultati primijenjenog modela korigirani su sukladno </w:t>
      </w:r>
      <w:r w:rsidR="00C45E92" w:rsidRPr="004E6412">
        <w:rPr>
          <w:bCs/>
          <w:sz w:val="22"/>
        </w:rPr>
        <w:t>stručnoj</w:t>
      </w:r>
      <w:r w:rsidR="00C71141" w:rsidRPr="004E6412">
        <w:rPr>
          <w:bCs/>
          <w:sz w:val="22"/>
        </w:rPr>
        <w:t xml:space="preserve"> procjeni</w:t>
      </w:r>
      <w:r w:rsidR="00C45E92" w:rsidRPr="004E6412">
        <w:rPr>
          <w:bCs/>
          <w:sz w:val="22"/>
        </w:rPr>
        <w:t>,</w:t>
      </w:r>
      <w:r w:rsidR="00C71141" w:rsidRPr="004E6412">
        <w:rPr>
          <w:bCs/>
          <w:sz w:val="22"/>
        </w:rPr>
        <w:t xml:space="preserve"> što je rezultiralo izdvajanjem određenih poddjelatnosti iz</w:t>
      </w:r>
      <w:r w:rsidR="009568DC" w:rsidRPr="004E6412">
        <w:rPr>
          <w:bCs/>
          <w:sz w:val="22"/>
        </w:rPr>
        <w:t xml:space="preserve"> skupina u koje su bile izvorno </w:t>
      </w:r>
      <w:r w:rsidR="00C71141" w:rsidRPr="004E6412">
        <w:rPr>
          <w:bCs/>
          <w:sz w:val="22"/>
        </w:rPr>
        <w:t>raspoređene u posebnu skupinu</w:t>
      </w:r>
      <w:r w:rsidR="000639AE" w:rsidRPr="004E6412">
        <w:rPr>
          <w:bCs/>
          <w:sz w:val="22"/>
        </w:rPr>
        <w:t>, a što je u nastavku detaljnije prikazano.</w:t>
      </w:r>
    </w:p>
    <w:p w:rsidR="005B1407" w:rsidRPr="004E6412" w:rsidRDefault="005B1407" w:rsidP="00FA434D">
      <w:pPr>
        <w:rPr>
          <w:rFonts w:eastAsia="Times New Roman"/>
          <w:b/>
          <w:bCs/>
          <w:szCs w:val="26"/>
          <w:lang w:eastAsia="hr-HR"/>
        </w:rPr>
      </w:pPr>
    </w:p>
    <w:p w:rsidR="005B1407" w:rsidRPr="004E6412" w:rsidRDefault="005B1407" w:rsidP="00FA434D"/>
    <w:p w:rsidR="001B41B0" w:rsidRPr="004E6412" w:rsidRDefault="001B41B0" w:rsidP="001B41B0">
      <w:pPr>
        <w:pStyle w:val="Heading2"/>
      </w:pPr>
      <w:bookmarkStart w:id="1089" w:name="_Toc367117064"/>
      <w:bookmarkStart w:id="1090" w:name="_Toc372088098"/>
      <w:bookmarkStart w:id="1091" w:name="_Toc378069155"/>
      <w:bookmarkEnd w:id="1087"/>
      <w:r w:rsidRPr="004E6412">
        <w:t>Rangiranje i podjela industrijskih poddjelatnosti u skupine</w:t>
      </w:r>
      <w:bookmarkEnd w:id="1089"/>
      <w:bookmarkEnd w:id="1090"/>
      <w:bookmarkEnd w:id="1091"/>
    </w:p>
    <w:p w:rsidR="001B41B0" w:rsidRPr="004E6412" w:rsidRDefault="001B41B0" w:rsidP="001B41B0">
      <w:pPr>
        <w:rPr>
          <w:lang w:eastAsia="hr-HR"/>
        </w:rPr>
      </w:pPr>
    </w:p>
    <w:p w:rsidR="00AB65F1" w:rsidRPr="004E6412" w:rsidRDefault="00AB65F1" w:rsidP="001B41B0">
      <w:pPr>
        <w:rPr>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 xml:space="preserve">U skladu s objašnjenim modelom vrednovanja i rangiranja poddjelatnosti, sve poddjelatnosti su podijeljene u pet osnovnih skupina i rangirane u skupinama kojima pripadaju. </w:t>
      </w:r>
      <w:r w:rsidR="00AB65F1" w:rsidRPr="004E6412">
        <w:rPr>
          <w:rFonts w:ascii="Times New Roman" w:hAnsi="Times New Roman"/>
          <w:lang w:eastAsia="hr-HR"/>
        </w:rPr>
        <w:t>Skupine</w:t>
      </w:r>
      <w:r w:rsidRPr="004E6412">
        <w:rPr>
          <w:rFonts w:ascii="Times New Roman" w:hAnsi="Times New Roman"/>
          <w:lang w:eastAsia="hr-HR"/>
        </w:rPr>
        <w:t xml:space="preserve"> u koje su razvrstane i</w:t>
      </w:r>
      <w:r w:rsidR="00AB65F1" w:rsidRPr="004E6412">
        <w:rPr>
          <w:rFonts w:ascii="Times New Roman" w:hAnsi="Times New Roman"/>
          <w:lang w:eastAsia="hr-HR"/>
        </w:rPr>
        <w:t>ndustrijske poddjelatnosti su:</w:t>
      </w:r>
    </w:p>
    <w:p w:rsidR="00AB65F1" w:rsidRPr="004E6412" w:rsidRDefault="00AB65F1" w:rsidP="00AB65F1">
      <w:pPr>
        <w:pStyle w:val="ListParagraph"/>
        <w:spacing w:after="0"/>
        <w:jc w:val="both"/>
        <w:rPr>
          <w:rFonts w:ascii="Times New Roman" w:hAnsi="Times New Roman"/>
          <w:lang w:eastAsia="hr-HR"/>
        </w:rPr>
      </w:pP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okretači“</w:t>
      </w:r>
      <w:r w:rsidRPr="004E6412">
        <w:rPr>
          <w:sz w:val="22"/>
          <w:lang w:eastAsia="hr-HR"/>
        </w:rPr>
        <w:t xml:space="preserve"> – velike izvozno orijentirane poddjelatnosti koje ostvaruju pozitivan EBITDA i zapošljavaju značajan broj zaposlenih. Od ovih poddjelatnosti očekuje se da ostvaruju veće stope rasta i zapošljavanja od kretanja BDP</w:t>
      </w:r>
      <w:r w:rsidR="00C45E92" w:rsidRPr="004E6412">
        <w:rPr>
          <w:sz w:val="22"/>
          <w:lang w:eastAsia="hr-HR"/>
        </w:rPr>
        <w:t>-a</w:t>
      </w:r>
      <w:r w:rsidRPr="004E6412">
        <w:rPr>
          <w:sz w:val="22"/>
          <w:lang w:eastAsia="hr-HR"/>
        </w:rPr>
        <w:t>, odnosno preko 5%, koji se temelji prvenstveno na povećanju izvoza.  Ključne industrijske poddjelatnosti.</w:t>
      </w:r>
    </w:p>
    <w:p w:rsidR="001B41B0" w:rsidRPr="004E6412" w:rsidRDefault="00C45E92"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Č</w:t>
      </w:r>
      <w:r w:rsidR="001B41B0" w:rsidRPr="004E6412">
        <w:rPr>
          <w:b/>
          <w:i/>
          <w:sz w:val="22"/>
          <w:lang w:eastAsia="hr-HR"/>
        </w:rPr>
        <w:t xml:space="preserve">uvari“ </w:t>
      </w:r>
      <w:r w:rsidR="001B41B0" w:rsidRPr="004E6412">
        <w:rPr>
          <w:sz w:val="22"/>
          <w:lang w:eastAsia="hr-HR"/>
        </w:rPr>
        <w:t>– velike industrijske poddjelatnosti usmjerene na domaće tržište koje ostvaruju pozitivan EBITDA i zapošljavaju značajan broj zaposlenih. S obzirom na orijentaciju na domaće tržište, očekuju se stope rasta u skladu s kretanjima naciona</w:t>
      </w:r>
      <w:r w:rsidRPr="004E6412">
        <w:rPr>
          <w:sz w:val="22"/>
          <w:lang w:eastAsia="hr-HR"/>
        </w:rPr>
        <w:t>lne ekonomije, u prosjeku od 1 do</w:t>
      </w:r>
      <w:r w:rsidR="001B41B0" w:rsidRPr="004E6412">
        <w:rPr>
          <w:sz w:val="22"/>
          <w:lang w:eastAsia="hr-HR"/>
        </w:rPr>
        <w:t xml:space="preserve"> 5%. Zadržavanje ili blago povećanje broja zaposlenih. Važne industrijske poddjelatnosti.</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U</w:t>
      </w:r>
      <w:r w:rsidRPr="004E6412">
        <w:rPr>
          <w:b/>
          <w:i/>
          <w:sz w:val="22"/>
          <w:lang w:eastAsia="hr-HR"/>
        </w:rPr>
        <w:t xml:space="preserve">pitnici“ </w:t>
      </w:r>
      <w:r w:rsidRPr="004E6412">
        <w:rPr>
          <w:sz w:val="22"/>
          <w:lang w:eastAsia="hr-HR"/>
        </w:rPr>
        <w:t xml:space="preserve">– poddjelatnosti koje ostvaruju pozitivan EBITDA, bez obzira na orijentaciju (izvoz ili domaće tržište), ali nisu dovoljno velike niti imaju jasno definiranu tržišnu perspektivu da bi se mogle rasporediti u ključne poddjelatnosti.  </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 xml:space="preserve">roblematični“ </w:t>
      </w:r>
      <w:r w:rsidRPr="004E6412">
        <w:rPr>
          <w:sz w:val="22"/>
          <w:lang w:eastAsia="hr-HR"/>
        </w:rPr>
        <w:t xml:space="preserve">– poddjelatnosti koje ostvaruju gubitke, nisu konkurentne, visoko </w:t>
      </w:r>
      <w:r w:rsidR="00141C68" w:rsidRPr="004E6412">
        <w:rPr>
          <w:sz w:val="22"/>
          <w:lang w:eastAsia="hr-HR"/>
        </w:rPr>
        <w:t>su zadužene, ovisne o  vanjskim čimbenicima</w:t>
      </w:r>
      <w:r w:rsidRPr="004E6412">
        <w:rPr>
          <w:sz w:val="22"/>
          <w:lang w:eastAsia="hr-HR"/>
        </w:rPr>
        <w:t xml:space="preserve">. </w:t>
      </w:r>
    </w:p>
    <w:p w:rsidR="001B41B0" w:rsidRPr="004E6412" w:rsidRDefault="001B41B0" w:rsidP="00B15A78">
      <w:pPr>
        <w:numPr>
          <w:ilvl w:val="0"/>
          <w:numId w:val="127"/>
        </w:numPr>
        <w:contextualSpacing/>
        <w:rPr>
          <w:sz w:val="22"/>
          <w:lang w:eastAsia="hr-HR"/>
        </w:rPr>
      </w:pPr>
      <w:r w:rsidRPr="004E6412">
        <w:rPr>
          <w:b/>
          <w:i/>
          <w:sz w:val="22"/>
          <w:lang w:eastAsia="hr-HR"/>
        </w:rPr>
        <w:lastRenderedPageBreak/>
        <w:t>„</w:t>
      </w:r>
      <w:r w:rsidR="00AB65F1" w:rsidRPr="004E6412">
        <w:rPr>
          <w:b/>
          <w:i/>
          <w:sz w:val="22"/>
          <w:lang w:eastAsia="hr-HR"/>
        </w:rPr>
        <w:t>B</w:t>
      </w:r>
      <w:r w:rsidRPr="004E6412">
        <w:rPr>
          <w:b/>
          <w:i/>
          <w:sz w:val="22"/>
          <w:lang w:eastAsia="hr-HR"/>
        </w:rPr>
        <w:t>ez utjecaja</w:t>
      </w:r>
      <w:r w:rsidRPr="004E6412">
        <w:rPr>
          <w:sz w:val="22"/>
          <w:lang w:eastAsia="hr-HR"/>
        </w:rPr>
        <w:t>“ – poddjelatnosti koje s obzirom na realizirane prihode i broj zaposlenih te uvažavajući projekcije razvoja, nemaju i neće imati značajnijeg utjecaja na industriju.</w:t>
      </w:r>
    </w:p>
    <w:p w:rsidR="001B41B0" w:rsidRPr="004E6412" w:rsidRDefault="001B41B0" w:rsidP="001B41B0">
      <w:pPr>
        <w:rPr>
          <w:sz w:val="22"/>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U posebnu tablicu (</w:t>
      </w:r>
      <w:r w:rsidR="00FB4A6B" w:rsidRPr="004E6412">
        <w:rPr>
          <w:rFonts w:ascii="Times New Roman" w:hAnsi="Times New Roman"/>
          <w:lang w:eastAsia="hr-HR"/>
        </w:rPr>
        <w:t>Tablica 115</w:t>
      </w:r>
      <w:r w:rsidR="00141C68" w:rsidRPr="004E6412">
        <w:rPr>
          <w:rFonts w:ascii="Times New Roman" w:hAnsi="Times New Roman"/>
          <w:lang w:eastAsia="hr-HR"/>
        </w:rPr>
        <w:t>.</w:t>
      </w:r>
      <w:r w:rsidRPr="004E6412">
        <w:rPr>
          <w:rFonts w:ascii="Times New Roman" w:hAnsi="Times New Roman"/>
          <w:lang w:eastAsia="hr-HR"/>
        </w:rPr>
        <w:t>) raspoređene su one djelatnosti i poddjelatnosti koje nisu bile uključene u sustav rangiranja i ocjenj</w:t>
      </w:r>
      <w:r w:rsidR="00141C68" w:rsidRPr="004E6412">
        <w:rPr>
          <w:rFonts w:ascii="Times New Roman" w:hAnsi="Times New Roman"/>
          <w:lang w:eastAsia="hr-HR"/>
        </w:rPr>
        <w:t>ivanja radi svoje posebnost</w:t>
      </w:r>
      <w:r w:rsidRPr="004E6412">
        <w:rPr>
          <w:rFonts w:ascii="Times New Roman" w:hAnsi="Times New Roman"/>
          <w:lang w:eastAsia="hr-HR"/>
        </w:rPr>
        <w:t xml:space="preserve">i (duhan, nafta, </w:t>
      </w:r>
      <w:r w:rsidR="009A357E">
        <w:rPr>
          <w:rFonts w:ascii="Times New Roman" w:hAnsi="Times New Roman"/>
          <w:lang w:eastAsia="hr-HR"/>
        </w:rPr>
        <w:t>telekomunikacije</w:t>
      </w:r>
      <w:r w:rsidRPr="004E6412">
        <w:rPr>
          <w:rFonts w:ascii="Times New Roman" w:hAnsi="Times New Roman"/>
          <w:lang w:eastAsia="hr-HR"/>
        </w:rPr>
        <w:t>) zbog koje nisu pr</w:t>
      </w:r>
      <w:r w:rsidR="00141C68" w:rsidRPr="004E6412">
        <w:rPr>
          <w:rFonts w:ascii="Times New Roman" w:hAnsi="Times New Roman"/>
          <w:lang w:eastAsia="hr-HR"/>
        </w:rPr>
        <w:t xml:space="preserve">edmet ove industrijske analize </w:t>
      </w:r>
      <w:r w:rsidRPr="004E6412">
        <w:rPr>
          <w:rFonts w:ascii="Times New Roman" w:hAnsi="Times New Roman"/>
          <w:lang w:eastAsia="hr-HR"/>
        </w:rPr>
        <w:t>ili zbog toga što su pod posebnim mjerama i programima države (brodogradnja, remont brodova i proizvodnja čelika).</w:t>
      </w:r>
    </w:p>
    <w:p w:rsidR="003C7F4B" w:rsidRPr="004E6412" w:rsidRDefault="003C7F4B" w:rsidP="001B41B0">
      <w:pPr>
        <w:spacing w:after="200" w:line="240" w:lineRule="auto"/>
        <w:rPr>
          <w:b/>
          <w:bCs/>
          <w:color w:val="4F81BD"/>
          <w:sz w:val="18"/>
          <w:szCs w:val="18"/>
        </w:rPr>
      </w:pPr>
      <w:bookmarkStart w:id="1092" w:name="_Toc367117104"/>
    </w:p>
    <w:p w:rsidR="001B41B0" w:rsidRPr="004E6412" w:rsidRDefault="00294426" w:rsidP="003C7F4B">
      <w:pPr>
        <w:pStyle w:val="Subtitle"/>
        <w:rPr>
          <w:lang w:val="hr-HR"/>
        </w:rPr>
      </w:pPr>
      <w:r>
        <w:rPr>
          <w:noProof/>
          <w:lang w:val="hr-HR" w:eastAsia="hr-HR"/>
        </w:rPr>
        <mc:AlternateContent>
          <mc:Choice Requires="wpg">
            <w:drawing>
              <wp:anchor distT="0" distB="0" distL="114300" distR="114300" simplePos="0" relativeHeight="251657728" behindDoc="0" locked="0" layoutInCell="1" allowOverlap="1">
                <wp:simplePos x="0" y="0"/>
                <wp:positionH relativeFrom="column">
                  <wp:posOffset>-451485</wp:posOffset>
                </wp:positionH>
                <wp:positionV relativeFrom="paragraph">
                  <wp:posOffset>238760</wp:posOffset>
                </wp:positionV>
                <wp:extent cx="6339840" cy="6677025"/>
                <wp:effectExtent l="19685" t="22860" r="31750" b="53340"/>
                <wp:wrapNone/>
                <wp:docPr id="178"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6677025"/>
                          <a:chOff x="608" y="2040"/>
                          <a:chExt cx="9056" cy="7586"/>
                        </a:xfrm>
                      </wpg:grpSpPr>
                      <wps:wsp>
                        <wps:cNvPr id="179" name="AutoShape 4"/>
                        <wps:cNvCnPr>
                          <a:cxnSpLocks noChangeShapeType="1"/>
                        </wps:cNvCnPr>
                        <wps:spPr bwMode="auto">
                          <a:xfrm>
                            <a:off x="4115" y="3480"/>
                            <a:ext cx="0" cy="277"/>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80" name="AutoShape 5"/>
                        <wps:cNvCnPr>
                          <a:cxnSpLocks noChangeShapeType="1"/>
                        </wps:cNvCnPr>
                        <wps:spPr bwMode="auto">
                          <a:xfrm>
                            <a:off x="2051"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81" name="Group 8"/>
                        <wpg:cNvGrpSpPr>
                          <a:grpSpLocks/>
                        </wpg:cNvGrpSpPr>
                        <wpg:grpSpPr bwMode="auto">
                          <a:xfrm>
                            <a:off x="608" y="2040"/>
                            <a:ext cx="9056" cy="7586"/>
                            <a:chOff x="608" y="2040"/>
                            <a:chExt cx="9056" cy="7586"/>
                          </a:xfrm>
                        </wpg:grpSpPr>
                        <wpg:grpSp>
                          <wpg:cNvPr id="182" name="Group 9"/>
                          <wpg:cNvGrpSpPr>
                            <a:grpSpLocks/>
                          </wpg:cNvGrpSpPr>
                          <wpg:grpSpPr bwMode="auto">
                            <a:xfrm>
                              <a:off x="608" y="2040"/>
                              <a:ext cx="9056" cy="7586"/>
                              <a:chOff x="608" y="1405"/>
                              <a:chExt cx="9056" cy="7586"/>
                            </a:xfrm>
                          </wpg:grpSpPr>
                          <wps:wsp>
                            <wps:cNvPr id="183" name="Text Box 10"/>
                            <wps:cNvSpPr txBox="1">
                              <a:spLocks noChangeArrowheads="1"/>
                            </wps:cNvSpPr>
                            <wps:spPr bwMode="auto">
                              <a:xfrm>
                                <a:off x="4019" y="1405"/>
                                <a:ext cx="2536"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PODDJELATNOSTI</w:t>
                                  </w:r>
                                </w:p>
                              </w:txbxContent>
                            </wps:txbx>
                            <wps:bodyPr rot="0" vert="horz" wrap="square" lIns="91440" tIns="45720" rIns="91440" bIns="45720" anchor="t" anchorCtr="0" upright="1">
                              <a:noAutofit/>
                            </wps:bodyPr>
                          </wps:wsp>
                          <wps:wsp>
                            <wps:cNvPr id="184" name="Text Box 11"/>
                            <wps:cNvSpPr txBox="1">
                              <a:spLocks noChangeArrowheads="1"/>
                            </wps:cNvSpPr>
                            <wps:spPr bwMode="auto">
                              <a:xfrm>
                                <a:off x="6984" y="1947"/>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EBITDA/</w:t>
                                  </w:r>
                                  <w:r>
                                    <w:rPr>
                                      <w:color w:val="365F91"/>
                                      <w:sz w:val="18"/>
                                      <w:szCs w:val="18"/>
                                    </w:rPr>
                                    <w:t xml:space="preserve">po </w:t>
                                  </w:r>
                                  <w:r w:rsidRPr="0097195F">
                                    <w:rPr>
                                      <w:color w:val="365F91"/>
                                      <w:sz w:val="18"/>
                                      <w:szCs w:val="18"/>
                                    </w:rPr>
                                    <w:t>zaposlenom</w:t>
                                  </w:r>
                                  <w:r>
                                    <w:rPr>
                                      <w:color w:val="365F91"/>
                                      <w:sz w:val="18"/>
                                      <w:szCs w:val="18"/>
                                    </w:rPr>
                                    <w:t>e</w:t>
                                  </w:r>
                                </w:p>
                              </w:txbxContent>
                            </wps:txbx>
                            <wps:bodyPr rot="0" vert="horz" wrap="square" lIns="91440" tIns="45720" rIns="91440" bIns="45720" anchor="t" anchorCtr="0" upright="1">
                              <a:noAutofit/>
                            </wps:bodyPr>
                          </wps:wsp>
                          <wps:wsp>
                            <wps:cNvPr id="185" name="Text Box 12"/>
                            <wps:cNvSpPr txBox="1">
                              <a:spLocks noChangeArrowheads="1"/>
                            </wps:cNvSpPr>
                            <wps:spPr bwMode="auto">
                              <a:xfrm>
                                <a:off x="2821" y="3122"/>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86" name="Text Box 13"/>
                            <wps:cNvSpPr txBox="1">
                              <a:spLocks noChangeArrowheads="1"/>
                            </wps:cNvSpPr>
                            <wps:spPr bwMode="auto">
                              <a:xfrm>
                                <a:off x="5782" y="3122"/>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87" name="Text Box 14"/>
                            <wps:cNvSpPr txBox="1">
                              <a:spLocks noChangeArrowheads="1"/>
                            </wps:cNvSpPr>
                            <wps:spPr bwMode="auto">
                              <a:xfrm>
                                <a:off x="608" y="4251"/>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Izvozna orijentacija</w:t>
                                  </w:r>
                                </w:p>
                              </w:txbxContent>
                            </wps:txbx>
                            <wps:bodyPr rot="0" vert="horz" wrap="square" lIns="91440" tIns="45720" rIns="91440" bIns="45720" anchor="t" anchorCtr="0" upright="1">
                              <a:noAutofit/>
                            </wps:bodyPr>
                          </wps:wsp>
                          <wps:wsp>
                            <wps:cNvPr id="188" name="Text Box 15"/>
                            <wps:cNvSpPr txBox="1">
                              <a:spLocks noChangeArrowheads="1"/>
                            </wps:cNvSpPr>
                            <wps:spPr bwMode="auto">
                              <a:xfrm>
                                <a:off x="1579" y="5460"/>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Izvozna orijentacija</w:t>
                                  </w:r>
                                </w:p>
                              </w:txbxContent>
                            </wps:txbx>
                            <wps:bodyPr rot="0" vert="horz" wrap="square" lIns="91440" tIns="45720" rIns="91440" bIns="45720" anchor="t" anchorCtr="0" upright="1">
                              <a:noAutofit/>
                            </wps:bodyPr>
                          </wps:wsp>
                          <wps:wsp>
                            <wps:cNvPr id="189" name="Text Box 16"/>
                            <wps:cNvSpPr txBox="1">
                              <a:spLocks noChangeArrowheads="1"/>
                            </wps:cNvSpPr>
                            <wps:spPr bwMode="auto">
                              <a:xfrm>
                                <a:off x="4544" y="5460"/>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Orijentacija na domaće tržište</w:t>
                                  </w:r>
                                </w:p>
                              </w:txbxContent>
                            </wps:txbx>
                            <wps:bodyPr rot="0" vert="horz" wrap="square" lIns="91440" tIns="45720" rIns="91440" bIns="45720" anchor="t" anchorCtr="0" upright="1">
                              <a:noAutofit/>
                            </wps:bodyPr>
                          </wps:wsp>
                          <wps:wsp>
                            <wps:cNvPr id="190" name="Text Box 17"/>
                            <wps:cNvSpPr txBox="1">
                              <a:spLocks noChangeArrowheads="1"/>
                            </wps:cNvSpPr>
                            <wps:spPr bwMode="auto">
                              <a:xfrm>
                                <a:off x="7224"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Male, + EBITDA</w:t>
                                  </w:r>
                                </w:p>
                              </w:txbxContent>
                            </wps:txbx>
                            <wps:bodyPr rot="0" vert="horz" wrap="square" lIns="91440" tIns="45720" rIns="91440" bIns="45720" anchor="t" anchorCtr="0" upright="1">
                              <a:noAutofit/>
                            </wps:bodyPr>
                          </wps:wsp>
                          <wps:wsp>
                            <wps:cNvPr id="191" name="Text Box 18"/>
                            <wps:cNvSpPr txBox="1">
                              <a:spLocks noChangeArrowheads="1"/>
                            </wps:cNvSpPr>
                            <wps:spPr bwMode="auto">
                              <a:xfrm>
                                <a:off x="4115"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Velike, orijentirane na domaće tržište, + EBITDA</w:t>
                                  </w:r>
                                </w:p>
                                <w:p w:rsidR="00683AF5" w:rsidRPr="0097195F" w:rsidRDefault="00683AF5" w:rsidP="001B41B0">
                                  <w:pPr>
                                    <w:jc w:val="center"/>
                                    <w:rPr>
                                      <w:b/>
                                      <w:color w:val="FFFFFF"/>
                                      <w:sz w:val="18"/>
                                      <w:szCs w:val="18"/>
                                    </w:rPr>
                                  </w:pPr>
                                </w:p>
                              </w:txbxContent>
                            </wps:txbx>
                            <wps:bodyPr rot="0" vert="horz" wrap="square" lIns="91440" tIns="45720" rIns="91440" bIns="45720" anchor="t" anchorCtr="0" upright="1">
                              <a:noAutofit/>
                            </wps:bodyPr>
                          </wps:wsp>
                          <wps:wsp>
                            <wps:cNvPr id="192" name="Text Box 19"/>
                            <wps:cNvSpPr txBox="1">
                              <a:spLocks noChangeArrowheads="1"/>
                            </wps:cNvSpPr>
                            <wps:spPr bwMode="auto">
                              <a:xfrm>
                                <a:off x="967" y="8288"/>
                                <a:ext cx="2440" cy="70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83AF5" w:rsidRPr="0097195F" w:rsidRDefault="00683AF5" w:rsidP="001B41B0">
                                  <w:pPr>
                                    <w:jc w:val="center"/>
                                    <w:rPr>
                                      <w:b/>
                                      <w:color w:val="FFFFFF"/>
                                      <w:sz w:val="18"/>
                                      <w:szCs w:val="18"/>
                                    </w:rPr>
                                  </w:pPr>
                                  <w:r w:rsidRPr="0097195F">
                                    <w:rPr>
                                      <w:b/>
                                      <w:color w:val="FFFFFF"/>
                                      <w:sz w:val="18"/>
                                      <w:szCs w:val="18"/>
                                    </w:rPr>
                                    <w:t xml:space="preserve">Velike, izvozno orijentirane, </w:t>
                                  </w:r>
                                </w:p>
                                <w:p w:rsidR="00683AF5" w:rsidRPr="0097195F" w:rsidRDefault="00683AF5" w:rsidP="001B41B0">
                                  <w:pPr>
                                    <w:jc w:val="center"/>
                                    <w:rPr>
                                      <w:b/>
                                      <w:color w:val="FFFFFF"/>
                                      <w:sz w:val="18"/>
                                      <w:szCs w:val="18"/>
                                    </w:rPr>
                                  </w:pPr>
                                  <w:r w:rsidRPr="0097195F">
                                    <w:rPr>
                                      <w:b/>
                                      <w:color w:val="FFFFFF"/>
                                      <w:sz w:val="18"/>
                                      <w:szCs w:val="18"/>
                                    </w:rPr>
                                    <w:t>+ EBITDA</w:t>
                                  </w:r>
                                </w:p>
                              </w:txbxContent>
                            </wps:txbx>
                            <wps:bodyPr rot="0" vert="horz" wrap="square" lIns="91440" tIns="45720" rIns="91440" bIns="45720" anchor="t" anchorCtr="0" upright="1">
                              <a:noAutofit/>
                            </wps:bodyPr>
                          </wps:wsp>
                          <wps:wsp>
                            <wps:cNvPr id="193" name="Text Box 20"/>
                            <wps:cNvSpPr txBox="1">
                              <a:spLocks noChangeArrowheads="1"/>
                            </wps:cNvSpPr>
                            <wps:spPr bwMode="auto">
                              <a:xfrm>
                                <a:off x="2584" y="6883"/>
                                <a:ext cx="2440" cy="703"/>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Relativna veličina</w:t>
                                  </w:r>
                                </w:p>
                              </w:txbxContent>
                            </wps:txbx>
                            <wps:bodyPr rot="0" vert="horz" wrap="square" lIns="54000" tIns="45720" rIns="54000" bIns="45720" anchor="ctr" anchorCtr="0" upright="1">
                              <a:noAutofit/>
                            </wps:bodyPr>
                          </wps:wsp>
                        </wpg:grpSp>
                        <wps:wsp>
                          <wps:cNvPr id="194" name="AutoShape 21"/>
                          <wps:cNvCnPr>
                            <a:cxnSpLocks noChangeShapeType="1"/>
                          </wps:cNvCnPr>
                          <wps:spPr bwMode="auto">
                            <a:xfrm>
                              <a:off x="3048" y="5278"/>
                              <a:ext cx="1226"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5" name="AutoShape 22"/>
                          <wps:cNvCnPr>
                            <a:cxnSpLocks noChangeShapeType="1"/>
                          </wps:cNvCnPr>
                          <wps:spPr bwMode="auto">
                            <a:xfrm>
                              <a:off x="4274" y="5278"/>
                              <a:ext cx="0" cy="529"/>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6" name="AutoShape 23"/>
                          <wps:cNvCnPr>
                            <a:cxnSpLocks noChangeShapeType="1"/>
                          </wps:cNvCnPr>
                          <wps:spPr bwMode="auto">
                            <a:xfrm>
                              <a:off x="2707" y="5807"/>
                              <a:ext cx="3157"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197" name="AutoShape 24"/>
                          <wps:cNvCnPr>
                            <a:cxnSpLocks noChangeShapeType="1"/>
                          </wps:cNvCnPr>
                          <wps:spPr bwMode="auto">
                            <a:xfrm>
                              <a:off x="2707" y="5807"/>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25"/>
                          <wps:cNvCnPr>
                            <a:cxnSpLocks noChangeShapeType="1"/>
                          </wps:cNvCnPr>
                          <wps:spPr bwMode="auto">
                            <a:xfrm>
                              <a:off x="5864" y="5807"/>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26"/>
                          <wps:cNvCnPr>
                            <a:cxnSpLocks noChangeShapeType="1"/>
                          </wps:cNvCnPr>
                          <wps:spPr bwMode="auto">
                            <a:xfrm>
                              <a:off x="2821" y="6856"/>
                              <a:ext cx="0" cy="299"/>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0" name="AutoShape 27"/>
                          <wps:cNvCnPr>
                            <a:cxnSpLocks noChangeShapeType="1"/>
                          </wps:cNvCnPr>
                          <wps:spPr bwMode="auto">
                            <a:xfrm>
                              <a:off x="5691" y="6856"/>
                              <a:ext cx="0" cy="299"/>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1" name="AutoShape 28"/>
                          <wps:cNvCnPr>
                            <a:cxnSpLocks noChangeShapeType="1"/>
                          </wps:cNvCnPr>
                          <wps:spPr bwMode="auto">
                            <a:xfrm>
                              <a:off x="2821" y="7155"/>
                              <a:ext cx="2870" cy="0"/>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2" name="AutoShape 29"/>
                          <wps:cNvCnPr>
                            <a:cxnSpLocks noChangeShapeType="1"/>
                          </wps:cNvCnPr>
                          <wps:spPr bwMode="auto">
                            <a:xfrm>
                              <a:off x="4019" y="7155"/>
                              <a:ext cx="0" cy="363"/>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03" name="AutoShape 30"/>
                          <wps:cNvCnPr>
                            <a:cxnSpLocks noChangeShapeType="1"/>
                          </wps:cNvCnPr>
                          <wps:spPr bwMode="auto">
                            <a:xfrm>
                              <a:off x="3709" y="8221"/>
                              <a:ext cx="0" cy="432"/>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4" name="AutoShape 31"/>
                          <wps:cNvCnPr>
                            <a:cxnSpLocks noChangeShapeType="1"/>
                          </wps:cNvCnPr>
                          <wps:spPr bwMode="auto">
                            <a:xfrm>
                              <a:off x="2051" y="8653"/>
                              <a:ext cx="6232"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5" name="AutoShape 32"/>
                          <wps:cNvCnPr>
                            <a:cxnSpLocks noChangeShapeType="1"/>
                          </wps:cNvCnPr>
                          <wps:spPr bwMode="auto">
                            <a:xfrm>
                              <a:off x="5391"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6" name="AutoShape 33"/>
                          <wps:cNvCnPr>
                            <a:cxnSpLocks noChangeShapeType="1"/>
                          </wps:cNvCnPr>
                          <wps:spPr bwMode="auto">
                            <a:xfrm>
                              <a:off x="8283" y="8653"/>
                              <a:ext cx="0" cy="27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7" name="AutoShape 34"/>
                          <wps:cNvCnPr>
                            <a:cxnSpLocks noChangeShapeType="1"/>
                          </wps:cNvCnPr>
                          <wps:spPr bwMode="auto">
                            <a:xfrm>
                              <a:off x="4115" y="3481"/>
                              <a:ext cx="4107" cy="12"/>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8" name="AutoShape 35"/>
                          <wps:cNvCnPr>
                            <a:cxnSpLocks noChangeShapeType="1"/>
                          </wps:cNvCnPr>
                          <wps:spPr bwMode="auto">
                            <a:xfrm>
                              <a:off x="6854" y="3493"/>
                              <a:ext cx="0" cy="26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s:wsp>
                          <wps:cNvPr id="209" name="AutoShape 36"/>
                          <wps:cNvCnPr>
                            <a:cxnSpLocks noChangeShapeType="1"/>
                          </wps:cNvCnPr>
                          <wps:spPr bwMode="auto">
                            <a:xfrm flipH="1">
                              <a:off x="1763" y="4150"/>
                              <a:ext cx="1058" cy="0"/>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0" name="AutoShape 37"/>
                          <wps:cNvCnPr>
                            <a:cxnSpLocks noChangeShapeType="1"/>
                          </wps:cNvCnPr>
                          <wps:spPr bwMode="auto">
                            <a:xfrm>
                              <a:off x="1763" y="4150"/>
                              <a:ext cx="0" cy="737"/>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1" name="AutoShape 38"/>
                          <wps:cNvCnPr>
                            <a:cxnSpLocks noChangeShapeType="1"/>
                          </wps:cNvCnPr>
                          <wps:spPr bwMode="auto">
                            <a:xfrm>
                              <a:off x="6646" y="2261"/>
                              <a:ext cx="1575" cy="1"/>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2" name="AutoShape 39"/>
                          <wps:cNvCnPr>
                            <a:cxnSpLocks noChangeShapeType="1"/>
                          </wps:cNvCnPr>
                          <wps:spPr bwMode="auto">
                            <a:xfrm>
                              <a:off x="8221" y="2261"/>
                              <a:ext cx="0" cy="323"/>
                            </a:xfrm>
                            <a:prstGeom prst="straightConnector1">
                              <a:avLst/>
                            </a:prstGeom>
                            <a:noFill/>
                            <a:ln w="9525">
                              <a:solidFill>
                                <a:srgbClr val="365F91"/>
                              </a:solidFill>
                              <a:prstDash val="dash"/>
                              <a:round/>
                              <a:headEnd/>
                              <a:tailEnd/>
                            </a:ln>
                            <a:extLst>
                              <a:ext uri="{909E8E84-426E-40DD-AFC4-6F175D3DCCD1}">
                                <a14:hiddenFill xmlns:a14="http://schemas.microsoft.com/office/drawing/2010/main">
                                  <a:noFill/>
                                </a14:hiddenFill>
                              </a:ext>
                            </a:extLst>
                          </wps:spPr>
                          <wps:bodyPr/>
                        </wps:wsp>
                        <wps:wsp>
                          <wps:cNvPr id="213" name="AutoShape 40"/>
                          <wps:cNvCnPr>
                            <a:cxnSpLocks noChangeShapeType="1"/>
                          </wps:cNvCnPr>
                          <wps:spPr bwMode="auto">
                            <a:xfrm flipV="1">
                              <a:off x="8220" y="3299"/>
                              <a:ext cx="1" cy="19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a 9" o:spid="_x0000_s1041" style="position:absolute;margin-left:-35.55pt;margin-top:18.8pt;width:499.2pt;height:525.75pt;z-index:251657728" coordorigin="608,2040" coordsize="905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">
                <v:shape id="AutoShape 4" o:spid="_x0000_s1042" type="#_x0000_t32" style="position:absolute;left:4115;top:3480;width:0;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0ssQAAADcAAAADwAAAGRycy9kb3ducmV2LnhtbERPS2vCQBC+F/wPywi9SLNpDz7SrFKk&#10;LepNrdrjkB2T2OxszK4m/vuuUOhtPr7npLPOVOJKjSstK3iOYhDEmdUl5wq+th9PYxDOI2usLJOC&#10;GzmYTXsPKSbatrym68bnIoSwS1BB4X2dSOmyggy6yNbEgTvaxqAPsMmlbrAN4aaSL3E8lAZLDg0F&#10;1jQvKPvZXIyC8/dtfVpNGN/bweduPz+c97hEpR773dsrCE+d/xf/uRc6zB9N4P5Mu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rSyxAAAANwAAAAPAAAAAAAAAAAA&#10;AAAAAKECAABkcnMvZG93bnJldi54bWxQSwUGAAAAAAQABAD5AAAAkgMAAAAA&#10;" strokecolor="#365f91"/>
                <v:shape id="AutoShape 5" o:spid="_x0000_s1043" type="#_x0000_t32" style="position:absolute;left:2051;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tCMYAAADcAAAADwAAAGRycy9kb3ducmV2LnhtbESPQW/CMAyF70j8h8hIu0wjHYcJOgJC&#10;aENjNxhjHK3GtGWNU5pAy7+fD5O42XrP732ezjtXqSs1ofRs4HmYgCLOvC05N7D7en8agwoR2WLl&#10;mQzcKMB81u9NMbW+5Q1dtzFXEsIhRQNFjHWqdcgKchiGviYW7egbh1HWJte2wVbCXaVHSfKiHZYs&#10;DQXWtCwo+91enIHz4bY5fU4Y39rH1fd++XPe4xqNeRh0i1dQkbp4N/9ff1jBHwu+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bQjGAAAA3AAAAA8AAAAAAAAA&#10;AAAAAAAAoQIAAGRycy9kb3ducmV2LnhtbFBLBQYAAAAABAAEAPkAAACUAwAAAAA=&#10;" strokecolor="#365f91"/>
                <v:group id="Group 8" o:spid="_x0000_s1044" style="position:absolute;left:608;top:2040;width:9056;height:7586" coordorigin="608,2040"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9" o:spid="_x0000_s1045" style="position:absolute;left:608;top:2040;width:9056;height:7586" coordorigin="608,1405"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10" o:spid="_x0000_s1046" type="#_x0000_t202" style="position:absolute;left:4019;top:1405;width:2536;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sAA&#10;AADcAAAADwAAAGRycy9kb3ducmV2LnhtbERPS4vCMBC+C/sfwix4s6kriNs1ipQVxJuPwx5nm7EN&#10;JpPSRK3/3giCt/n4njNf9s6KK3XBeFYwznIQxJXXhmsFx8N6NAMRIrJG65kU3CnAcvExmGOh/Y13&#10;dN3HWqQQDgUqaGJsCylD1ZDDkPmWOHEn3zmMCXa11B3eUriz8ivPp9Kh4dTQYEtlQ9V5f3EK6v+d&#10;m/yOzbY82an9Nn/mXslSqeFnv/oBEamPb/HLvdFp/mwC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d+sAAAADcAAAADwAAAAAAAAAAAAAAAACYAgAAZHJzL2Rvd25y&#10;ZXYueG1sUEsFBgAAAAAEAAQA9QAAAIUDA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PODDJELATNOSTI</w:t>
                            </w:r>
                          </w:p>
                        </w:txbxContent>
                      </v:textbox>
                    </v:shape>
                    <v:shape id="Text Box 11" o:spid="_x0000_s1047" type="#_x0000_t202" style="position:absolute;left:6984;top:1947;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skcAA&#10;AADcAAAADwAAAGRycy9kb3ducmV2LnhtbERPS4vCMBC+L/gfwgheFk0V0VIbRReEBQ/i6z400wc2&#10;k9Jka/ffG0HwNh/fc9JNb2rRUesqywqmkwgEcWZ1xYWC62U/jkE4j6yxtkwK/snBZj34SjHR9sEn&#10;6s6+ECGEXYIKSu+bREqXlWTQTWxDHLjctgZ9gG0hdYuPEG5qOYuihTRYcWgosaGfkrL7+c8oOO5w&#10;eorNbY6HRe/tnvLv5bVTajTstysQnnr/Eb/dvzrMj+fweiZ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5skcAAAADcAAAADwAAAAAAAAAAAAAAAACYAgAAZHJzL2Rvd25y&#10;ZXYueG1sUEsFBgAAAAAEAAQA9QAAAIUDAAAAAA==&#10;" strokecolor="#4f81bd" strokeweight="2.5pt">
                      <v:shadow color="#868686"/>
                      <v:textbox>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EBITDA/</w:t>
                            </w:r>
                            <w:r>
                              <w:rPr>
                                <w:color w:val="365F91"/>
                                <w:sz w:val="18"/>
                                <w:szCs w:val="18"/>
                              </w:rPr>
                              <w:t xml:space="preserve">po </w:t>
                            </w:r>
                            <w:r w:rsidRPr="0097195F">
                              <w:rPr>
                                <w:color w:val="365F91"/>
                                <w:sz w:val="18"/>
                                <w:szCs w:val="18"/>
                              </w:rPr>
                              <w:t>zaposlenom</w:t>
                            </w:r>
                            <w:r>
                              <w:rPr>
                                <w:color w:val="365F91"/>
                                <w:sz w:val="18"/>
                                <w:szCs w:val="18"/>
                              </w:rPr>
                              <w:t>e</w:t>
                            </w:r>
                          </w:p>
                        </w:txbxContent>
                      </v:textbox>
                    </v:shape>
                    <v:shape id="Text Box 12" o:spid="_x0000_s1048" type="#_x0000_t202" style="position:absolute;left:2821;top:3122;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gFcIA&#10;AADcAAAADwAAAGRycy9kb3ducmV2LnhtbERPTWvCQBC9F/oflin0VjdpUWx0IyVYKL0l9tDjNDsm&#10;i7uzIbtq/PddQfA2j/c5683krDjRGIxnBfksA0Hcem24U/Cz+3xZgggRWaP1TAouFGBTPj6ssdD+&#10;zDWdmtiJFMKhQAV9jEMhZWh7chhmfiBO3N6PDmOCYyf1iOcU7qx8zbKFdGg4NfQ4UNVTe2iOTkH3&#10;V7u3bW6+q71d2Hfzay6trJR6fpo+ViAiTfEuvrm/dJq/nMP1mXSB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OAVwgAAANwAAAAPAAAAAAAAAAAAAAAAAJgCAABkcnMvZG93&#10;bnJldi54bWxQSwUGAAAAAAQABAD1AAAAhwM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 EBITDA</w:t>
                            </w:r>
                          </w:p>
                        </w:txbxContent>
                      </v:textbox>
                    </v:shape>
                    <v:shape id="Text Box 13" o:spid="_x0000_s1049" type="#_x0000_t202" style="position:absolute;left:5782;top:3122;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YsAA&#10;AADcAAAADwAAAGRycy9kb3ducmV2LnhtbERPTYvCMBC9C/sfwgjeNFWhuNUoUnZh8abrweNsM7bB&#10;ZFKaqPXfG0HY2zze56w2vbPiRl0wnhVMJxkI4sprw7WC4+/3eAEiRGSN1jMpeFCAzfpjsMJC+zvv&#10;6XaItUghHApU0MTYFlKGqiGHYeJb4sSdfecwJtjVUnd4T+HOylmW5dKh4dTQYEtlQ9XlcHUK6r+9&#10;m39Nza4829x+mpN5VLJUajTst0sQkfr4L367f3Sav8jh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p+YsAAAADcAAAADwAAAAAAAAAAAAAAAACYAgAAZHJzL2Rvd25y&#10;ZXYueG1sUEsFBgAAAAAEAAQA9QAAAIUDA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 EBITDA</w:t>
                            </w:r>
                          </w:p>
                        </w:txbxContent>
                      </v:textbox>
                    </v:shape>
                    <v:shape id="Text Box 14" o:spid="_x0000_s1050" type="#_x0000_t202" style="position:absolute;left:608;top:4251;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y5sEA&#10;AADcAAAADwAAAGRycy9kb3ducmV2LnhtbERPS2vCQBC+C/0Pywi9SLNRJIbUVVpBEDyURL0P2ckD&#10;s7Mhu43pv3cLhd7m43vOdj+ZTow0uNaygmUUgyAurW65VnC9HN9SEM4ja+wsk4IfcrDfvcy2mGn7&#10;4JzGwtcihLDLUEHjfZ9J6cqGDLrI9sSBq+xg0Ac41FIP+AjhppOrOE6kwZZDQ4M9HRoq78W3UfD1&#10;ics8Nbc1npPJ2yNVi811VOp1Pn28g/A0+X/xn/ukw/x0A7/PhA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88ubBAAAA3AAAAA8AAAAAAAAAAAAAAAAAmAIAAGRycy9kb3du&#10;cmV2LnhtbFBLBQYAAAAABAAEAPUAAACGAwAAAAA=&#10;" strokecolor="#4f81bd" strokeweight="2.5pt">
                      <v:shadow color="#868686"/>
                      <v:textbox>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Izvozna orijentacija</w:t>
                            </w:r>
                          </w:p>
                        </w:txbxContent>
                      </v:textbox>
                    </v:shape>
                    <v:shape id="Text Box 15" o:spid="_x0000_s1051" type="#_x0000_t202" style="position:absolute;left:1579;top:5460;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Pi8QA&#10;AADcAAAADwAAAGRycy9kb3ducmV2LnhtbESPT2vDMAzF74N9B6PBbqvTDUqXxSklbDB665/Djlqs&#10;Jqa2HGKvTb/9dCj0JvGe3vupWk3BqzONyUU2MJ8VoIjbaB13Bg77r5clqJSRLfrIZOBKCVb140OF&#10;pY0X3tJ5lzslIZxKNNDnPJRap7angGkWB2LRjnEMmGUdO21HvEh48Pq1KBY6oGNp6HGgpqf2tPsL&#10;BrrfbXj7nLtNc/QL/+5+3LXVjTHPT9P6A1SmKd/Nt+tvK/hLoZVnZAJ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T4vEAAAA3AAAAA8AAAAAAAAAAAAAAAAAmAIAAGRycy9k&#10;b3ducmV2LnhtbFBLBQYAAAAABAAEAPUAAACJAw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Izvozna orijentacija</w:t>
                            </w:r>
                          </w:p>
                        </w:txbxContent>
                      </v:textbox>
                    </v:shape>
                    <v:shape id="Text Box 16" o:spid="_x0000_s1052" type="#_x0000_t202" style="position:absolute;left:4544;top:5460;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qEMIA&#10;AADcAAAADwAAAGRycy9kb3ducmV2LnhtbERPyWrDMBC9F/IPYgq91XJaMIkbJRSTQOgtyyHHiTW2&#10;RaWRsdTE/vuqUMhtHm+d1WZ0VtxoCMazgnmWgyCuvTbcKjifdq8LECEia7SeScFEATbr2dMKS+3v&#10;fKDbMbYihXAoUUEXY19KGeqOHIbM98SJa/zgMCY4tFIPeE/hzsq3PC+kQ8OpocOeqo7q7+OPU9Be&#10;D+59OzdfVWMLuzQXM9WyUurlefz8ABFpjA/xv3uv0/zFEv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eoQwgAAANwAAAAPAAAAAAAAAAAAAAAAAJgCAABkcnMvZG93&#10;bnJldi54bWxQSwUGAAAAAAQABAD1AAAAhwM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Orijentacija na domaće tržište</w:t>
                            </w:r>
                          </w:p>
                        </w:txbxContent>
                      </v:textbox>
                    </v:shape>
                    <v:shape id="Text Box 17" o:spid="_x0000_s1053" type="#_x0000_t202" style="position:absolute;left:7224;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VUMMA&#10;AADcAAAADwAAAGRycy9kb3ducmV2LnhtbESPQWsCMRCF7wX/QxjBW82qIHU1iiwWSm9aDz1ON+Nu&#10;MJksm6jrv+8cCr3N8N68981mNwSv7tQnF9nAbFqAIq6jddwYOH+9v76BShnZoo9MBp6UYLcdvWyw&#10;tPHBR7qfcqMkhFOJBtqcu1LrVLcUME1jRyzaJfYBs6x9o22PDwkPXs+LYqkDOpaGFjuqWqqvp1sw&#10;0Pwcw+Iwc5/VxS/9yn27Z60rYybjYb8GlWnI/+a/6w8r+CvBl2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VUMMAAADcAAAADwAAAAAAAAAAAAAAAACYAgAAZHJzL2Rv&#10;d25yZXYueG1sUEsFBgAAAAAEAAQA9QAAAIgDA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Male, + EBITDA</w:t>
                            </w:r>
                          </w:p>
                        </w:txbxContent>
                      </v:textbox>
                    </v:shape>
                    <v:shape id="Text Box 18" o:spid="_x0000_s1054" type="#_x0000_t202" style="position:absolute;left:4115;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y8AA&#10;AADcAAAADwAAAGRycy9kb3ducmV2LnhtbERPS4vCMBC+C/6HMMLeNK0Lol2jSHFh8ebj4HG2Gdtg&#10;MilNVuu/3wiCt/n4nrNc986KG3XBeFaQTzIQxJXXhmsFp+P3eA4iRGSN1jMpeFCA9Wo4WGKh/Z33&#10;dDvEWqQQDgUqaGJsCylD1ZDDMPEtceIuvnMYE+xqqTu8p3Bn5TTLZtKh4dTQYEtlQ9X18OcU1L97&#10;97nNza682JldmLN5VLJU6mPUb75AROrjW/xy/+g0f5HD85l0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pwy8AAAADcAAAADwAAAAAAAAAAAAAAAACYAgAAZHJzL2Rvd25y&#10;ZXYueG1sUEsFBgAAAAAEAAQA9QAAAIUDA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Velike, orijentirane na domaće tržište, + EBITDA</w:t>
                            </w:r>
                          </w:p>
                          <w:p w:rsidR="00683AF5" w:rsidRPr="0097195F" w:rsidRDefault="00683AF5" w:rsidP="001B41B0">
                            <w:pPr>
                              <w:jc w:val="center"/>
                              <w:rPr>
                                <w:b/>
                                <w:color w:val="FFFFFF"/>
                                <w:sz w:val="18"/>
                                <w:szCs w:val="18"/>
                              </w:rPr>
                            </w:pPr>
                          </w:p>
                        </w:txbxContent>
                      </v:textbox>
                    </v:shape>
                    <v:shape id="Text Box 19" o:spid="_x0000_s1055" type="#_x0000_t202" style="position:absolute;left:967;top:8288;width:24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uvMAA&#10;AADcAAAADwAAAGRycy9kb3ducmV2LnhtbERPS4vCMBC+C/sfwgh701QFsV2jSFlBvPk47HG2Gduw&#10;yaQ0Ueu/3wiCt/n4nrNc986KG3XBeFYwGWcgiCuvDdcKzqftaAEiRGSN1jMpeFCA9epjsMRC+zsf&#10;6HaMtUghHApU0MTYFlKGqiGHYexb4sRdfOcwJtjVUnd4T+HOymmWzaVDw6mhwZbKhqq/49UpqH8P&#10;bvY9MfvyYuc2Nz/mUclSqc9hv/kCEamPb/HLvdNpfj6F5zPp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uvMAAAADcAAAADwAAAAAAAAAAAAAAAACYAgAAZHJzL2Rvd25y&#10;ZXYueG1sUEsFBgAAAAAEAAQA9QAAAIUDAAAAAA==&#10;" fillcolor="#4f81bd" strokecolor="#f2f2f2" strokeweight="3pt">
                      <v:shadow on="t" color="#243f60" opacity=".5" offset="1pt"/>
                      <v:textbox>
                        <w:txbxContent>
                          <w:p w:rsidR="00683AF5" w:rsidRPr="0097195F" w:rsidRDefault="00683AF5" w:rsidP="001B41B0">
                            <w:pPr>
                              <w:jc w:val="center"/>
                              <w:rPr>
                                <w:b/>
                                <w:color w:val="FFFFFF"/>
                                <w:sz w:val="18"/>
                                <w:szCs w:val="18"/>
                              </w:rPr>
                            </w:pPr>
                            <w:r w:rsidRPr="0097195F">
                              <w:rPr>
                                <w:b/>
                                <w:color w:val="FFFFFF"/>
                                <w:sz w:val="18"/>
                                <w:szCs w:val="18"/>
                              </w:rPr>
                              <w:t xml:space="preserve">Velike, izvozno orijentirane, </w:t>
                            </w:r>
                          </w:p>
                          <w:p w:rsidR="00683AF5" w:rsidRPr="0097195F" w:rsidRDefault="00683AF5" w:rsidP="001B41B0">
                            <w:pPr>
                              <w:jc w:val="center"/>
                              <w:rPr>
                                <w:b/>
                                <w:color w:val="FFFFFF"/>
                                <w:sz w:val="18"/>
                                <w:szCs w:val="18"/>
                              </w:rPr>
                            </w:pPr>
                            <w:r w:rsidRPr="0097195F">
                              <w:rPr>
                                <w:b/>
                                <w:color w:val="FFFFFF"/>
                                <w:sz w:val="18"/>
                                <w:szCs w:val="18"/>
                              </w:rPr>
                              <w:t>+ EBITDA</w:t>
                            </w:r>
                          </w:p>
                        </w:txbxContent>
                      </v:textbox>
                    </v:shape>
                    <v:shape id="Text Box 20" o:spid="_x0000_s1056" type="#_x0000_t202" style="position:absolute;left:2584;top:6883;width:2440;height: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xcYA&#10;AADcAAAADwAAAGRycy9kb3ducmV2LnhtbESPQWvCQBCF74L/YRnBi+hGLVVTVxFpoaei1oO5Ddlp&#10;NpidjdmtSf99t1DwNsN78743621nK3GnxpeOFUwnCQji3OmSCwXnz7fxEoQPyBorx6TghzxsN/3e&#10;GlPtWj7S/RQKEUPYp6jAhFCnUvrckEU/cTVx1L5cYzHEtSmkbrCN4baSsyR5lhZLjgSDNe0N5dfT&#10;t42QS3YzF7P0s3Z+GGXJ00f2uhgpNRx0uxcQgbrwMP9fv+tYfzWHv2fiB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xcYAAADcAAAADwAAAAAAAAAAAAAAAACYAgAAZHJz&#10;L2Rvd25yZXYueG1sUEsFBgAAAAAEAAQA9QAAAIsDAAAAAA==&#10;" strokecolor="#4f81bd" strokeweight="2.5pt">
                      <v:shadow color="#868686"/>
                      <v:textbox inset="1.5mm,,1.5mm">
                        <w:txbxContent>
                          <w:p w:rsidR="00683AF5" w:rsidRPr="0097195F" w:rsidRDefault="00683AF5" w:rsidP="001B41B0">
                            <w:pPr>
                              <w:jc w:val="center"/>
                              <w:rPr>
                                <w:color w:val="365F91"/>
                                <w:sz w:val="18"/>
                                <w:szCs w:val="18"/>
                              </w:rPr>
                            </w:pPr>
                            <w:r w:rsidRPr="0097195F">
                              <w:rPr>
                                <w:color w:val="365F91"/>
                                <w:sz w:val="18"/>
                                <w:szCs w:val="18"/>
                              </w:rPr>
                              <w:t>Kriterij podjele:</w:t>
                            </w:r>
                          </w:p>
                          <w:p w:rsidR="00683AF5" w:rsidRPr="0097195F" w:rsidRDefault="00683AF5" w:rsidP="001B41B0">
                            <w:pPr>
                              <w:jc w:val="center"/>
                              <w:rPr>
                                <w:color w:val="365F91"/>
                                <w:sz w:val="18"/>
                                <w:szCs w:val="18"/>
                              </w:rPr>
                            </w:pPr>
                            <w:r w:rsidRPr="0097195F">
                              <w:rPr>
                                <w:color w:val="365F91"/>
                                <w:sz w:val="18"/>
                                <w:szCs w:val="18"/>
                              </w:rPr>
                              <w:t>Relativna veličina</w:t>
                            </w:r>
                          </w:p>
                        </w:txbxContent>
                      </v:textbox>
                    </v:shape>
                  </v:group>
                  <v:shape id="AutoShape 21" o:spid="_x0000_s1057" type="#_x0000_t32" style="position:absolute;left:3048;top:5278;width:1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91sQAAADcAAAADwAAAGRycy9kb3ducmV2LnhtbERPTWvCQBC9F/wPywi9SLNpEdE0qxRp&#10;i3pTq/Y4ZMckNjsbs6uJ/74rFHqbx/ucdNaZSlypcaVlBc9RDII4s7rkXMHX9uNpDMJ5ZI2VZVJw&#10;Iwezae8hxUTbltd03fhchBB2CSoovK8TKV1WkEEX2Zo4cEfbGPQBNrnUDbYh3FTyJY5H0mDJoaHA&#10;muYFZT+bi1Fw/r6tT6sJ43s7+Nzt54fzHpeo1GO/e3sF4anz/+I/90KH+ZMh3J8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3WxAAAANwAAAAPAAAAAAAAAAAA&#10;AAAAAKECAABkcnMvZG93bnJldi54bWxQSwUGAAAAAAQABAD5AAAAkgMAAAAA&#10;" strokecolor="#365f91"/>
                  <v:shape id="AutoShape 22" o:spid="_x0000_s1058" type="#_x0000_t32" style="position:absolute;left:4274;top:5278;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YTcQAAADcAAAADwAAAGRycy9kb3ducmV2LnhtbERPTWvCQBC9F/wPywi9SLNpQdE0qxRp&#10;i3pTq/Y4ZMckNjsbs6uJ/74rFHqbx/ucdNaZSlypcaVlBc9RDII4s7rkXMHX9uNpDMJ5ZI2VZVJw&#10;Iwezae8hxUTbltd03fhchBB2CSoovK8TKV1WkEEX2Zo4cEfbGPQBNrnUDbYh3FTyJY5H0mDJoaHA&#10;muYFZT+bi1Fw/r6tT6sJ43s7+Nzt54fzHpeo1GO/e3sF4anz/+I/90KH+ZMh3J8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1hNxAAAANwAAAAPAAAAAAAAAAAA&#10;AAAAAKECAABkcnMvZG93bnJldi54bWxQSwUGAAAAAAQABAD5AAAAkgMAAAAA&#10;" strokecolor="#365f91"/>
                  <v:shape id="AutoShape 23" o:spid="_x0000_s1059" type="#_x0000_t32" style="position:absolute;left:2707;top:5807;width:3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GOsMAAADcAAAADwAAAGRycy9kb3ducmV2LnhtbERPS2vCQBC+F/wPywi9FN20B9HoKhLa&#10;Unvz7XHIjklsdjbJrib++25B6G0+vufMFp0pxY0aV1hW8DqMQBCnVhecKdhtPwZjEM4jaywtk4I7&#10;OVjMe08zjLVteU23jc9ECGEXo4Lc+yqW0qU5GXRDWxEH7mwbgz7AJpO6wTaEm1K+RdFIGiw4NORY&#10;UZJT+rO5GgX16b6+fE8Y39uXz/0hOdYHXKFSz/1uOQXhqfP/4of7S4f5kxH8PR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1xjrDAAAA3AAAAA8AAAAAAAAAAAAA&#10;AAAAoQIAAGRycy9kb3ducmV2LnhtbFBLBQYAAAAABAAEAPkAAACRAwAAAAA=&#10;" strokecolor="#365f91"/>
                  <v:shape id="AutoShape 24" o:spid="_x0000_s1060" type="#_x0000_t32" style="position:absolute;left:2707;top:5807;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25" o:spid="_x0000_s1061" type="#_x0000_t32" style="position:absolute;left:5864;top:5807;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26" o:spid="_x0000_s1062" type="#_x0000_t32" style="position:absolute;left:2821;top:6856;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29L8AAADcAAAADwAAAGRycy9kb3ducmV2LnhtbERPTYvCMBC9C/6HMIIX0VQPslajqLDo&#10;wYtW8Do0Y1tMJqXJ2vrvjSDsbR7vc1abzhrxpMZXjhVMJwkI4tzpigsF1+x3/APCB2SNxjEpeJGH&#10;zbrfW2GqXctnel5CIWII+xQVlCHUqZQ+L8min7iaOHJ311gMETaF1A22MdwaOUuSubRYcWwosaZ9&#10;Sfnj8mcVVO5mjtzmxZmNZJntTodRe1JqOOi2SxCBuvAv/rqPOs5fLODzTLx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1w29L8AAADcAAAADwAAAAAAAAAAAAAAAACh&#10;AgAAZHJzL2Rvd25yZXYueG1sUEsFBgAAAAAEAAQA+QAAAI0DAAAAAA==&#10;" strokecolor="#365f91">
                    <v:stroke dashstyle="dash"/>
                  </v:shape>
                  <v:shape id="AutoShape 27" o:spid="_x0000_s1063" type="#_x0000_t32" style="position:absolute;left:5691;top:6856;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rkr4AAADcAAAADwAAAGRycy9kb3ducmV2LnhtbESPzQrCMBCE74LvEFbwIprqQaQaRQXR&#10;gxd/wOvSrG0x2ZQm2vr2RhA8DjPzDbNYtdaIF9W+dKxgPEpAEGdOl5wruF52wxkIH5A1Gsek4E0e&#10;VstuZ4Gpdg2f6HUOuYgQ9ikqKEKoUil9VpBFP3IVcfTurrYYoqxzqWtsItwaOUmSqbRYclwosKJt&#10;Qdnj/LQKSnczB26y/MRGsrxsjvtBc1Sq32vXcxCB2vAP/9oHrSAS4XsmHg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WuSvgAAANwAAAAPAAAAAAAAAAAAAAAAAKEC&#10;AABkcnMvZG93bnJldi54bWxQSwUGAAAAAAQABAD5AAAAjAMAAAAA&#10;" strokecolor="#365f91">
                    <v:stroke dashstyle="dash"/>
                  </v:shape>
                  <v:shape id="AutoShape 28" o:spid="_x0000_s1064" type="#_x0000_t32" style="position:absolute;left:2821;top:7155;width:2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OCb8AAADcAAAADwAAAGRycy9kb3ducmV2LnhtbESPzQrCMBCE74LvEFbwIprqQaQaRQXR&#10;gxd/wOvSrG0x2ZQm2vr2RhA8DjPzDbNYtdaIF9W+dKxgPEpAEGdOl5wruF52wxkIH5A1Gsek4E0e&#10;VstuZ4Gpdg2f6HUOuYgQ9ikqKEKoUil9VpBFP3IVcfTurrYYoqxzqWtsItwaOUmSqbRYclwosKJt&#10;Qdnj/LQKSnczB26y/MRGsrxsjvtBc1Sq32vXcxCB2vAP/9oHrWCSjOF7Jh4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XOCb8AAADcAAAADwAAAAAAAAAAAAAAAACh&#10;AgAAZHJzL2Rvd25yZXYueG1sUEsFBgAAAAAEAAQA+QAAAI0DAAAAAA==&#10;" strokecolor="#365f91">
                    <v:stroke dashstyle="dash"/>
                  </v:shape>
                  <v:shape id="AutoShape 29" o:spid="_x0000_s1065" type="#_x0000_t32" style="position:absolute;left:4019;top:7155;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dQfsAAAADcAAAADwAAAGRycy9kb3ducmV2LnhtbESPzarCMBSE94LvEI7gRjS1C5FqFBUu&#10;unDjD7g9NMe2mJyUJtfWtzeC4HKYmW+Y5bqzRjyp8ZVjBdNJAoI4d7riQsH18jeeg/ABWaNxTApe&#10;5GG96veWmGnX8ome51CICGGfoYIyhDqT0uclWfQTVxNH7+4aiyHKppC6wTbCrZFpksykxYrjQok1&#10;7UrKH+d/q6ByN3PgNi9ObCTLy/a4H7VHpYaDbrMAEagLv/C3fdAK0iSFz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XUH7AAAAA3AAAAA8AAAAAAAAAAAAAAAAA&#10;oQIAAGRycy9kb3ducmV2LnhtbFBLBQYAAAAABAAEAPkAAACOAwAAAAA=&#10;" strokecolor="#365f91">
                    <v:stroke dashstyle="dash"/>
                  </v:shape>
                  <v:shape id="AutoShape 30" o:spid="_x0000_s1066" type="#_x0000_t32" style="position:absolute;left:3709;top:8221;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RWcYAAADcAAAADwAAAGRycy9kb3ducmV2LnhtbESPQWvCQBSE74L/YXlCL0U3Wig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tkVnGAAAA3AAAAA8AAAAAAAAA&#10;AAAAAAAAoQIAAGRycy9kb3ducmV2LnhtbFBLBQYAAAAABAAEAPkAAACUAwAAAAA=&#10;" strokecolor="#365f91"/>
                  <v:shape id="AutoShape 31" o:spid="_x0000_s1067" type="#_x0000_t32" style="position:absolute;left:2051;top:8653;width:6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JLcYAAADcAAAADwAAAGRycy9kb3ducmV2LnhtbESPQWvCQBSE74L/YXlCL0U3Sik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ECS3GAAAA3AAAAA8AAAAAAAAA&#10;AAAAAAAAoQIAAGRycy9kb3ducmV2LnhtbFBLBQYAAAAABAAEAPkAAACUAwAAAAA=&#10;" strokecolor="#365f91"/>
                  <v:shape id="AutoShape 32" o:spid="_x0000_s1068" type="#_x0000_t32" style="position:absolute;left:5391;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stsYAAADcAAAADwAAAGRycy9kb3ducmV2LnhtbESPQWvCQBSE74L/YXlCL0U3Ci01ZiMi&#10;bbG9adX2+Mg+k7TZtzG7mvjv3YLgcZiZb5hk3plKnKlxpWUF41EEgjizuuRcwfbrbfgCwnlkjZVl&#10;UnAhB/O030sw1rblNZ03PhcBwi5GBYX3dSylywoy6Ea2Jg7ewTYGfZBNLnWDbYCbSk6i6FkaLDks&#10;FFjTsqDsb3MyCo4/l/Xv55TxtX183+2X38c9fqBSD4NuMQPhqfP38K290gom0RP8nwlH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IrLbGAAAA3AAAAA8AAAAAAAAA&#10;AAAAAAAAoQIAAGRycy9kb3ducmV2LnhtbFBLBQYAAAAABAAEAPkAAACUAwAAAAA=&#10;" strokecolor="#365f91"/>
                  <v:shape id="AutoShape 33" o:spid="_x0000_s1069" type="#_x0000_t32" style="position:absolute;left:8283;top:865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wcYAAADcAAAADwAAAGRycy9kb3ducmV2LnhtbESPQWvCQBSE74X+h+UVeim60UPQ6CoS&#10;aqnetBp7fGRfk9js25jdmvjv3UKhx2FmvmHmy97U4kqtqywrGA0jEMS51RUXCg4f68EEhPPIGmvL&#10;pOBGDpaLx4c5Jtp2vKPr3hciQNglqKD0vkmkdHlJBt3QNsTB+7KtQR9kW0jdYhfgppbjKIqlwYrD&#10;QokNpSXl3/sfo+Dyedudt1PG1+7l7Zilp0uGG1Tq+alfzUB46v1/+K/9rhWMoxh+z4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aMsHGAAAA3AAAAA8AAAAAAAAA&#10;AAAAAAAAoQIAAGRycy9kb3ducmV2LnhtbFBLBQYAAAAABAAEAPkAAACUAwAAAAA=&#10;" strokecolor="#365f91"/>
                  <v:shape id="AutoShape 34" o:spid="_x0000_s1070" type="#_x0000_t32" style="position:absolute;left:4115;top:3481;width:4107;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XWsYAAADcAAAADwAAAGRycy9kb3ducmV2LnhtbESPQWvCQBSE74L/YXlCL0U3emhrzEZE&#10;2mJ706rt8ZF9Jmmzb2N2NfHfuwXB4zAz3zDJvDOVOFPjSssKxqMIBHFmdcm5gu3X2/AFhPPIGivL&#10;pOBCDuZpv5dgrG3LazpvfC4ChF2MCgrv61hKlxVk0I1sTRy8g20M+iCbXOoG2wA3lZxE0ZM0WHJY&#10;KLCmZUHZ3+ZkFBx/Luvfzynja/v4vtsvv497/EClHgbdYgbCU+fv4Vt7pRVMomf4P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Wl1rGAAAA3AAAAA8AAAAAAAAA&#10;AAAAAAAAoQIAAGRycy9kb3ducmV2LnhtbFBLBQYAAAAABAAEAPkAAACUAwAAAAA=&#10;" strokecolor="#365f91"/>
                  <v:shape id="AutoShape 35" o:spid="_x0000_s1071" type="#_x0000_t32" style="position:absolute;left:6854;top:3493;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DKMMAAADcAAAADwAAAGRycy9kb3ducmV2LnhtbERPyW7CMBC9I/EP1iD1UhUHDqikMahC&#10;pYLeWJr2OIqnSdp4HGKT5e/rAxLHp7cn695UoqXGlZYVzKYRCOLM6pJzBefT9ukZhPPIGivLpGAg&#10;B+vVeJRgrG3HB2qPPhchhF2MCgrv61hKlxVk0E1tTRy4H9sY9AE2udQNdiHcVHIeRQtpsOTQUGBN&#10;m4Kyv+PVKLh8D4ffjyXjW/f4/pluvi4p7lGph0n/+gLCU+/v4pt7pxXMo7A2nA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AyjDAAAA3AAAAA8AAAAAAAAAAAAA&#10;AAAAoQIAAGRycy9kb3ducmV2LnhtbFBLBQYAAAAABAAEAPkAAACRAwAAAAA=&#10;" strokecolor="#365f91"/>
                  <v:shape id="AutoShape 36" o:spid="_x0000_s1072" type="#_x0000_t32" style="position:absolute;left:1763;top:4150;width:1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liMUAAADcAAAADwAAAGRycy9kb3ducmV2LnhtbESPQWsCMRSE74X+h/AEbzWrguhqlGJb&#10;FNoeupaeH5vnZu3mZdlEN/bXN0Khx2FmvmFWm2gbcaHO144VjEcZCOLS6ZorBZ+Hl4c5CB+QNTaO&#10;ScGVPGzW93crzLXr+YMuRahEgrDPUYEJoc2l9KUhi37kWuLkHV1nMSTZVVJ32Ce4beQky2bSYs1p&#10;wWBLW0Pld3G2Cp6ns/j6dvwyTz3r3fup3Eb+KZQaDuLjEkSgGP7Df+29VjDJFnA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liMUAAADcAAAADwAAAAAAAAAA&#10;AAAAAAChAgAAZHJzL2Rvd25yZXYueG1sUEsFBgAAAAAEAAQA+QAAAJMDAAAAAA==&#10;" strokecolor="#365f91">
                    <v:stroke dashstyle="dash"/>
                  </v:shape>
                  <v:shape id="AutoShape 37" o:spid="_x0000_s1073" type="#_x0000_t32" style="position:absolute;left:1763;top:4150;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9T7wAAADcAAAADwAAAGRycy9kb3ducmV2LnhtbERPuwrCMBTdBf8hXMFFNNVBpDaKCqKD&#10;iw9wvTTXtpjclCba+vdmEBwP552tO2vEmxpfOVYwnSQgiHOnKy4U3K778QKED8gajWNS8CEP61W/&#10;l2GqXctnel9CIWII+xQVlCHUqZQ+L8min7iaOHIP11gMETaF1A22MdwaOUuSubRYcWwosaZdSfnz&#10;8rIKKnc3R27z4sxGsrxuT4dRe1JqOOg2SxCBuvAX/9xHrWA2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JD9T7wAAADcAAAADwAAAAAAAAAAAAAAAAChAgAA&#10;ZHJzL2Rvd25yZXYueG1sUEsFBgAAAAAEAAQA+QAAAIoDAAAAAA==&#10;" strokecolor="#365f91">
                    <v:stroke dashstyle="dash"/>
                  </v:shape>
                  <v:shape id="AutoShape 38" o:spid="_x0000_s1074" type="#_x0000_t32" style="position:absolute;left:6646;top:2261;width:15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Y1MIAAADcAAAADwAAAGRycy9kb3ducmV2LnhtbESPQYvCMBSE7wv+h/AEL4um9SBSG4sK&#10;y3rwoi7s9dE822LyUprY1n+/WRA8DjPzDZMXozWip843jhWkiwQEcel0w5WCn+vXfA3CB2SNxjEp&#10;eJKHYjv5yDHTbuAz9ZdQiQhhn6GCOoQ2k9KXNVn0C9cSR+/mOoshyq6SusMhwq2RyyRZSYsNx4Ua&#10;WzrUVN4vD6ugcb/myENZndlIltf96ftzOCk1m467DYhAY3iHX+2jVrBMU/g/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xY1MIAAADcAAAADwAAAAAAAAAAAAAA&#10;AAChAgAAZHJzL2Rvd25yZXYueG1sUEsFBgAAAAAEAAQA+QAAAJADAAAAAA==&#10;" strokecolor="#365f91">
                    <v:stroke dashstyle="dash"/>
                  </v:shape>
                  <v:shape id="AutoShape 39" o:spid="_x0000_s1075" type="#_x0000_t32" style="position:absolute;left:8221;top:2261;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Go8IAAADcAAAADwAAAGRycy9kb3ducmV2LnhtbESPQYvCMBSE7wv+h/AEL4um7UGkNhYV&#10;lvXgRV3Y66N5tsXkpTTR1n+/WRA8DjPzDVOUozXiQb1vHStIFwkI4srplmsFP5ev+QqED8gajWNS&#10;8CQP5WbyUWCu3cAnepxDLSKEfY4KmhC6XEpfNWTRL1xHHL2r6y2GKPta6h6HCLdGZkmylBZbjgsN&#10;drRvqLqd71ZB637NgYeqPrGRLC+74/fncFRqNh23axCBxvAOv9oHrSBLM/g/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7Go8IAAADcAAAADwAAAAAAAAAAAAAA&#10;AAChAgAAZHJzL2Rvd25yZXYueG1sUEsFBgAAAAAEAAQA+QAAAJADAAAAAA==&#10;" strokecolor="#365f91">
                    <v:stroke dashstyle="dash"/>
                  </v:shape>
                  <v:shape id="AutoShape 40" o:spid="_x0000_s1076" type="#_x0000_t32" style="position:absolute;left:8220;top:3299;width:1;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JsMMAAADcAAAADwAAAGRycy9kb3ducmV2LnhtbESP3YrCMBSE7wXfIRzBO03bhaVWo4i6&#10;IAsu+PMAh+aYFpuT0kStb79ZEPZymJlvmMWqt414UOdrxwrSaQKCuHS6ZqPgcv6a5CB8QNbYOCYF&#10;L/KwWg4HCyy0e/KRHqdgRISwL1BBFUJbSOnLiiz6qWuJo3d1ncUQZWek7vAZ4baRWZJ8Sos1x4UK&#10;W9pUVN5OdxspO2Oz2cZIlx5n55/vbX7Yb3OlxqN+PQcRqA//4Xd7rxVk6Qf8nY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ibDDAAAA3AAAAA8AAAAAAAAAAAAA&#10;AAAAoQIAAGRycy9kb3ducmV2LnhtbFBLBQYAAAAABAAEAPkAAACRAwAAAAA=&#10;" strokecolor="#365f91"/>
                </v:group>
              </v:group>
            </w:pict>
          </mc:Fallback>
        </mc:AlternateContent>
      </w:r>
      <w:bookmarkStart w:id="1093" w:name="_Toc372309198"/>
      <w:bookmarkStart w:id="1094" w:name="_Toc377635347"/>
      <w:r w:rsidR="001B41B0" w:rsidRPr="004E6412">
        <w:rPr>
          <w:lang w:val="hr-HR"/>
        </w:rPr>
        <w:t>Slika</w:t>
      </w:r>
      <w:r w:rsidR="004E0B6B" w:rsidRPr="004E6412">
        <w:rPr>
          <w:lang w:val="hr-HR"/>
        </w:rPr>
        <w:t xml:space="preserve"> 23</w:t>
      </w:r>
      <w:r w:rsidR="001B41B0" w:rsidRPr="004E6412">
        <w:rPr>
          <w:lang w:val="hr-HR"/>
        </w:rPr>
        <w:t>. Razvrstavanje poddjelatnosti u skupine</w:t>
      </w:r>
      <w:bookmarkEnd w:id="1092"/>
      <w:bookmarkEnd w:id="1093"/>
      <w:bookmarkEnd w:id="1094"/>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095" w:name="_Toc367117116"/>
      <w:bookmarkStart w:id="1096" w:name="_Toc372088192"/>
      <w:bookmarkStart w:id="1097" w:name="_Toc377551122"/>
      <w:bookmarkStart w:id="1098" w:name="_Toc37763531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110</w:t>
      </w:r>
      <w:r w:rsidR="00141C68" w:rsidRPr="007D0CFD">
        <w:rPr>
          <w:rStyle w:val="IntenseEmphasis"/>
          <w:b/>
          <w:bCs w:val="0"/>
          <w:iCs w:val="0"/>
          <w:color w:val="548DD4" w:themeColor="text2" w:themeTint="99"/>
          <w:sz w:val="20"/>
        </w:rPr>
        <w:t>. Poddjelatnosti „P</w:t>
      </w:r>
      <w:r w:rsidRPr="007D0CFD">
        <w:rPr>
          <w:rStyle w:val="IntenseEmphasis"/>
          <w:b/>
          <w:bCs w:val="0"/>
          <w:iCs w:val="0"/>
          <w:color w:val="548DD4" w:themeColor="text2" w:themeTint="99"/>
          <w:sz w:val="20"/>
        </w:rPr>
        <w:t>okretači“</w:t>
      </w:r>
      <w:bookmarkEnd w:id="1095"/>
      <w:bookmarkEnd w:id="1096"/>
      <w:bookmarkEnd w:id="1097"/>
      <w:bookmarkEnd w:id="1098"/>
    </w:p>
    <w:tbl>
      <w:tblPr>
        <w:tblW w:w="5000" w:type="pct"/>
        <w:tblLook w:val="04A0" w:firstRow="1" w:lastRow="0" w:firstColumn="1" w:lastColumn="0" w:noHBand="0" w:noVBand="1"/>
      </w:tblPr>
      <w:tblGrid>
        <w:gridCol w:w="760"/>
        <w:gridCol w:w="750"/>
        <w:gridCol w:w="6089"/>
        <w:gridCol w:w="1689"/>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0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27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909"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farmaceutskih pripravaka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4.117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10.8</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prehrambenih proizvoda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5.459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elektromotora, generatora, transformatora te uređaja za distribuciju i kontrolu električne energije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4.665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metalnih konstrukcija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13.210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25.6</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Obrada i prevlačenje metala; strojna obrada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5.196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62.0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Računalno programiranje, savjetovanje i djelatnosti povezane s njima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9.335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22.2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plastike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5.832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stakla i proizvoda od stakla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posebne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2.078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ostale električne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komunikacijske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2.201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pletene i kukičane odjeće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2.220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opće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3.926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Prerada i konzerviranje voća i povrća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4.519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31.0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Proizvodnja namještaja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9.038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15.1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Štavljenje i obrada kože; proizvodnja putnih i ručnih torba, sedlarskih i remenarskih proizvoda; dorada i bojenje krzna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3.387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25.7</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sječiva, alata i opće željezne robe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1.509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24.5</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Lijevanje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16.2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sz w:val="20"/>
                <w:szCs w:val="20"/>
                <w:lang w:eastAsia="hr-HR"/>
              </w:rPr>
            </w:pPr>
            <w:r w:rsidRPr="004E6412">
              <w:rPr>
                <w:rFonts w:eastAsia="Times New Roman"/>
                <w:iCs/>
                <w:sz w:val="20"/>
                <w:szCs w:val="20"/>
                <w:lang w:eastAsia="hr-HR"/>
              </w:rPr>
              <w:t>Proizvodnja proizvoda od drva, pluta, slame i pletarskih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7.248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29.3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dijelova i pribora za motorna vozila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2.171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žice i eleketroinstalacijskog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892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poljoprivredu i šumarstvo</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1.044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099" w:name="_Toc367117117"/>
      <w:bookmarkStart w:id="1100" w:name="_Toc372088193"/>
      <w:bookmarkStart w:id="1101" w:name="_Toc377551123"/>
      <w:bookmarkStart w:id="1102" w:name="_Toc37763531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111</w:t>
      </w:r>
      <w:r w:rsidR="00141C68" w:rsidRPr="007D0CFD">
        <w:rPr>
          <w:rStyle w:val="IntenseEmphasis"/>
          <w:b/>
          <w:bCs w:val="0"/>
          <w:iCs w:val="0"/>
          <w:color w:val="548DD4" w:themeColor="text2" w:themeTint="99"/>
          <w:sz w:val="20"/>
        </w:rPr>
        <w:t>. Poddjelatnosti  „Č</w:t>
      </w:r>
      <w:r w:rsidRPr="007D0CFD">
        <w:rPr>
          <w:rStyle w:val="IntenseEmphasis"/>
          <w:b/>
          <w:bCs w:val="0"/>
          <w:iCs w:val="0"/>
          <w:color w:val="548DD4" w:themeColor="text2" w:themeTint="99"/>
          <w:sz w:val="20"/>
        </w:rPr>
        <w:t>uvari“</w:t>
      </w:r>
      <w:bookmarkEnd w:id="1099"/>
      <w:bookmarkEnd w:id="1100"/>
      <w:bookmarkEnd w:id="1101"/>
      <w:bookmarkEnd w:id="1102"/>
    </w:p>
    <w:tbl>
      <w:tblPr>
        <w:tblW w:w="5000" w:type="pct"/>
        <w:tblLayout w:type="fixed"/>
        <w:tblLook w:val="04A0" w:firstRow="1" w:lastRow="0" w:firstColumn="1" w:lastColumn="0" w:noHBand="0" w:noVBand="1"/>
      </w:tblPr>
      <w:tblGrid>
        <w:gridCol w:w="817"/>
        <w:gridCol w:w="992"/>
        <w:gridCol w:w="6247"/>
        <w:gridCol w:w="1232"/>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53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11.0</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pića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6.027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10.5</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mliječnih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F 43.2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Elektroinstalacijski radovi, uvođenje instalacija vodovoda, kanalizacije i plina i ostali građevinski instalacijski radovi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13.136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10.7</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pekarskih</w:t>
            </w:r>
            <w:r w:rsidR="00141C68" w:rsidRPr="004E6412">
              <w:rPr>
                <w:rFonts w:eastAsia="Times New Roman"/>
                <w:color w:val="000000"/>
                <w:sz w:val="20"/>
                <w:szCs w:val="20"/>
                <w:lang w:eastAsia="hr-HR"/>
              </w:rPr>
              <w:t xml:space="preserve"> i brašnastih proizvoda te kolač</w:t>
            </w:r>
            <w:r w:rsidRPr="004E6412">
              <w:rPr>
                <w:rFonts w:eastAsia="Times New Roman"/>
                <w:color w:val="000000"/>
                <w:sz w:val="20"/>
                <w:szCs w:val="20"/>
                <w:lang w:eastAsia="hr-HR"/>
              </w:rPr>
              <w:t>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15.813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lang w:eastAsia="hr-HR"/>
              </w:rPr>
            </w:pPr>
            <w:r w:rsidRPr="00683AF5">
              <w:rPr>
                <w:rFonts w:eastAsia="Times New Roman"/>
                <w:color w:val="000000"/>
                <w:sz w:val="20"/>
                <w:szCs w:val="20"/>
                <w:lang w:eastAsia="hr-HR"/>
              </w:rPr>
              <w:t>5</w:t>
            </w:r>
          </w:p>
        </w:tc>
        <w:tc>
          <w:tcPr>
            <w:tcW w:w="534"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lang w:eastAsia="hr-HR"/>
              </w:rPr>
            </w:pPr>
            <w:r w:rsidRPr="00683AF5">
              <w:rPr>
                <w:rFonts w:eastAsia="Times New Roman"/>
                <w:color w:val="000000"/>
                <w:sz w:val="20"/>
                <w:szCs w:val="20"/>
                <w:lang w:eastAsia="hr-HR"/>
              </w:rPr>
              <w:t>C 10.1</w:t>
            </w:r>
          </w:p>
        </w:tc>
        <w:tc>
          <w:tcPr>
            <w:tcW w:w="3363"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left"/>
              <w:rPr>
                <w:rFonts w:eastAsia="Times New Roman"/>
                <w:color w:val="000000"/>
                <w:sz w:val="20"/>
                <w:szCs w:val="20"/>
                <w:lang w:eastAsia="hr-HR"/>
              </w:rPr>
            </w:pPr>
            <w:r w:rsidRPr="00683AF5">
              <w:rPr>
                <w:rFonts w:eastAsia="Times New Roman"/>
                <w:color w:val="000000"/>
                <w:sz w:val="20"/>
                <w:szCs w:val="20"/>
                <w:lang w:eastAsia="hr-HR"/>
              </w:rPr>
              <w:t>Prerada i konzerviranje mesa i proizvodnja mesnih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lang w:eastAsia="hr-HR"/>
              </w:rPr>
            </w:pPr>
            <w:r w:rsidRPr="00683AF5">
              <w:rPr>
                <w:rFonts w:eastAsia="Times New Roman"/>
                <w:color w:val="000000"/>
                <w:sz w:val="20"/>
                <w:szCs w:val="20"/>
                <w:lang w:eastAsia="hr-HR"/>
              </w:rPr>
              <w:t>7.793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6</w:t>
            </w:r>
          </w:p>
        </w:tc>
        <w:tc>
          <w:tcPr>
            <w:tcW w:w="534"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C 18.1</w:t>
            </w:r>
          </w:p>
        </w:tc>
        <w:tc>
          <w:tcPr>
            <w:tcW w:w="3363"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left"/>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Tiskanje i uslužne djelatnosti povezane s tiskanjem</w:t>
            </w:r>
          </w:p>
        </w:tc>
        <w:tc>
          <w:tcPr>
            <w:tcW w:w="663"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5.784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25.9</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gotovih proizvoda od metala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4.179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8</w:t>
            </w:r>
          </w:p>
        </w:tc>
        <w:tc>
          <w:tcPr>
            <w:tcW w:w="534"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C 17.2</w:t>
            </w:r>
          </w:p>
        </w:tc>
        <w:tc>
          <w:tcPr>
            <w:tcW w:w="3363" w:type="pct"/>
            <w:tcBorders>
              <w:top w:val="nil"/>
              <w:left w:val="nil"/>
              <w:bottom w:val="nil"/>
              <w:right w:val="single" w:sz="4" w:space="0" w:color="auto"/>
            </w:tcBorders>
            <w:shd w:val="clear" w:color="auto" w:fill="auto"/>
            <w:noWrap/>
            <w:vAlign w:val="center"/>
          </w:tcPr>
          <w:p w:rsidR="001B41B0" w:rsidRPr="00683AF5" w:rsidRDefault="001B41B0" w:rsidP="001B41B0">
            <w:pPr>
              <w:spacing w:line="240" w:lineRule="auto"/>
              <w:jc w:val="left"/>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Proizvodnja proizvoda od papira i kartona</w:t>
            </w:r>
          </w:p>
        </w:tc>
        <w:tc>
          <w:tcPr>
            <w:tcW w:w="663" w:type="pct"/>
            <w:tcBorders>
              <w:top w:val="nil"/>
              <w:left w:val="nil"/>
              <w:bottom w:val="single" w:sz="4" w:space="0" w:color="auto"/>
              <w:right w:val="single" w:sz="4" w:space="0" w:color="auto"/>
            </w:tcBorders>
            <w:shd w:val="clear" w:color="auto" w:fill="auto"/>
            <w:noWrap/>
            <w:vAlign w:val="center"/>
          </w:tcPr>
          <w:p w:rsidR="001B41B0" w:rsidRPr="00683AF5" w:rsidRDefault="001B41B0" w:rsidP="001B41B0">
            <w:pPr>
              <w:spacing w:line="240" w:lineRule="auto"/>
              <w:jc w:val="center"/>
              <w:rPr>
                <w:rFonts w:eastAsia="Times New Roman"/>
                <w:color w:val="000000"/>
                <w:sz w:val="20"/>
                <w:szCs w:val="20"/>
                <w:highlight w:val="yellow"/>
                <w:lang w:eastAsia="hr-HR"/>
              </w:rPr>
            </w:pPr>
            <w:r w:rsidRPr="00683AF5">
              <w:rPr>
                <w:rFonts w:eastAsia="Times New Roman"/>
                <w:color w:val="000000"/>
                <w:sz w:val="20"/>
                <w:szCs w:val="20"/>
                <w:highlight w:val="yellow"/>
                <w:lang w:eastAsia="hr-HR"/>
              </w:rPr>
              <w:t>2.544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23.6</w:t>
            </w:r>
          </w:p>
        </w:tc>
        <w:tc>
          <w:tcPr>
            <w:tcW w:w="3363"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betona, cementa i gipsa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58.1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Izdavanje knjiga, periodičnih publikacija i ostale izdavačke djelatnosti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4.855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računala i periferne opreme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1.411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10.4</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biljnih i životinjskih masti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opće namjene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2.754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3" w:name="_Toc367117118"/>
      <w:bookmarkStart w:id="1104" w:name="_Toc372088194"/>
      <w:bookmarkStart w:id="1105" w:name="_Toc377551124"/>
      <w:bookmarkStart w:id="1106" w:name="_Toc377635313"/>
      <w:r w:rsidRPr="007D0CFD">
        <w:rPr>
          <w:rStyle w:val="IntenseEmphasis"/>
          <w:b/>
          <w:bCs w:val="0"/>
          <w:iCs w:val="0"/>
          <w:color w:val="548DD4" w:themeColor="text2" w:themeTint="99"/>
          <w:sz w:val="20"/>
        </w:rPr>
        <w:lastRenderedPageBreak/>
        <w:t xml:space="preserve">Tablica </w:t>
      </w:r>
      <w:r w:rsidR="00FB4A6B" w:rsidRPr="007D0CFD">
        <w:rPr>
          <w:rStyle w:val="IntenseEmphasis"/>
          <w:b/>
          <w:bCs w:val="0"/>
          <w:iCs w:val="0"/>
          <w:color w:val="548DD4" w:themeColor="text2" w:themeTint="99"/>
          <w:sz w:val="20"/>
        </w:rPr>
        <w:t>112</w:t>
      </w:r>
      <w:r w:rsidRPr="007D0CFD">
        <w:rPr>
          <w:rStyle w:val="IntenseEmphasis"/>
          <w:b/>
          <w:bCs w:val="0"/>
          <w:iCs w:val="0"/>
          <w:color w:val="548DD4" w:themeColor="text2" w:themeTint="99"/>
          <w:sz w:val="20"/>
        </w:rPr>
        <w:t xml:space="preserve">. </w:t>
      </w:r>
      <w:r w:rsidR="00141C68" w:rsidRPr="007D0CFD">
        <w:rPr>
          <w:rStyle w:val="IntenseEmphasis"/>
          <w:b/>
          <w:bCs w:val="0"/>
          <w:iCs w:val="0"/>
          <w:color w:val="548DD4" w:themeColor="text2" w:themeTint="99"/>
          <w:sz w:val="20"/>
        </w:rPr>
        <w:t>Poddjelatnosti „U</w:t>
      </w:r>
      <w:r w:rsidRPr="007D0CFD">
        <w:rPr>
          <w:rStyle w:val="IntenseEmphasis"/>
          <w:b/>
          <w:bCs w:val="0"/>
          <w:iCs w:val="0"/>
          <w:color w:val="548DD4" w:themeColor="text2" w:themeTint="99"/>
          <w:sz w:val="20"/>
        </w:rPr>
        <w:t>pitnici“</w:t>
      </w:r>
      <w:bookmarkEnd w:id="1103"/>
      <w:bookmarkEnd w:id="1104"/>
      <w:bookmarkEnd w:id="1105"/>
      <w:bookmarkEnd w:id="1106"/>
    </w:p>
    <w:tbl>
      <w:tblPr>
        <w:tblW w:w="5000" w:type="pct"/>
        <w:tblLayout w:type="fixed"/>
        <w:tblLook w:val="04A0" w:firstRow="1" w:lastRow="0" w:firstColumn="1" w:lastColumn="0" w:noHBand="0" w:noVBand="1"/>
      </w:tblPr>
      <w:tblGrid>
        <w:gridCol w:w="817"/>
        <w:gridCol w:w="851"/>
        <w:gridCol w:w="6520"/>
        <w:gridCol w:w="1100"/>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5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1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59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63.1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Obrada podataka, usluge poslužitelja i djelatnosti povezane s njima; internetski portali</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19"/>
                <w:szCs w:val="19"/>
                <w:lang w:eastAsia="hr-HR"/>
              </w:rPr>
            </w:pPr>
            <w:r w:rsidRPr="004E6412">
              <w:rPr>
                <w:rFonts w:eastAsia="Times New Roman"/>
                <w:sz w:val="19"/>
                <w:szCs w:val="19"/>
                <w:lang w:eastAsia="hr-HR"/>
              </w:rPr>
              <w:t>C 10.2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sz w:val="19"/>
                <w:szCs w:val="19"/>
                <w:lang w:eastAsia="hr-HR"/>
              </w:rPr>
            </w:pPr>
            <w:r w:rsidRPr="004E6412">
              <w:rPr>
                <w:rFonts w:eastAsia="Times New Roman"/>
                <w:sz w:val="19"/>
                <w:szCs w:val="19"/>
                <w:lang w:eastAsia="hr-HR"/>
              </w:rPr>
              <w:t>Prerada i konzerviranje riba, rakova i mekušaca*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boja, lakova i sličnih premaza, grafičkih boja i kitova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32.5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medicinskih i stomatoloških instrumenata i pribora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838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Kovanje, prešanje, štancanje i valjanje metala; metalurgija praha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869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20.4</w:t>
            </w:r>
          </w:p>
        </w:tc>
        <w:tc>
          <w:tcPr>
            <w:tcW w:w="351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sapuna i deterdženata, sredstava za čišćenje i poliranje, parfema i toaletno-kozmetičkih preparata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Instaliranje industrijskih strojeva i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742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parnih kotlova, osim kotlova za centralno grijanje toplom vodom</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1.112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Rezanje, oblikovanje i obrada kamena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1.608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metalnih cisterni, rezervoara i sličnih posuda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828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28.4</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strojeva za obradu metala i alatnih strojeva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897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1.035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w:t>
            </w:r>
            <w:r w:rsidR="00141C68" w:rsidRPr="004E6412">
              <w:rPr>
                <w:rFonts w:eastAsia="Times New Roman"/>
                <w:color w:val="000000"/>
                <w:sz w:val="19"/>
                <w:szCs w:val="19"/>
                <w:lang w:eastAsia="hr-HR"/>
              </w:rPr>
              <w:t>vodnja elektroničkih sastavnica</w:t>
            </w:r>
            <w:r w:rsidRPr="004E6412">
              <w:rPr>
                <w:rFonts w:eastAsia="Times New Roman"/>
                <w:color w:val="000000"/>
                <w:sz w:val="19"/>
                <w:szCs w:val="19"/>
                <w:lang w:eastAsia="hr-HR"/>
              </w:rPr>
              <w:t xml:space="preserve"> i ploča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1.187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Tkanje tekstila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 distribucija filmova, videofilmova i televizijskog programa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10.9</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pripremljene hrane za životinje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971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10.6</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mlinarskih proizvoda, škroba i škrobnih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pesticida i drugih agrokemijskih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58.2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Izdavanje softvera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568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optičkih instrumenata i fotografske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motornih vozila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instrumenata i aparata za mjerenje, ispitivanje i navigaciju; proizvodnja satova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367</w:t>
            </w:r>
          </w:p>
        </w:tc>
      </w:tr>
    </w:tbl>
    <w:p w:rsidR="001B41B0" w:rsidRPr="004E6412" w:rsidRDefault="001B41B0" w:rsidP="001B41B0">
      <w:pPr>
        <w:spacing w:line="360" w:lineRule="auto"/>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7" w:name="_Toc367117119"/>
      <w:bookmarkStart w:id="1108" w:name="_Toc372088195"/>
      <w:bookmarkStart w:id="1109" w:name="_Toc377551125"/>
      <w:bookmarkStart w:id="1110" w:name="_Toc377635314"/>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13</w:t>
      </w:r>
      <w:r w:rsidR="00B54DF2"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„Problematične“ poddjelatnosti</w:t>
      </w:r>
      <w:bookmarkEnd w:id="1107"/>
      <w:bookmarkEnd w:id="1108"/>
      <w:bookmarkEnd w:id="1109"/>
      <w:bookmarkEnd w:id="1110"/>
    </w:p>
    <w:tbl>
      <w:tblPr>
        <w:tblW w:w="5000" w:type="pct"/>
        <w:tblLook w:val="04A0" w:firstRow="1" w:lastRow="0" w:firstColumn="1" w:lastColumn="0" w:noHBand="0" w:noVBand="1"/>
      </w:tblPr>
      <w:tblGrid>
        <w:gridCol w:w="712"/>
        <w:gridCol w:w="802"/>
        <w:gridCol w:w="6658"/>
        <w:gridCol w:w="1116"/>
      </w:tblGrid>
      <w:tr w:rsidR="001B41B0" w:rsidRPr="004E6412" w:rsidTr="001B41B0">
        <w:trPr>
          <w:trHeight w:val="20"/>
        </w:trPr>
        <w:tc>
          <w:tcPr>
            <w:tcW w:w="383"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8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60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30.3</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zrakoplova i svemirskih letjelica te srodnih prijevoznih sredstava i opreme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301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27.5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aparata za kućanstvo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940</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24.4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plemenitih i ostalih obojenih metala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1.203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proizvoda od gline za građevinarstvo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15.2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obuće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4.975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20.1</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osnovnih kemikalija, gnojiva i dušičnih spojeva, plastike i sintetičkoga kaučuka u primarnim oblicima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3.786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cjevovoda, vodova za električnu struju i telekomunikacije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3.695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željezničkih lokomotiva i tračničkih vozila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1.941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23.9</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brusnih proizvoda i nemetalnih mineralnih proizvoda, d. n.</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14.1</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odjeće, osim krznene odjeće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Priprema i predenje tekstilnih vlakana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445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proizvoda od porculana i keramike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415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cementa, vapna i gipsa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1.419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42.1</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cesta i željezničkih pruga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41.2</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stambenih i nestambenih zgrada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29.502</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Organizacija izvedbe projekata za zgrade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1.658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Završni građevinski radovi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6.466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ostalog tekstila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2.299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Ostale specijalizirane građevinske djelatnosti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Uklanjanje građevina i pripremni radovi na gradilištu</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17.1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celuloze, papira i kartona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ostalih građevina niskogradnje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6.828</w:t>
            </w:r>
          </w:p>
        </w:tc>
      </w:tr>
    </w:tbl>
    <w:p w:rsidR="001B41B0" w:rsidRPr="004E6412" w:rsidRDefault="001B41B0" w:rsidP="001B41B0">
      <w:pPr>
        <w:spacing w:line="360" w:lineRule="auto"/>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11" w:name="_Toc367117120"/>
      <w:bookmarkStart w:id="1112" w:name="_Toc372088196"/>
      <w:bookmarkStart w:id="1113" w:name="_Toc377551126"/>
      <w:bookmarkStart w:id="1114" w:name="_Toc377635315"/>
      <w:r w:rsidRPr="007D0CFD">
        <w:rPr>
          <w:rStyle w:val="IntenseEmphasis"/>
          <w:b/>
          <w:bCs w:val="0"/>
          <w:iCs w:val="0"/>
          <w:color w:val="548DD4" w:themeColor="text2" w:themeTint="99"/>
          <w:sz w:val="20"/>
        </w:rPr>
        <w:lastRenderedPageBreak/>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14</w:t>
      </w:r>
      <w:r w:rsidR="00141C68" w:rsidRPr="007D0CFD">
        <w:rPr>
          <w:rStyle w:val="IntenseEmphasis"/>
          <w:b/>
          <w:bCs w:val="0"/>
          <w:iCs w:val="0"/>
          <w:color w:val="548DD4" w:themeColor="text2" w:themeTint="99"/>
          <w:sz w:val="20"/>
        </w:rPr>
        <w:t>. Poddjelatnosti „B</w:t>
      </w:r>
      <w:r w:rsidRPr="007D0CFD">
        <w:rPr>
          <w:rStyle w:val="IntenseEmphasis"/>
          <w:b/>
          <w:bCs w:val="0"/>
          <w:iCs w:val="0"/>
          <w:color w:val="548DD4" w:themeColor="text2" w:themeTint="99"/>
          <w:sz w:val="20"/>
        </w:rPr>
        <w:t>ez utjecaja“</w:t>
      </w:r>
      <w:bookmarkEnd w:id="1111"/>
      <w:bookmarkEnd w:id="1112"/>
      <w:bookmarkEnd w:id="1113"/>
      <w:bookmarkEnd w:id="1114"/>
    </w:p>
    <w:tbl>
      <w:tblPr>
        <w:tblW w:w="5000" w:type="pct"/>
        <w:tblLook w:val="04A0" w:firstRow="1" w:lastRow="0" w:firstColumn="1" w:lastColumn="0" w:noHBand="0" w:noVBand="1"/>
      </w:tblPr>
      <w:tblGrid>
        <w:gridCol w:w="760"/>
        <w:gridCol w:w="802"/>
        <w:gridCol w:w="6141"/>
        <w:gridCol w:w="1585"/>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85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pozitivan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26.6</w:t>
            </w:r>
          </w:p>
        </w:tc>
        <w:tc>
          <w:tcPr>
            <w:tcW w:w="33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opreme za zračenje, elektromedicinske i elektroterapeutske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30.9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prijevoznih sredstava, d. n.</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63.9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Ostale informacijske uslužne djelatnosti</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59.2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Djelatnosti snimanja zvučnih zapisa i izdavanja glazbenih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igara i igračaka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sirovog željeza, čelika i ferolegura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proizvoda primarne prerade čelika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elektroničkih uređaja za široku potrošnju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oružja i streljiva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18.2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Umnožavanje snimljenih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električne opreme za rasvjetu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470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Prerađivačka industrija, drugdje nerazvrstana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822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nakita, imitacije nakita (bižuterije) i srodnih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13.3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Dovršavanje tekstila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366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sportske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81</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000000" w:fill="FFFFFF"/>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negativan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glazbenih instrumenata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baterija i akumulatora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osnovnih farmaceutskih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predmeta od krzna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vatrostalnih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26.8</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magnetskih i optičkih medija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r>
    </w:tbl>
    <w:p w:rsidR="001B41B0" w:rsidRPr="004E6412" w:rsidRDefault="001B41B0" w:rsidP="001B41B0">
      <w:pPr>
        <w:spacing w:after="200" w:line="240" w:lineRule="auto"/>
        <w:rPr>
          <w:b/>
          <w:bCs/>
          <w:color w:val="4F81BD"/>
          <w:sz w:val="18"/>
          <w:szCs w:val="18"/>
        </w:rPr>
      </w:pPr>
      <w:bookmarkStart w:id="1115" w:name="_Toc367117121"/>
    </w:p>
    <w:p w:rsidR="00CF6C07" w:rsidRPr="004E6412" w:rsidRDefault="00CF6C07"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116" w:name="_Toc372088197"/>
      <w:bookmarkStart w:id="1117" w:name="_Toc377551127"/>
      <w:bookmarkStart w:id="1118" w:name="_Toc37763531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11</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Djelatnosti i poddjelatnosti koje nisu uključene u sustav rangiranja</w:t>
      </w:r>
      <w:bookmarkEnd w:id="1115"/>
      <w:bookmarkEnd w:id="1116"/>
      <w:bookmarkEnd w:id="1117"/>
      <w:bookmarkEnd w:id="1118"/>
    </w:p>
    <w:tbl>
      <w:tblPr>
        <w:tblW w:w="5000" w:type="pct"/>
        <w:tblLook w:val="04A0" w:firstRow="1" w:lastRow="0" w:firstColumn="1" w:lastColumn="0" w:noHBand="0" w:noVBand="1"/>
      </w:tblPr>
      <w:tblGrid>
        <w:gridCol w:w="829"/>
        <w:gridCol w:w="828"/>
        <w:gridCol w:w="6425"/>
        <w:gridCol w:w="1206"/>
      </w:tblGrid>
      <w:tr w:rsidR="001B41B0" w:rsidRPr="004E6412" w:rsidTr="009A357E">
        <w:trPr>
          <w:trHeight w:val="20"/>
        </w:trPr>
        <w:tc>
          <w:tcPr>
            <w:tcW w:w="446"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4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4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4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30.1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Gradnja brodova i čamaca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9.461</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33.1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Popravak proizvoda od metala, strojeva i opreme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4.540</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čeličnih cijevi i pribora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485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24.4</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plemenitih i ostalih obojenih metala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1.203</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duhanskih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734</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19</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rafiniranih naftnih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8.825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60</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Emitiranje programa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5.137</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Telekomunikacije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8.855</w:t>
            </w:r>
          </w:p>
        </w:tc>
      </w:tr>
    </w:tbl>
    <w:p w:rsidR="001B41B0" w:rsidRPr="004E6412" w:rsidRDefault="001B41B0"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pPr>
        <w:spacing w:line="240" w:lineRule="auto"/>
        <w:jc w:val="left"/>
        <w:rPr>
          <w:lang w:eastAsia="hr-HR"/>
        </w:rPr>
      </w:pPr>
      <w:r w:rsidRPr="004E6412">
        <w:rPr>
          <w:lang w:eastAsia="hr-HR"/>
        </w:rPr>
        <w:br w:type="page"/>
      </w:r>
    </w:p>
    <w:p w:rsidR="0050036B" w:rsidRPr="004E6412" w:rsidRDefault="0050036B" w:rsidP="0050036B">
      <w:pPr>
        <w:pStyle w:val="Title"/>
      </w:pPr>
      <w:bookmarkStart w:id="1119" w:name="_Toc378069156"/>
      <w:r w:rsidRPr="004E6412">
        <w:lastRenderedPageBreak/>
        <w:t>Strateški ciljevi hrvatske industrije 2014.-2020.</w:t>
      </w:r>
      <w:bookmarkEnd w:id="1119"/>
    </w:p>
    <w:p w:rsidR="0050036B" w:rsidRPr="004E6412" w:rsidRDefault="0050036B" w:rsidP="0050036B"/>
    <w:p w:rsidR="0050036B" w:rsidRPr="004E6412" w:rsidRDefault="0050036B" w:rsidP="0050036B">
      <w:pPr>
        <w:pStyle w:val="Heading2"/>
      </w:pPr>
      <w:bookmarkStart w:id="1120" w:name="_Toc378069157"/>
      <w:r w:rsidRPr="004E6412">
        <w:t>Promjene u globalnom okruženju</w:t>
      </w:r>
      <w:bookmarkEnd w:id="1120"/>
    </w:p>
    <w:p w:rsidR="0050036B" w:rsidRPr="004E6412" w:rsidRDefault="0050036B" w:rsidP="0050036B">
      <w:pPr>
        <w:rPr>
          <w:sz w:val="22"/>
        </w:rPr>
      </w:pPr>
    </w:p>
    <w:p w:rsidR="0050036B" w:rsidRPr="004E6412" w:rsidRDefault="0050036B" w:rsidP="0050036B">
      <w:pPr>
        <w:rPr>
          <w:sz w:val="22"/>
        </w:rPr>
      </w:pPr>
    </w:p>
    <w:p w:rsidR="00C923F3" w:rsidRDefault="00C923F3" w:rsidP="00C923F3">
      <w:pPr>
        <w:numPr>
          <w:ilvl w:val="0"/>
          <w:numId w:val="238"/>
        </w:numPr>
        <w:rPr>
          <w:sz w:val="22"/>
        </w:rPr>
      </w:pPr>
      <w:r w:rsidRPr="0007177B">
        <w:rPr>
          <w:sz w:val="22"/>
        </w:rPr>
        <w:t>U posljednjih deset</w:t>
      </w:r>
      <w:r>
        <w:rPr>
          <w:sz w:val="22"/>
        </w:rPr>
        <w:t xml:space="preserve">ak godina globalno okruženje </w:t>
      </w:r>
      <w:r w:rsidRPr="0007177B">
        <w:rPr>
          <w:sz w:val="22"/>
        </w:rPr>
        <w:t>doživjelo</w:t>
      </w:r>
      <w:r>
        <w:rPr>
          <w:sz w:val="22"/>
        </w:rPr>
        <w:t xml:space="preserve"> je značajne promjene – od rasta stanovništva</w:t>
      </w:r>
      <w:r w:rsidRPr="0007177B">
        <w:rPr>
          <w:sz w:val="22"/>
        </w:rPr>
        <w:t xml:space="preserve"> do primjene novih tehnologija u poslovanju. Briga o okolišu, energija iz obnovljivih izvora, razvoj „pametnih“ gradova i infrastrukture, rast potražnje za e</w:t>
      </w:r>
      <w:r>
        <w:rPr>
          <w:sz w:val="22"/>
        </w:rPr>
        <w:t>nergijom, nastavak urbanizacije</w:t>
      </w:r>
      <w:r w:rsidRPr="0007177B">
        <w:rPr>
          <w:sz w:val="22"/>
        </w:rPr>
        <w:t xml:space="preserve"> s naglaskom na Aziju, te druge promjene dovest će do značajn</w:t>
      </w:r>
      <w:r>
        <w:rPr>
          <w:sz w:val="22"/>
        </w:rPr>
        <w:t>ih promjena u strukturi „vrijednosnoga lanca</w:t>
      </w:r>
      <w:r w:rsidRPr="0007177B">
        <w:rPr>
          <w:sz w:val="22"/>
        </w:rPr>
        <w:t>“</w:t>
      </w:r>
      <w:r w:rsidRPr="0007177B">
        <w:rPr>
          <w:sz w:val="22"/>
          <w:vertAlign w:val="superscript"/>
        </w:rPr>
        <w:footnoteReference w:id="14"/>
      </w:r>
      <w:r w:rsidRPr="0007177B">
        <w:rPr>
          <w:sz w:val="22"/>
        </w:rPr>
        <w:t>. Jedan od ključnih trendova u budućnosti je fragmentacija globalno strukturiranih poslovnih mreža koja se ogleda u decentraliziranju poslovnih aktivnosti poduzeća p</w:t>
      </w:r>
      <w:r>
        <w:rPr>
          <w:sz w:val="22"/>
        </w:rPr>
        <w:t>r</w:t>
      </w:r>
      <w:r w:rsidRPr="0007177B">
        <w:rPr>
          <w:sz w:val="22"/>
        </w:rPr>
        <w:t>ema načelu najbolje i najjeftin</w:t>
      </w:r>
      <w:r>
        <w:rPr>
          <w:sz w:val="22"/>
        </w:rPr>
        <w:t>ije lokacije za određeni dio</w:t>
      </w:r>
      <w:r w:rsidRPr="0007177B">
        <w:rPr>
          <w:sz w:val="22"/>
        </w:rPr>
        <w:t xml:space="preserve"> vrijednosnog</w:t>
      </w:r>
      <w:r>
        <w:rPr>
          <w:sz w:val="22"/>
        </w:rPr>
        <w:t>a</w:t>
      </w:r>
      <w:r w:rsidRPr="0007177B">
        <w:rPr>
          <w:sz w:val="22"/>
        </w:rPr>
        <w:t xml:space="preserve"> lanca. Donedavno su se proizvodne aktivnosti sma</w:t>
      </w:r>
      <w:r>
        <w:rPr>
          <w:sz w:val="22"/>
        </w:rPr>
        <w:t>trale najvažnijom karikom vrijednosnoga lanca</w:t>
      </w:r>
      <w:r w:rsidRPr="0007177B">
        <w:rPr>
          <w:sz w:val="22"/>
        </w:rPr>
        <w:t>. Međutim, danas se situacija značajno promijenila u korist aktivnosti kao št</w:t>
      </w:r>
      <w:r>
        <w:rPr>
          <w:sz w:val="22"/>
        </w:rPr>
        <w:t>o su marketing, brendiranje, istraživanje i razvoj</w:t>
      </w:r>
      <w:r w:rsidRPr="0007177B">
        <w:rPr>
          <w:sz w:val="22"/>
        </w:rPr>
        <w:t>, dizajn, inženjering, menadžment i drugo. Zbog svega navedenog</w:t>
      </w:r>
      <w:r>
        <w:rPr>
          <w:sz w:val="22"/>
        </w:rPr>
        <w:t>a države su se primorane specijalizirati</w:t>
      </w:r>
      <w:r w:rsidRPr="0007177B">
        <w:rPr>
          <w:sz w:val="22"/>
        </w:rPr>
        <w:t xml:space="preserve"> u onim dijelovima </w:t>
      </w:r>
      <w:r>
        <w:rPr>
          <w:sz w:val="22"/>
        </w:rPr>
        <w:t>vrijednosnoga lanca</w:t>
      </w:r>
      <w:r w:rsidRPr="0007177B">
        <w:rPr>
          <w:sz w:val="22"/>
        </w:rPr>
        <w:t xml:space="preserve"> za koje su procijenile da mogu ostvariti konkurent</w:t>
      </w:r>
      <w:r>
        <w:rPr>
          <w:sz w:val="22"/>
        </w:rPr>
        <w:t>nu</w:t>
      </w:r>
      <w:r w:rsidRPr="0007177B">
        <w:rPr>
          <w:sz w:val="22"/>
        </w:rPr>
        <w:t xml:space="preserve"> prednost</w:t>
      </w:r>
      <w:r>
        <w:rPr>
          <w:sz w:val="22"/>
        </w:rPr>
        <w:t xml:space="preserve"> temeljem imovine i resursa koje</w:t>
      </w:r>
      <w:r w:rsidRPr="0007177B">
        <w:rPr>
          <w:sz w:val="22"/>
        </w:rPr>
        <w:t xml:space="preserve"> posjeduju.  </w:t>
      </w:r>
    </w:p>
    <w:p w:rsidR="00C923F3" w:rsidRDefault="00C923F3" w:rsidP="00C923F3">
      <w:pPr>
        <w:ind w:left="720"/>
        <w:rPr>
          <w:sz w:val="22"/>
        </w:rPr>
      </w:pPr>
    </w:p>
    <w:p w:rsidR="00C923F3" w:rsidRPr="0007177B" w:rsidRDefault="00C923F3" w:rsidP="00C923F3">
      <w:pPr>
        <w:numPr>
          <w:ilvl w:val="0"/>
          <w:numId w:val="238"/>
        </w:numPr>
        <w:rPr>
          <w:sz w:val="22"/>
        </w:rPr>
      </w:pPr>
      <w:r w:rsidRPr="0007177B">
        <w:rPr>
          <w:sz w:val="22"/>
        </w:rPr>
        <w:t>Nastavak procesa fragmentacije vrijednosnog</w:t>
      </w:r>
      <w:r>
        <w:rPr>
          <w:sz w:val="22"/>
        </w:rPr>
        <w:t>a</w:t>
      </w:r>
      <w:r w:rsidRPr="0007177B">
        <w:rPr>
          <w:sz w:val="22"/>
        </w:rPr>
        <w:t xml:space="preserve"> lanca u potpunosti će promijeniti strukturu globalne ekonomije. Poduzeća imaju veliku slobodu </w:t>
      </w:r>
      <w:r>
        <w:rPr>
          <w:sz w:val="22"/>
        </w:rPr>
        <w:t>u iskorištavanju</w:t>
      </w:r>
      <w:r w:rsidRPr="0007177B">
        <w:rPr>
          <w:sz w:val="22"/>
        </w:rPr>
        <w:t xml:space="preserve"> pri</w:t>
      </w:r>
      <w:r>
        <w:rPr>
          <w:sz w:val="22"/>
        </w:rPr>
        <w:t>lika koje donosi globalizacija, ali s druge strane</w:t>
      </w:r>
      <w:r w:rsidRPr="0007177B">
        <w:rPr>
          <w:sz w:val="22"/>
        </w:rPr>
        <w:t xml:space="preserve"> to dovodi do zna</w:t>
      </w:r>
      <w:r>
        <w:rPr>
          <w:sz w:val="22"/>
        </w:rPr>
        <w:t>tnoga</w:t>
      </w:r>
      <w:r w:rsidRPr="0007177B">
        <w:rPr>
          <w:sz w:val="22"/>
        </w:rPr>
        <w:t xml:space="preserve"> sužavanja manevarskog</w:t>
      </w:r>
      <w:r>
        <w:rPr>
          <w:sz w:val="22"/>
        </w:rPr>
        <w:t>a</w:t>
      </w:r>
      <w:r w:rsidRPr="0007177B">
        <w:rPr>
          <w:sz w:val="22"/>
        </w:rPr>
        <w:t xml:space="preserve"> </w:t>
      </w:r>
      <w:r>
        <w:rPr>
          <w:sz w:val="22"/>
        </w:rPr>
        <w:t>prostora za V</w:t>
      </w:r>
      <w:r w:rsidRPr="0007177B">
        <w:rPr>
          <w:sz w:val="22"/>
        </w:rPr>
        <w:t>lade</w:t>
      </w:r>
      <w:r>
        <w:rPr>
          <w:sz w:val="22"/>
        </w:rPr>
        <w:t xml:space="preserve"> država na području stvaranja</w:t>
      </w:r>
      <w:r w:rsidRPr="0007177B">
        <w:rPr>
          <w:sz w:val="22"/>
        </w:rPr>
        <w:t xml:space="preserve"> mjera i instrumenata industrijsk</w:t>
      </w:r>
      <w:r>
        <w:rPr>
          <w:sz w:val="22"/>
        </w:rPr>
        <w:t>ih</w:t>
      </w:r>
      <w:r w:rsidRPr="0007177B">
        <w:rPr>
          <w:sz w:val="22"/>
        </w:rPr>
        <w:t xml:space="preserve"> strategija.</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Default="0050036B" w:rsidP="0050036B">
      <w:pPr>
        <w:rPr>
          <w:lang w:eastAsia="hr-HR"/>
        </w:rPr>
      </w:pPr>
    </w:p>
    <w:p w:rsidR="00907034" w:rsidRPr="004E6412" w:rsidRDefault="00907034"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rPr>
      </w:pPr>
      <w:bookmarkStart w:id="1121" w:name="_Toc377635348"/>
      <w:r w:rsidRPr="004E6412">
        <w:rPr>
          <w:lang w:val="hr-HR"/>
        </w:rPr>
        <w:lastRenderedPageBreak/>
        <w:t>Slika 24. Lanac vrijednosti</w:t>
      </w:r>
      <w:bookmarkEnd w:id="1121"/>
    </w:p>
    <w:p w:rsidR="0050036B" w:rsidRPr="004E6412" w:rsidRDefault="00294426" w:rsidP="0050036B">
      <w:r>
        <w:rPr>
          <w:noProof/>
          <w:lang w:eastAsia="hr-HR"/>
        </w:rPr>
        <mc:AlternateContent>
          <mc:Choice Requires="wpg">
            <w:drawing>
              <wp:anchor distT="0" distB="0" distL="114300" distR="114300" simplePos="0" relativeHeight="251682304" behindDoc="0" locked="0" layoutInCell="1" allowOverlap="1">
                <wp:simplePos x="0" y="0"/>
                <wp:positionH relativeFrom="column">
                  <wp:posOffset>-433705</wp:posOffset>
                </wp:positionH>
                <wp:positionV relativeFrom="paragraph">
                  <wp:posOffset>170815</wp:posOffset>
                </wp:positionV>
                <wp:extent cx="5678805" cy="3916680"/>
                <wp:effectExtent l="0" t="26035" r="0" b="635"/>
                <wp:wrapNone/>
                <wp:docPr id="15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3916680"/>
                          <a:chOff x="734" y="2321"/>
                          <a:chExt cx="8943" cy="6168"/>
                        </a:xfrm>
                      </wpg:grpSpPr>
                      <wps:wsp>
                        <wps:cNvPr id="160" name="AutoShape 24"/>
                        <wps:cNvCnPr/>
                        <wps:spPr bwMode="auto">
                          <a:xfrm flipV="1">
                            <a:off x="1311" y="2321"/>
                            <a:ext cx="0" cy="460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1" name="Group 76"/>
                        <wpg:cNvGrpSpPr>
                          <a:grpSpLocks/>
                        </wpg:cNvGrpSpPr>
                        <wpg:grpSpPr bwMode="auto">
                          <a:xfrm>
                            <a:off x="734" y="2761"/>
                            <a:ext cx="8943" cy="5728"/>
                            <a:chOff x="734" y="2761"/>
                            <a:chExt cx="8943" cy="5728"/>
                          </a:xfrm>
                        </wpg:grpSpPr>
                        <wps:wsp>
                          <wps:cNvPr id="162" name="Arc 77"/>
                          <wps:cNvSpPr>
                            <a:spLocks/>
                          </wps:cNvSpPr>
                          <wps:spPr bwMode="auto">
                            <a:xfrm rot="9262598">
                              <a:off x="2614" y="2761"/>
                              <a:ext cx="4375" cy="3241"/>
                            </a:xfrm>
                            <a:custGeom>
                              <a:avLst/>
                              <a:gdLst>
                                <a:gd name="G0" fmla="+- 17322 0 0"/>
                                <a:gd name="G1" fmla="+- 21600 0 0"/>
                                <a:gd name="G2" fmla="+- 21600 0 0"/>
                                <a:gd name="T0" fmla="*/ 0 w 38922"/>
                                <a:gd name="T1" fmla="*/ 8696 h 27067"/>
                                <a:gd name="T2" fmla="*/ 38219 w 38922"/>
                                <a:gd name="T3" fmla="*/ 27067 h 27067"/>
                                <a:gd name="T4" fmla="*/ 17322 w 38922"/>
                                <a:gd name="T5" fmla="*/ 21600 h 27067"/>
                              </a:gdLst>
                              <a:ahLst/>
                              <a:cxnLst>
                                <a:cxn ang="0">
                                  <a:pos x="T0" y="T1"/>
                                </a:cxn>
                                <a:cxn ang="0">
                                  <a:pos x="T2" y="T3"/>
                                </a:cxn>
                                <a:cxn ang="0">
                                  <a:pos x="T4" y="T5"/>
                                </a:cxn>
                              </a:cxnLst>
                              <a:rect l="0" t="0" r="r" b="b"/>
                              <a:pathLst>
                                <a:path w="38922" h="27067" fill="none" extrusionOk="0">
                                  <a:moveTo>
                                    <a:pt x="0" y="8696"/>
                                  </a:moveTo>
                                  <a:cubicBezTo>
                                    <a:pt x="4076" y="3224"/>
                                    <a:pt x="10498" y="-1"/>
                                    <a:pt x="17322" y="0"/>
                                  </a:cubicBezTo>
                                  <a:cubicBezTo>
                                    <a:pt x="29251" y="0"/>
                                    <a:pt x="38922" y="9670"/>
                                    <a:pt x="38922" y="21600"/>
                                  </a:cubicBezTo>
                                  <a:cubicBezTo>
                                    <a:pt x="38922" y="23444"/>
                                    <a:pt x="38685" y="25282"/>
                                    <a:pt x="38218" y="27066"/>
                                  </a:cubicBezTo>
                                </a:path>
                                <a:path w="38922" h="27067" stroke="0" extrusionOk="0">
                                  <a:moveTo>
                                    <a:pt x="0" y="8696"/>
                                  </a:moveTo>
                                  <a:cubicBezTo>
                                    <a:pt x="4076" y="3224"/>
                                    <a:pt x="10498" y="-1"/>
                                    <a:pt x="17322" y="0"/>
                                  </a:cubicBezTo>
                                  <a:cubicBezTo>
                                    <a:pt x="29251" y="0"/>
                                    <a:pt x="38922" y="9670"/>
                                    <a:pt x="38922" y="21600"/>
                                  </a:cubicBezTo>
                                  <a:cubicBezTo>
                                    <a:pt x="38922" y="23444"/>
                                    <a:pt x="38685" y="25282"/>
                                    <a:pt x="38218" y="27066"/>
                                  </a:cubicBezTo>
                                  <a:lnTo>
                                    <a:pt x="17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26"/>
                          <wps:cNvCnPr/>
                          <wps:spPr bwMode="auto">
                            <a:xfrm>
                              <a:off x="1311" y="6929"/>
                              <a:ext cx="623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4"/>
                          <wps:cNvCnPr/>
                          <wps:spPr bwMode="auto">
                            <a:xfrm>
                              <a:off x="1311" y="6577"/>
                              <a:ext cx="6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35"/>
                          <wps:cNvSpPr txBox="1">
                            <a:spLocks noChangeArrowheads="1"/>
                          </wps:cNvSpPr>
                          <wps:spPr bwMode="auto">
                            <a:xfrm>
                              <a:off x="734" y="2822"/>
                              <a:ext cx="473" cy="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jc w:val="center"/>
                                  <w:rPr>
                                    <w:b/>
                                    <w:sz w:val="20"/>
                                    <w:szCs w:val="20"/>
                                  </w:rPr>
                                </w:pPr>
                                <w:r w:rsidRPr="00E2469F">
                                  <w:rPr>
                                    <w:b/>
                                    <w:sz w:val="20"/>
                                    <w:szCs w:val="20"/>
                                  </w:rPr>
                                  <w:t>Dodana ekonomska vrijednost</w:t>
                                </w:r>
                              </w:p>
                            </w:txbxContent>
                          </wps:txbx>
                          <wps:bodyPr rot="0" vert="vert270" wrap="square" lIns="91440" tIns="45720" rIns="91440" bIns="45720" anchor="t" anchorCtr="0" upright="1">
                            <a:noAutofit/>
                          </wps:bodyPr>
                        </wps:wsp>
                        <wps:wsp>
                          <wps:cNvPr id="166" name="Text Box 81"/>
                          <wps:cNvSpPr txBox="1">
                            <a:spLocks noChangeArrowheads="1"/>
                          </wps:cNvSpPr>
                          <wps:spPr bwMode="auto">
                            <a:xfrm>
                              <a:off x="1311"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spacing w:line="240" w:lineRule="auto"/>
                                  <w:jc w:val="center"/>
                                  <w:rPr>
                                    <w:sz w:val="20"/>
                                    <w:szCs w:val="20"/>
                                  </w:rPr>
                                </w:pPr>
                                <w:r>
                                  <w:rPr>
                                    <w:sz w:val="20"/>
                                    <w:szCs w:val="20"/>
                                  </w:rPr>
                                  <w:t>Pred-</w:t>
                                </w:r>
                                <w:r w:rsidRPr="00167887">
                                  <w:rPr>
                                    <w:sz w:val="20"/>
                                    <w:szCs w:val="20"/>
                                  </w:rPr>
                                  <w:t>proizvodne</w:t>
                                </w:r>
                              </w:p>
                              <w:p w:rsidR="00683AF5" w:rsidRPr="00167887" w:rsidRDefault="00683AF5"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167" name="Text Box 82"/>
                          <wps:cNvSpPr txBox="1">
                            <a:spLocks noChangeArrowheads="1"/>
                          </wps:cNvSpPr>
                          <wps:spPr bwMode="auto">
                            <a:xfrm>
                              <a:off x="3269" y="705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spacing w:line="240" w:lineRule="auto"/>
                                  <w:jc w:val="center"/>
                                  <w:rPr>
                                    <w:sz w:val="20"/>
                                    <w:szCs w:val="20"/>
                                  </w:rPr>
                                </w:pPr>
                                <w:r>
                                  <w:rPr>
                                    <w:sz w:val="20"/>
                                    <w:szCs w:val="20"/>
                                  </w:rPr>
                                  <w:t>P</w:t>
                                </w:r>
                                <w:r w:rsidRPr="00167887">
                                  <w:rPr>
                                    <w:sz w:val="20"/>
                                    <w:szCs w:val="20"/>
                                  </w:rPr>
                                  <w:t>roizvodne</w:t>
                                </w:r>
                              </w:p>
                              <w:p w:rsidR="00683AF5" w:rsidRPr="00167887" w:rsidRDefault="00683AF5" w:rsidP="0050036B">
                                <w:pPr>
                                  <w:jc w:val="center"/>
                                  <w:rPr>
                                    <w:sz w:val="20"/>
                                    <w:szCs w:val="20"/>
                                  </w:rPr>
                                </w:pPr>
                                <w:r>
                                  <w:rPr>
                                    <w:sz w:val="20"/>
                                    <w:szCs w:val="20"/>
                                  </w:rPr>
                                  <w:t>materijalne</w:t>
                                </w:r>
                              </w:p>
                            </w:txbxContent>
                          </wps:txbx>
                          <wps:bodyPr rot="0" vert="horz" wrap="square" lIns="91440" tIns="45720" rIns="91440" bIns="45720" anchor="t" anchorCtr="0" upright="1">
                            <a:noAutofit/>
                          </wps:bodyPr>
                        </wps:wsp>
                        <wps:wsp>
                          <wps:cNvPr id="168" name="Text Box 83"/>
                          <wps:cNvSpPr txBox="1">
                            <a:spLocks noChangeArrowheads="1"/>
                          </wps:cNvSpPr>
                          <wps:spPr bwMode="auto">
                            <a:xfrm>
                              <a:off x="5530"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jc w:val="center"/>
                                  <w:rPr>
                                    <w:sz w:val="20"/>
                                    <w:szCs w:val="20"/>
                                  </w:rPr>
                                </w:pPr>
                                <w:r>
                                  <w:rPr>
                                    <w:sz w:val="20"/>
                                    <w:szCs w:val="20"/>
                                  </w:rPr>
                                  <w:t>Post-proizvodne</w:t>
                                </w:r>
                              </w:p>
                              <w:p w:rsidR="00683AF5" w:rsidRPr="00167887" w:rsidRDefault="00683AF5"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169" name="Text Box 39"/>
                          <wps:cNvSpPr txBox="1">
                            <a:spLocks noChangeArrowheads="1"/>
                          </wps:cNvSpPr>
                          <wps:spPr bwMode="auto">
                            <a:xfrm>
                              <a:off x="7697" y="6426"/>
                              <a:ext cx="198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rPr>
                                    <w:sz w:val="20"/>
                                    <w:szCs w:val="20"/>
                                  </w:rPr>
                                </w:pPr>
                                <w:r>
                                  <w:rPr>
                                    <w:sz w:val="20"/>
                                    <w:szCs w:val="20"/>
                                  </w:rPr>
                                  <w:t>B</w:t>
                                </w:r>
                                <w:r w:rsidRPr="00E2469F">
                                  <w:rPr>
                                    <w:sz w:val="20"/>
                                    <w:szCs w:val="20"/>
                                  </w:rPr>
                                  <w:t>azna cijena</w:t>
                                </w:r>
                              </w:p>
                            </w:txbxContent>
                          </wps:txbx>
                          <wps:bodyPr rot="0" vert="horz" wrap="square" lIns="91440" tIns="45720" rIns="91440" bIns="45720" anchor="t" anchorCtr="0" upright="1">
                            <a:noAutofit/>
                          </wps:bodyPr>
                        </wps:wsp>
                        <wps:wsp>
                          <wps:cNvPr id="170" name="Text Box 85"/>
                          <wps:cNvSpPr txBox="1">
                            <a:spLocks noChangeArrowheads="1"/>
                          </wps:cNvSpPr>
                          <wps:spPr bwMode="auto">
                            <a:xfrm>
                              <a:off x="2531" y="7865"/>
                              <a:ext cx="402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spacing w:line="240" w:lineRule="auto"/>
                                  <w:jc w:val="center"/>
                                  <w:rPr>
                                    <w:b/>
                                    <w:sz w:val="20"/>
                                    <w:szCs w:val="20"/>
                                  </w:rPr>
                                </w:pPr>
                                <w:r w:rsidRPr="00E2469F">
                                  <w:rPr>
                                    <w:b/>
                                    <w:sz w:val="20"/>
                                    <w:szCs w:val="20"/>
                                  </w:rPr>
                                  <w:t xml:space="preserve">Aktivnosti koje dodaju vrijednost </w:t>
                                </w:r>
                              </w:p>
                            </w:txbxContent>
                          </wps:txbx>
                          <wps:bodyPr rot="0" vert="horz" wrap="square" lIns="91440" tIns="45720" rIns="91440" bIns="45720" anchor="t" anchorCtr="0" upright="1">
                            <a:noAutofit/>
                          </wps:bodyPr>
                        </wps:wsp>
                        <wps:wsp>
                          <wps:cNvPr id="171" name="Oval 86"/>
                          <wps:cNvSpPr>
                            <a:spLocks noChangeArrowheads="1"/>
                          </wps:cNvSpPr>
                          <wps:spPr bwMode="auto">
                            <a:xfrm>
                              <a:off x="3698" y="5712"/>
                              <a:ext cx="1832" cy="714"/>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Proizvodnja</w:t>
                                </w:r>
                              </w:p>
                            </w:txbxContent>
                          </wps:txbx>
                          <wps:bodyPr rot="0" vert="horz" wrap="square" lIns="91440" tIns="45720" rIns="91440" bIns="45720" anchor="t" anchorCtr="0" upright="1">
                            <a:noAutofit/>
                          </wps:bodyPr>
                        </wps:wsp>
                        <wps:wsp>
                          <wps:cNvPr id="172" name="Oval 87"/>
                          <wps:cNvSpPr>
                            <a:spLocks noChangeArrowheads="1"/>
                          </wps:cNvSpPr>
                          <wps:spPr bwMode="auto">
                            <a:xfrm>
                              <a:off x="1994" y="5080"/>
                              <a:ext cx="1842" cy="770"/>
                            </a:xfrm>
                            <a:prstGeom prst="ellipse">
                              <a:avLst/>
                            </a:prstGeom>
                            <a:solidFill>
                              <a:srgbClr val="FFFFFF"/>
                            </a:solidFill>
                            <a:ln w="9525">
                              <a:solidFill>
                                <a:srgbClr val="000000"/>
                              </a:solidFill>
                              <a:round/>
                              <a:headEnd/>
                              <a:tailEnd/>
                            </a:ln>
                          </wps:spPr>
                          <wps:txbx>
                            <w:txbxContent>
                              <w:p w:rsidR="00683AF5" w:rsidRPr="00725772" w:rsidRDefault="00683AF5" w:rsidP="0050036B">
                                <w:pPr>
                                  <w:spacing w:line="240" w:lineRule="auto"/>
                                  <w:jc w:val="center"/>
                                  <w:rPr>
                                    <w:sz w:val="18"/>
                                    <w:szCs w:val="18"/>
                                  </w:rPr>
                                </w:pPr>
                                <w:r w:rsidRPr="00725772">
                                  <w:rPr>
                                    <w:sz w:val="18"/>
                                    <w:szCs w:val="18"/>
                                  </w:rPr>
                                  <w:t>Logistika nabave</w:t>
                                </w:r>
                              </w:p>
                            </w:txbxContent>
                          </wps:txbx>
                          <wps:bodyPr rot="0" vert="horz" wrap="square" lIns="91440" tIns="45720" rIns="91440" bIns="45720" anchor="t" anchorCtr="0" upright="1">
                            <a:noAutofit/>
                          </wps:bodyPr>
                        </wps:wsp>
                        <wps:wsp>
                          <wps:cNvPr id="173" name="Oval 88"/>
                          <wps:cNvSpPr>
                            <a:spLocks noChangeArrowheads="1"/>
                          </wps:cNvSpPr>
                          <wps:spPr bwMode="auto">
                            <a:xfrm>
                              <a:off x="1582" y="4205"/>
                              <a:ext cx="1877"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Dizajn</w:t>
                                </w:r>
                              </w:p>
                            </w:txbxContent>
                          </wps:txbx>
                          <wps:bodyPr rot="0" vert="horz" wrap="square" lIns="91440" tIns="45720" rIns="91440" bIns="45720" anchor="t" anchorCtr="0" upright="1">
                            <a:noAutofit/>
                          </wps:bodyPr>
                        </wps:wsp>
                        <wps:wsp>
                          <wps:cNvPr id="174" name="Oval 89"/>
                          <wps:cNvSpPr>
                            <a:spLocks noChangeArrowheads="1"/>
                          </wps:cNvSpPr>
                          <wps:spPr bwMode="auto">
                            <a:xfrm>
                              <a:off x="1392" y="3272"/>
                              <a:ext cx="1877" cy="749"/>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Istraživanje i razvoj</w:t>
                                </w:r>
                              </w:p>
                            </w:txbxContent>
                          </wps:txbx>
                          <wps:bodyPr rot="0" vert="horz" wrap="square" lIns="91440" tIns="45720" rIns="91440" bIns="45720" anchor="t" anchorCtr="0" upright="1">
                            <a:noAutofit/>
                          </wps:bodyPr>
                        </wps:wsp>
                        <wps:wsp>
                          <wps:cNvPr id="175" name="Oval 90"/>
                          <wps:cNvSpPr>
                            <a:spLocks noChangeArrowheads="1"/>
                          </wps:cNvSpPr>
                          <wps:spPr bwMode="auto">
                            <a:xfrm>
                              <a:off x="5417" y="5184"/>
                              <a:ext cx="1911"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spacing w:line="240" w:lineRule="auto"/>
                                  <w:jc w:val="center"/>
                                  <w:rPr>
                                    <w:sz w:val="18"/>
                                    <w:szCs w:val="18"/>
                                  </w:rPr>
                                </w:pPr>
                                <w:r w:rsidRPr="00725772">
                                  <w:rPr>
                                    <w:sz w:val="18"/>
                                    <w:szCs w:val="18"/>
                                  </w:rPr>
                                  <w:t>Logistika distribucije</w:t>
                                </w:r>
                              </w:p>
                            </w:txbxContent>
                          </wps:txbx>
                          <wps:bodyPr rot="0" vert="horz" wrap="square" lIns="91440" tIns="45720" rIns="91440" bIns="45720" anchor="t" anchorCtr="0" upright="1">
                            <a:noAutofit/>
                          </wps:bodyPr>
                        </wps:wsp>
                        <wps:wsp>
                          <wps:cNvPr id="176" name="Oval 91"/>
                          <wps:cNvSpPr>
                            <a:spLocks noChangeArrowheads="1"/>
                          </wps:cNvSpPr>
                          <wps:spPr bwMode="auto">
                            <a:xfrm>
                              <a:off x="6189" y="4285"/>
                              <a:ext cx="1829"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Marketing</w:t>
                                </w:r>
                              </w:p>
                            </w:txbxContent>
                          </wps:txbx>
                          <wps:bodyPr rot="0" vert="horz" wrap="square" lIns="91440" tIns="45720" rIns="91440" bIns="45720" anchor="t" anchorCtr="0" upright="1">
                            <a:noAutofit/>
                          </wps:bodyPr>
                        </wps:wsp>
                        <wps:wsp>
                          <wps:cNvPr id="177" name="Oval 92"/>
                          <wps:cNvSpPr>
                            <a:spLocks noChangeArrowheads="1"/>
                          </wps:cNvSpPr>
                          <wps:spPr bwMode="auto">
                            <a:xfrm>
                              <a:off x="6328" y="3272"/>
                              <a:ext cx="1844" cy="749"/>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Postprodajne usluge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77" style="position:absolute;left:0;text-align:left;margin-left:-34.15pt;margin-top:13.45pt;width:447.15pt;height:308.4pt;z-index:251682304" coordorigin="734,2321" coordsize="8943,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">
                <v:shape id="AutoShape 24" o:spid="_x0000_s1078" type="#_x0000_t32" style="position:absolute;left:1311;top:2321;width:0;height:4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J+sYAAADcAAAADwAAAGRycy9kb3ducmV2LnhtbESPQUvDQBCF74X+h2UEb83GgEVit0Vb&#10;FIVSMNb7mB2TYHY2zW7TtL++cxC8zfDevPfNYjW6Vg3Uh8azgbskBUVcettwZWD/+TJ7ABUissXW&#10;Mxk4U4DVcjpZYG79iT9oKGKlJIRDjgbqGLtc61DW5DAkviMW7cf3DqOsfaVtjycJd63O0nSuHTYs&#10;DTV2tK6p/C2OzkAoLvHrWw/bw7HN3neb/ev9+Tkz5vZmfHoEFWmM/+a/6zcr+HP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yfrGAAAA3AAAAA8AAAAAAAAA&#10;AAAAAAAAoQIAAGRycy9kb3ducmV2LnhtbFBLBQYAAAAABAAEAPkAAACUAwAAAAA=&#10;" strokeweight="2.25pt">
                  <v:stroke endarrow="block"/>
                </v:shape>
                <v:group id="Group 76" o:spid="_x0000_s1079" style="position:absolute;left:734;top:2761;width:8943;height:5728" coordorigin="734,2761" coordsize="8943,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rc 77" o:spid="_x0000_s1080" style="position:absolute;left:2614;top:2761;width:4375;height:3241;rotation:10117227fd;visibility:visible;mso-wrap-style:square;v-text-anchor:top" coordsize="38922,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Oo8AA&#10;AADcAAAADwAAAGRycy9kb3ducmV2LnhtbERPTWvDMAy9D/ofjAq9rU5DCVsaJ4yOQm9jXdlZxGoc&#10;FsvB9pL038+DwW56vE9VzWIHMZEPvWMFu20Ggrh1uudOwfXj9PgEIkRkjYNjUnCnAE29eqiw1G7m&#10;d5ousRMphEOJCkyMYyllaA1ZDFs3Eifu5rzFmKDvpPY4p3A7yDzLCmmx59RgcKSjofbr8m0VzFf9&#10;mXlv+/3z65knt5/upnhTarNeXg4gIi3xX/znPus0v8jh95l0ga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0Oo8AAAADcAAAADwAAAAAAAAAAAAAAAACYAgAAZHJzL2Rvd25y&#10;ZXYueG1sUEsFBgAAAAAEAAQA9QAAAIUDAAAAAA==&#10;" path="m,8696nfc4076,3224,10498,-1,17322,,29251,,38922,9670,38922,21600v,1844,-237,3682,-704,5466em,8696nsc4076,3224,10498,-1,17322,,29251,,38922,9670,38922,21600v,1844,-237,3682,-704,5466l17322,21600,,8696xe" filled="f">
                    <v:path arrowok="t" o:extrusionok="f" o:connecttype="custom" o:connectlocs="0,1041;4296,3241;1947,2586" o:connectangles="0,0,0"/>
                  </v:shape>
                  <v:shape id="AutoShape 26" o:spid="_x0000_s1081" type="#_x0000_t32" style="position:absolute;left:1311;top:6929;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2wsQAAADcAAAADwAAAGRycy9kb3ducmV2LnhtbERPyWrDMBC9F/oPYgq9lERuDcE4kU0S&#10;SGmhh2yl18GaWCbWyFiq4/x9VQjkNo+3zqIcbSsG6n3jWMHrNAFBXDndcK3geNhMMhA+IGtsHZOC&#10;K3koi8eHBebaXXhHwz7UIoawz1GBCaHLpfSVIYt+6jriyJ1cbzFE2NdS93iJ4baVb0kykxYbjg0G&#10;O1obqs77X6sgDEnqX7LjbvVt3s9fP+ny87rZKvX8NC7nIAKN4S6+uT90nD9L4f+ZeIE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nbCxAAAANwAAAAPAAAAAAAAAAAA&#10;AAAAAKECAABkcnMvZG93bnJldi54bWxQSwUGAAAAAAQABAD5AAAAkgMAAAAA&#10;" strokeweight="2.25pt"/>
                  <v:shape id="AutoShape 34" o:spid="_x0000_s1082" type="#_x0000_t32" style="position:absolute;left:1311;top:6577;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Text Box 35" o:spid="_x0000_s1083" type="#_x0000_t202" style="position:absolute;left:734;top:2822;width:473;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5C8IA&#10;AADcAAAADwAAAGRycy9kb3ducmV2LnhtbERP32vCMBB+F/Y/hBv4ZtMpK6MzFjcQBEGYlj0fza3p&#10;2lxKE2v1r18Gg73dx/fz1sVkOzHS4BvHCp6SFARx5XTDtYLyvFu8gPABWWPnmBTcyEOxeZitMdfu&#10;yh80nkItYgj7HBWYEPpcSl8ZsugT1xNH7ssNFkOEQy31gNcYbju5TNNMWmw4Nhjs6d1Q1Z4uVsGY&#10;3stqhU4ejt9Z2W7N8m08fio1f5y2ryACTeFf/Ofe6zg/e4b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rkLwgAAANwAAAAPAAAAAAAAAAAAAAAAAJgCAABkcnMvZG93&#10;bnJldi54bWxQSwUGAAAAAAQABAD1AAAAhwMAAAAA&#10;" stroked="f">
                    <v:textbox style="layout-flow:vertical;mso-layout-flow-alt:bottom-to-top">
                      <w:txbxContent>
                        <w:p w:rsidR="00683AF5" w:rsidRPr="00E2469F" w:rsidRDefault="00683AF5" w:rsidP="0050036B">
                          <w:pPr>
                            <w:jc w:val="center"/>
                            <w:rPr>
                              <w:b/>
                              <w:sz w:val="20"/>
                              <w:szCs w:val="20"/>
                            </w:rPr>
                          </w:pPr>
                          <w:r w:rsidRPr="00E2469F">
                            <w:rPr>
                              <w:b/>
                              <w:sz w:val="20"/>
                              <w:szCs w:val="20"/>
                            </w:rPr>
                            <w:t>Dodana ekonomska vrijednost</w:t>
                          </w:r>
                        </w:p>
                      </w:txbxContent>
                    </v:textbox>
                  </v:shape>
                  <v:shape id="Text Box 81" o:spid="_x0000_s1084" type="#_x0000_t202" style="position:absolute;left:1311;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683AF5" w:rsidRDefault="00683AF5" w:rsidP="0050036B">
                          <w:pPr>
                            <w:spacing w:line="240" w:lineRule="auto"/>
                            <w:jc w:val="center"/>
                            <w:rPr>
                              <w:sz w:val="20"/>
                              <w:szCs w:val="20"/>
                            </w:rPr>
                          </w:pPr>
                          <w:r>
                            <w:rPr>
                              <w:sz w:val="20"/>
                              <w:szCs w:val="20"/>
                            </w:rPr>
                            <w:t>Pred-</w:t>
                          </w:r>
                          <w:r w:rsidRPr="00167887">
                            <w:rPr>
                              <w:sz w:val="20"/>
                              <w:szCs w:val="20"/>
                            </w:rPr>
                            <w:t>proizvodne</w:t>
                          </w:r>
                        </w:p>
                        <w:p w:rsidR="00683AF5" w:rsidRPr="00167887" w:rsidRDefault="00683AF5" w:rsidP="0050036B">
                          <w:pPr>
                            <w:spacing w:line="240" w:lineRule="auto"/>
                            <w:jc w:val="center"/>
                            <w:rPr>
                              <w:sz w:val="20"/>
                              <w:szCs w:val="20"/>
                            </w:rPr>
                          </w:pPr>
                          <w:r>
                            <w:rPr>
                              <w:sz w:val="20"/>
                              <w:szCs w:val="20"/>
                            </w:rPr>
                            <w:t>nematerijalne</w:t>
                          </w:r>
                        </w:p>
                      </w:txbxContent>
                    </v:textbox>
                  </v:shape>
                  <v:shape id="Text Box 82" o:spid="_x0000_s1085" type="#_x0000_t202" style="position:absolute;left:3269;top:705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rsidR="00683AF5" w:rsidRDefault="00683AF5" w:rsidP="0050036B">
                          <w:pPr>
                            <w:spacing w:line="240" w:lineRule="auto"/>
                            <w:jc w:val="center"/>
                            <w:rPr>
                              <w:sz w:val="20"/>
                              <w:szCs w:val="20"/>
                            </w:rPr>
                          </w:pPr>
                          <w:r>
                            <w:rPr>
                              <w:sz w:val="20"/>
                              <w:szCs w:val="20"/>
                            </w:rPr>
                            <w:t>P</w:t>
                          </w:r>
                          <w:r w:rsidRPr="00167887">
                            <w:rPr>
                              <w:sz w:val="20"/>
                              <w:szCs w:val="20"/>
                            </w:rPr>
                            <w:t>roizvodne</w:t>
                          </w:r>
                        </w:p>
                        <w:p w:rsidR="00683AF5" w:rsidRPr="00167887" w:rsidRDefault="00683AF5" w:rsidP="0050036B">
                          <w:pPr>
                            <w:jc w:val="center"/>
                            <w:rPr>
                              <w:sz w:val="20"/>
                              <w:szCs w:val="20"/>
                            </w:rPr>
                          </w:pPr>
                          <w:r>
                            <w:rPr>
                              <w:sz w:val="20"/>
                              <w:szCs w:val="20"/>
                            </w:rPr>
                            <w:t>materijalne</w:t>
                          </w:r>
                        </w:p>
                      </w:txbxContent>
                    </v:textbox>
                  </v:shape>
                  <v:shape id="Text Box 83" o:spid="_x0000_s1086" type="#_x0000_t202" style="position:absolute;left:5530;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683AF5" w:rsidRDefault="00683AF5" w:rsidP="0050036B">
                          <w:pPr>
                            <w:jc w:val="center"/>
                            <w:rPr>
                              <w:sz w:val="20"/>
                              <w:szCs w:val="20"/>
                            </w:rPr>
                          </w:pPr>
                          <w:r>
                            <w:rPr>
                              <w:sz w:val="20"/>
                              <w:szCs w:val="20"/>
                            </w:rPr>
                            <w:t>Post-proizvodne</w:t>
                          </w:r>
                        </w:p>
                        <w:p w:rsidR="00683AF5" w:rsidRPr="00167887" w:rsidRDefault="00683AF5" w:rsidP="0050036B">
                          <w:pPr>
                            <w:spacing w:line="240" w:lineRule="auto"/>
                            <w:jc w:val="center"/>
                            <w:rPr>
                              <w:sz w:val="20"/>
                              <w:szCs w:val="20"/>
                            </w:rPr>
                          </w:pPr>
                          <w:r>
                            <w:rPr>
                              <w:sz w:val="20"/>
                              <w:szCs w:val="20"/>
                            </w:rPr>
                            <w:t>nematerijalne</w:t>
                          </w:r>
                        </w:p>
                      </w:txbxContent>
                    </v:textbox>
                  </v:shape>
                  <v:shape id="Text Box 39" o:spid="_x0000_s1087" type="#_x0000_t202" style="position:absolute;left:7697;top:6426;width:19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683AF5" w:rsidRPr="00E2469F" w:rsidRDefault="00683AF5" w:rsidP="0050036B">
                          <w:pPr>
                            <w:rPr>
                              <w:sz w:val="20"/>
                              <w:szCs w:val="20"/>
                            </w:rPr>
                          </w:pPr>
                          <w:r>
                            <w:rPr>
                              <w:sz w:val="20"/>
                              <w:szCs w:val="20"/>
                            </w:rPr>
                            <w:t>B</w:t>
                          </w:r>
                          <w:r w:rsidRPr="00E2469F">
                            <w:rPr>
                              <w:sz w:val="20"/>
                              <w:szCs w:val="20"/>
                            </w:rPr>
                            <w:t>azna cijena</w:t>
                          </w:r>
                        </w:p>
                      </w:txbxContent>
                    </v:textbox>
                  </v:shape>
                  <v:shape id="Text Box 85" o:spid="_x0000_s1088" type="#_x0000_t202" style="position:absolute;left:2531;top:7865;width:402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683AF5" w:rsidRPr="00E2469F" w:rsidRDefault="00683AF5" w:rsidP="0050036B">
                          <w:pPr>
                            <w:spacing w:line="240" w:lineRule="auto"/>
                            <w:jc w:val="center"/>
                            <w:rPr>
                              <w:b/>
                              <w:sz w:val="20"/>
                              <w:szCs w:val="20"/>
                            </w:rPr>
                          </w:pPr>
                          <w:r w:rsidRPr="00E2469F">
                            <w:rPr>
                              <w:b/>
                              <w:sz w:val="20"/>
                              <w:szCs w:val="20"/>
                            </w:rPr>
                            <w:t xml:space="preserve">Aktivnosti koje dodaju vrijednost </w:t>
                          </w:r>
                        </w:p>
                      </w:txbxContent>
                    </v:textbox>
                  </v:shape>
                  <v:oval id="Oval 86" o:spid="_x0000_s1089" style="position:absolute;left:3698;top:5712;width:183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textbox>
                      <w:txbxContent>
                        <w:p w:rsidR="00683AF5" w:rsidRPr="00725772" w:rsidRDefault="00683AF5" w:rsidP="0050036B">
                          <w:pPr>
                            <w:jc w:val="center"/>
                            <w:rPr>
                              <w:sz w:val="18"/>
                              <w:szCs w:val="18"/>
                            </w:rPr>
                          </w:pPr>
                          <w:r w:rsidRPr="00725772">
                            <w:rPr>
                              <w:sz w:val="18"/>
                              <w:szCs w:val="18"/>
                            </w:rPr>
                            <w:t>Proizvodnja</w:t>
                          </w:r>
                        </w:p>
                      </w:txbxContent>
                    </v:textbox>
                  </v:oval>
                  <v:oval id="Oval 87" o:spid="_x0000_s1090" style="position:absolute;left:1994;top:5080;width:184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textbox>
                      <w:txbxContent>
                        <w:p w:rsidR="00683AF5" w:rsidRPr="00725772" w:rsidRDefault="00683AF5" w:rsidP="0050036B">
                          <w:pPr>
                            <w:spacing w:line="240" w:lineRule="auto"/>
                            <w:jc w:val="center"/>
                            <w:rPr>
                              <w:sz w:val="18"/>
                              <w:szCs w:val="18"/>
                            </w:rPr>
                          </w:pPr>
                          <w:r w:rsidRPr="00725772">
                            <w:rPr>
                              <w:sz w:val="18"/>
                              <w:szCs w:val="18"/>
                            </w:rPr>
                            <w:t>Logistika nabave</w:t>
                          </w:r>
                        </w:p>
                      </w:txbxContent>
                    </v:textbox>
                  </v:oval>
                  <v:oval id="Oval 88" o:spid="_x0000_s1091" style="position:absolute;left:1582;top:4205;width:187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textbox>
                      <w:txbxContent>
                        <w:p w:rsidR="00683AF5" w:rsidRPr="00725772" w:rsidRDefault="00683AF5" w:rsidP="0050036B">
                          <w:pPr>
                            <w:jc w:val="center"/>
                            <w:rPr>
                              <w:sz w:val="18"/>
                              <w:szCs w:val="18"/>
                            </w:rPr>
                          </w:pPr>
                          <w:r w:rsidRPr="00725772">
                            <w:rPr>
                              <w:sz w:val="18"/>
                              <w:szCs w:val="18"/>
                            </w:rPr>
                            <w:t>Dizajn</w:t>
                          </w:r>
                        </w:p>
                      </w:txbxContent>
                    </v:textbox>
                  </v:oval>
                  <v:oval id="Oval 89" o:spid="_x0000_s1092" style="position:absolute;left:1392;top:3272;width:187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textbox>
                      <w:txbxContent>
                        <w:p w:rsidR="00683AF5" w:rsidRPr="00725772" w:rsidRDefault="00683AF5" w:rsidP="0050036B">
                          <w:pPr>
                            <w:jc w:val="center"/>
                            <w:rPr>
                              <w:sz w:val="18"/>
                              <w:szCs w:val="18"/>
                            </w:rPr>
                          </w:pPr>
                          <w:r w:rsidRPr="00725772">
                            <w:rPr>
                              <w:sz w:val="18"/>
                              <w:szCs w:val="18"/>
                            </w:rPr>
                            <w:t>Istraživanje i razvoj</w:t>
                          </w:r>
                        </w:p>
                      </w:txbxContent>
                    </v:textbox>
                  </v:oval>
                  <v:oval id="Oval 90" o:spid="_x0000_s1093" style="position:absolute;left:5417;top:5184;width:191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textbox>
                      <w:txbxContent>
                        <w:p w:rsidR="00683AF5" w:rsidRPr="00725772" w:rsidRDefault="00683AF5" w:rsidP="0050036B">
                          <w:pPr>
                            <w:spacing w:line="240" w:lineRule="auto"/>
                            <w:jc w:val="center"/>
                            <w:rPr>
                              <w:sz w:val="18"/>
                              <w:szCs w:val="18"/>
                            </w:rPr>
                          </w:pPr>
                          <w:r w:rsidRPr="00725772">
                            <w:rPr>
                              <w:sz w:val="18"/>
                              <w:szCs w:val="18"/>
                            </w:rPr>
                            <w:t>Logistika distribucije</w:t>
                          </w:r>
                        </w:p>
                      </w:txbxContent>
                    </v:textbox>
                  </v:oval>
                  <v:oval id="Oval 91" o:spid="_x0000_s1094" style="position:absolute;left:6189;top:4285;width:182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textbox>
                      <w:txbxContent>
                        <w:p w:rsidR="00683AF5" w:rsidRPr="00725772" w:rsidRDefault="00683AF5" w:rsidP="0050036B">
                          <w:pPr>
                            <w:jc w:val="center"/>
                            <w:rPr>
                              <w:sz w:val="18"/>
                              <w:szCs w:val="18"/>
                            </w:rPr>
                          </w:pPr>
                          <w:r w:rsidRPr="00725772">
                            <w:rPr>
                              <w:sz w:val="18"/>
                              <w:szCs w:val="18"/>
                            </w:rPr>
                            <w:t>Marketing</w:t>
                          </w:r>
                        </w:p>
                      </w:txbxContent>
                    </v:textbox>
                  </v:oval>
                  <v:oval id="Oval 92" o:spid="_x0000_s1095" style="position:absolute;left:6328;top:3272;width:184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textbox>
                      <w:txbxContent>
                        <w:p w:rsidR="00683AF5" w:rsidRPr="00725772" w:rsidRDefault="00683AF5" w:rsidP="0050036B">
                          <w:pPr>
                            <w:jc w:val="center"/>
                            <w:rPr>
                              <w:sz w:val="18"/>
                              <w:szCs w:val="18"/>
                            </w:rPr>
                          </w:pPr>
                          <w:r w:rsidRPr="00725772">
                            <w:rPr>
                              <w:sz w:val="18"/>
                              <w:szCs w:val="18"/>
                            </w:rPr>
                            <w:t>Postprodajne usluge</w:t>
                          </w:r>
                        </w:p>
                      </w:txbxContent>
                    </v:textbox>
                  </v:oval>
                </v:group>
              </v:group>
            </w:pict>
          </mc:Fallback>
        </mc:AlternateConten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rPr>
          <w:iCs/>
          <w:sz w:val="20"/>
          <w:szCs w:val="20"/>
        </w:rPr>
      </w:pPr>
    </w:p>
    <w:p w:rsidR="0050036B" w:rsidRPr="004E6412" w:rsidRDefault="0050036B" w:rsidP="0050036B">
      <w:pPr>
        <w:rPr>
          <w:iCs/>
          <w:sz w:val="20"/>
          <w:szCs w:val="20"/>
        </w:rPr>
      </w:pPr>
    </w:p>
    <w:p w:rsidR="0050036B" w:rsidRPr="004E6412" w:rsidRDefault="0050036B" w:rsidP="0050036B">
      <w:pPr>
        <w:rPr>
          <w:sz w:val="20"/>
          <w:szCs w:val="20"/>
        </w:rPr>
      </w:pPr>
      <w:r w:rsidRPr="004E6412">
        <w:rPr>
          <w:iCs/>
          <w:sz w:val="20"/>
          <w:szCs w:val="20"/>
        </w:rPr>
        <w:t>Izvor</w:t>
      </w:r>
      <w:r w:rsidRPr="004E6412">
        <w:rPr>
          <w:sz w:val="20"/>
          <w:szCs w:val="20"/>
        </w:rPr>
        <w:t>: Warwick, K. (2013) Beyond Industrial Policy: Emerging Issues and New Trends. Global Industry and Economic Forum 2013: preuzeto iz Gereffi, G. (2010) Presentation at OECD workshop, September 2010.</w:t>
      </w:r>
    </w:p>
    <w:p w:rsidR="0050036B" w:rsidRPr="004E6412" w:rsidRDefault="0050036B" w:rsidP="0050036B">
      <w:pPr>
        <w:rPr>
          <w:lang w:eastAsia="hr-HR"/>
        </w:rPr>
      </w:pPr>
    </w:p>
    <w:p w:rsidR="0050036B" w:rsidRPr="004E6412" w:rsidRDefault="0050036B" w:rsidP="0050036B">
      <w:pPr>
        <w:rPr>
          <w:lang w:eastAsia="hr-HR"/>
        </w:rPr>
      </w:pPr>
    </w:p>
    <w:p w:rsidR="00C923F3" w:rsidRPr="00DF478C" w:rsidRDefault="00C923F3" w:rsidP="00C923F3">
      <w:pPr>
        <w:numPr>
          <w:ilvl w:val="0"/>
          <w:numId w:val="239"/>
        </w:numPr>
        <w:rPr>
          <w:sz w:val="22"/>
        </w:rPr>
      </w:pPr>
      <w:r w:rsidRPr="00DF478C">
        <w:rPr>
          <w:sz w:val="22"/>
        </w:rPr>
        <w:t>Uspje</w:t>
      </w:r>
      <w:r>
        <w:rPr>
          <w:sz w:val="22"/>
        </w:rPr>
        <w:t>h na globalnom tržištu ovisi o dvjema ključnim karakteristikama</w:t>
      </w:r>
      <w:r w:rsidRPr="00DF478C">
        <w:rPr>
          <w:sz w:val="22"/>
        </w:rPr>
        <w:t xml:space="preserve"> poslovanja: </w:t>
      </w:r>
      <w:r>
        <w:rPr>
          <w:sz w:val="22"/>
        </w:rPr>
        <w:t xml:space="preserve">(1) </w:t>
      </w:r>
      <w:r w:rsidRPr="00DF478C">
        <w:rPr>
          <w:sz w:val="22"/>
        </w:rPr>
        <w:t xml:space="preserve">brzini prilagodbe novim zadacima i aktivnostima te </w:t>
      </w:r>
      <w:r>
        <w:rPr>
          <w:sz w:val="22"/>
        </w:rPr>
        <w:t>(2) fleksibilnosti u pretvorbi</w:t>
      </w:r>
      <w:r w:rsidRPr="00DF478C">
        <w:rPr>
          <w:sz w:val="22"/>
        </w:rPr>
        <w:t xml:space="preserve"> upot</w:t>
      </w:r>
      <w:r>
        <w:rPr>
          <w:sz w:val="22"/>
        </w:rPr>
        <w:t>rebe proizvodnih resursa. Velik je naglasak stavljen</w:t>
      </w:r>
      <w:r w:rsidRPr="00DF478C">
        <w:rPr>
          <w:sz w:val="22"/>
        </w:rPr>
        <w:t xml:space="preserve"> na pojedinca i njegovu sposobnost brze pril</w:t>
      </w:r>
      <w:r>
        <w:rPr>
          <w:sz w:val="22"/>
        </w:rPr>
        <w:t>agodbe novim radnim zadacima, što predstavlja</w:t>
      </w:r>
      <w:r w:rsidRPr="00DF478C">
        <w:rPr>
          <w:sz w:val="22"/>
        </w:rPr>
        <w:t xml:space="preserve"> osnovni preduvjet povećanja produktivnosti i globalne konkurentnosti. </w:t>
      </w:r>
    </w:p>
    <w:p w:rsidR="00C923F3" w:rsidRPr="00DF478C" w:rsidRDefault="00C923F3" w:rsidP="00C923F3">
      <w:pPr>
        <w:rPr>
          <w:sz w:val="22"/>
        </w:rPr>
      </w:pPr>
    </w:p>
    <w:p w:rsidR="00C923F3" w:rsidRPr="00DF478C" w:rsidRDefault="00C923F3" w:rsidP="00C923F3">
      <w:pPr>
        <w:numPr>
          <w:ilvl w:val="0"/>
          <w:numId w:val="239"/>
        </w:numPr>
        <w:spacing w:after="120"/>
        <w:rPr>
          <w:sz w:val="22"/>
        </w:rPr>
      </w:pPr>
      <w:r>
        <w:rPr>
          <w:sz w:val="22"/>
        </w:rPr>
        <w:t>Uvažavajući stalne</w:t>
      </w:r>
      <w:r w:rsidRPr="00DF478C">
        <w:rPr>
          <w:sz w:val="22"/>
        </w:rPr>
        <w:t xml:space="preserve"> promjene u okruženju i nove globalne trendove, </w:t>
      </w:r>
      <w:r>
        <w:rPr>
          <w:sz w:val="22"/>
        </w:rPr>
        <w:t xml:space="preserve">potrebno je da </w:t>
      </w:r>
      <w:r w:rsidRPr="00DF478C">
        <w:rPr>
          <w:sz w:val="22"/>
        </w:rPr>
        <w:t>industrijske s</w:t>
      </w:r>
      <w:r>
        <w:rPr>
          <w:sz w:val="22"/>
        </w:rPr>
        <w:t>trategije posebnu pozornost posvete</w:t>
      </w:r>
      <w:r w:rsidRPr="00DF478C">
        <w:rPr>
          <w:sz w:val="22"/>
        </w:rPr>
        <w:t>:</w:t>
      </w:r>
    </w:p>
    <w:p w:rsidR="00C923F3" w:rsidRPr="00DF478C" w:rsidRDefault="00C923F3" w:rsidP="00C923F3">
      <w:pPr>
        <w:numPr>
          <w:ilvl w:val="1"/>
          <w:numId w:val="239"/>
        </w:numPr>
        <w:spacing w:after="200"/>
        <w:contextualSpacing/>
        <w:rPr>
          <w:sz w:val="22"/>
        </w:rPr>
      </w:pPr>
      <w:r>
        <w:rPr>
          <w:sz w:val="22"/>
        </w:rPr>
        <w:t>učincima</w:t>
      </w:r>
      <w:r w:rsidRPr="00DF478C">
        <w:rPr>
          <w:sz w:val="22"/>
        </w:rPr>
        <w:t xml:space="preserve"> fragmentacije vrijednosnog</w:t>
      </w:r>
      <w:r>
        <w:rPr>
          <w:sz w:val="22"/>
        </w:rPr>
        <w:t>a</w:t>
      </w:r>
      <w:r w:rsidRPr="00DF478C">
        <w:rPr>
          <w:sz w:val="22"/>
        </w:rPr>
        <w:t xml:space="preserve"> lanca na globalnoj razini</w:t>
      </w:r>
      <w:r>
        <w:rPr>
          <w:sz w:val="22"/>
        </w:rPr>
        <w:t>,</w:t>
      </w:r>
    </w:p>
    <w:p w:rsidR="00C923F3" w:rsidRPr="00DF478C" w:rsidRDefault="00C923F3" w:rsidP="00C923F3">
      <w:pPr>
        <w:numPr>
          <w:ilvl w:val="1"/>
          <w:numId w:val="239"/>
        </w:numPr>
        <w:spacing w:after="200"/>
        <w:contextualSpacing/>
        <w:rPr>
          <w:sz w:val="22"/>
        </w:rPr>
      </w:pPr>
      <w:r w:rsidRPr="00DF478C">
        <w:rPr>
          <w:sz w:val="22"/>
        </w:rPr>
        <w:t>utjecaju digitalne ekonomije na produktivnost i konkurentnost nacionalnog</w:t>
      </w:r>
      <w:r>
        <w:rPr>
          <w:sz w:val="22"/>
        </w:rPr>
        <w:t>a</w:t>
      </w:r>
      <w:r w:rsidRPr="00DF478C">
        <w:rPr>
          <w:sz w:val="22"/>
        </w:rPr>
        <w:t xml:space="preserve"> gospodarstva</w:t>
      </w:r>
      <w:r>
        <w:rPr>
          <w:sz w:val="22"/>
        </w:rPr>
        <w:t>,</w:t>
      </w:r>
    </w:p>
    <w:p w:rsidR="00C923F3" w:rsidRPr="00DF478C" w:rsidRDefault="00C923F3" w:rsidP="00C923F3">
      <w:pPr>
        <w:numPr>
          <w:ilvl w:val="1"/>
          <w:numId w:val="239"/>
        </w:numPr>
        <w:spacing w:after="200"/>
        <w:contextualSpacing/>
        <w:rPr>
          <w:sz w:val="22"/>
        </w:rPr>
      </w:pPr>
      <w:r w:rsidRPr="00DF478C">
        <w:rPr>
          <w:sz w:val="22"/>
        </w:rPr>
        <w:t>sustavu obrazovanja</w:t>
      </w:r>
      <w:r>
        <w:rPr>
          <w:sz w:val="22"/>
        </w:rPr>
        <w:t>,</w:t>
      </w:r>
      <w:r w:rsidRPr="00DF478C">
        <w:rPr>
          <w:sz w:val="22"/>
        </w:rPr>
        <w:t xml:space="preserve"> i </w:t>
      </w:r>
    </w:p>
    <w:p w:rsidR="00C923F3" w:rsidRPr="00DF478C" w:rsidRDefault="00C923F3" w:rsidP="00C923F3">
      <w:pPr>
        <w:numPr>
          <w:ilvl w:val="1"/>
          <w:numId w:val="239"/>
        </w:numPr>
        <w:spacing w:after="200"/>
        <w:contextualSpacing/>
        <w:rPr>
          <w:sz w:val="22"/>
        </w:rPr>
      </w:pPr>
      <w:r>
        <w:rPr>
          <w:sz w:val="22"/>
        </w:rPr>
        <w:t>stalnoj</w:t>
      </w:r>
      <w:r w:rsidRPr="00DF478C">
        <w:rPr>
          <w:sz w:val="22"/>
        </w:rPr>
        <w:t xml:space="preserve"> prilagodbi promjenama na globalnoj razini.</w:t>
      </w:r>
    </w:p>
    <w:p w:rsidR="00C923F3" w:rsidRPr="00DF478C" w:rsidRDefault="00C923F3" w:rsidP="00C923F3">
      <w:pPr>
        <w:rPr>
          <w:sz w:val="22"/>
        </w:rPr>
      </w:pPr>
    </w:p>
    <w:p w:rsidR="00C923F3" w:rsidRPr="00DF478C" w:rsidRDefault="00C923F3" w:rsidP="00C923F3">
      <w:pPr>
        <w:numPr>
          <w:ilvl w:val="0"/>
          <w:numId w:val="240"/>
        </w:numPr>
        <w:rPr>
          <w:sz w:val="22"/>
        </w:rPr>
      </w:pPr>
      <w:r w:rsidRPr="00DF478C">
        <w:rPr>
          <w:sz w:val="22"/>
        </w:rPr>
        <w:t>Industrijska strategija mo</w:t>
      </w:r>
      <w:r>
        <w:rPr>
          <w:sz w:val="22"/>
        </w:rPr>
        <w:t>ra se usmjeriti</w:t>
      </w:r>
      <w:r w:rsidRPr="00DF478C">
        <w:rPr>
          <w:sz w:val="22"/>
        </w:rPr>
        <w:t xml:space="preserve"> na stvaranje poticajnih uvjeta za </w:t>
      </w:r>
      <w:r>
        <w:rPr>
          <w:sz w:val="22"/>
        </w:rPr>
        <w:t>sva</w:t>
      </w:r>
      <w:r w:rsidRPr="00DF478C">
        <w:rPr>
          <w:sz w:val="22"/>
        </w:rPr>
        <w:t xml:space="preserve"> poduzeća</w:t>
      </w:r>
      <w:r>
        <w:rPr>
          <w:sz w:val="22"/>
        </w:rPr>
        <w:t>, a posebno ona</w:t>
      </w:r>
      <w:r w:rsidRPr="00DF478C">
        <w:rPr>
          <w:sz w:val="22"/>
        </w:rPr>
        <w:t xml:space="preserve"> koja mogu kvalitetno poslovati na globalnom tržištu. U tom</w:t>
      </w:r>
      <w:r>
        <w:rPr>
          <w:sz w:val="22"/>
        </w:rPr>
        <w:t>e je kontekstu</w:t>
      </w:r>
      <w:r w:rsidRPr="00DF478C">
        <w:rPr>
          <w:sz w:val="22"/>
        </w:rPr>
        <w:t xml:space="preserve"> ključno pitan</w:t>
      </w:r>
      <w:r>
        <w:rPr>
          <w:sz w:val="22"/>
        </w:rPr>
        <w:t>je za industrijsku strategiju sljedeće:</w:t>
      </w:r>
      <w:r w:rsidRPr="00DF478C">
        <w:rPr>
          <w:sz w:val="22"/>
        </w:rPr>
        <w:t xml:space="preserve"> „Koje su potrebe modernog</w:t>
      </w:r>
      <w:r>
        <w:rPr>
          <w:sz w:val="22"/>
        </w:rPr>
        <w:t>a</w:t>
      </w:r>
      <w:r w:rsidRPr="00DF478C">
        <w:rPr>
          <w:sz w:val="22"/>
        </w:rPr>
        <w:t xml:space="preserve"> poslovanja za ostvarivanje globaln</w:t>
      </w:r>
      <w:r>
        <w:rPr>
          <w:sz w:val="22"/>
        </w:rPr>
        <w:t>e konkurentnosti?“</w:t>
      </w:r>
      <w:r w:rsidRPr="00DF478C">
        <w:rPr>
          <w:sz w:val="22"/>
        </w:rPr>
        <w:t xml:space="preserve"> S obzirom na trend sve veće fragmentacije vrijednosnog</w:t>
      </w:r>
      <w:r>
        <w:rPr>
          <w:sz w:val="22"/>
        </w:rPr>
        <w:t>a</w:t>
      </w:r>
      <w:r w:rsidRPr="00DF478C">
        <w:rPr>
          <w:sz w:val="22"/>
        </w:rPr>
        <w:t xml:space="preserve"> lanca, dolazi se do zaključka kako i mala/srednja poduzeća mogu relativno brzo ostvariti uspjeh na globalnom</w:t>
      </w:r>
      <w:r>
        <w:rPr>
          <w:sz w:val="22"/>
        </w:rPr>
        <w:t>e</w:t>
      </w:r>
      <w:r w:rsidRPr="00DF478C">
        <w:rPr>
          <w:sz w:val="22"/>
        </w:rPr>
        <w:t xml:space="preserve"> tržištu. </w:t>
      </w:r>
    </w:p>
    <w:p w:rsidR="0050036B" w:rsidRPr="004E6412" w:rsidRDefault="0050036B" w:rsidP="00C923F3">
      <w:pPr>
        <w:ind w:left="720"/>
        <w:rPr>
          <w:sz w:val="22"/>
        </w:rPr>
      </w:pPr>
    </w:p>
    <w:p w:rsidR="0050036B" w:rsidRPr="004E6412" w:rsidRDefault="0050036B" w:rsidP="0050036B">
      <w:pPr>
        <w:rPr>
          <w:sz w:val="22"/>
        </w:rPr>
      </w:pPr>
    </w:p>
    <w:p w:rsidR="00C923F3" w:rsidRDefault="00C923F3" w:rsidP="00C923F3">
      <w:pPr>
        <w:numPr>
          <w:ilvl w:val="0"/>
          <w:numId w:val="240"/>
        </w:numPr>
        <w:rPr>
          <w:sz w:val="22"/>
        </w:rPr>
      </w:pPr>
      <w:r w:rsidRPr="00DF478C">
        <w:rPr>
          <w:sz w:val="22"/>
        </w:rPr>
        <w:t>Odrednice uspješnog</w:t>
      </w:r>
      <w:r>
        <w:rPr>
          <w:sz w:val="22"/>
        </w:rPr>
        <w:t>a</w:t>
      </w:r>
      <w:r w:rsidRPr="00DF478C">
        <w:rPr>
          <w:sz w:val="22"/>
        </w:rPr>
        <w:t xml:space="preserve"> poslovanja na globalnom</w:t>
      </w:r>
      <w:r>
        <w:rPr>
          <w:sz w:val="22"/>
        </w:rPr>
        <w:t>e</w:t>
      </w:r>
      <w:r w:rsidRPr="00DF478C">
        <w:rPr>
          <w:sz w:val="22"/>
        </w:rPr>
        <w:t xml:space="preserve"> tržištu su</w:t>
      </w:r>
      <w:r>
        <w:rPr>
          <w:sz w:val="22"/>
        </w:rPr>
        <w:t xml:space="preserve"> sljedeće: stalno</w:t>
      </w:r>
      <w:r w:rsidRPr="00DF478C">
        <w:rPr>
          <w:sz w:val="22"/>
        </w:rPr>
        <w:t xml:space="preserve"> ulaganje u razvoj, razumijevanje globalnih trendova i međunarodnih tržišta, tehnološka izvrsnost, visoko obra</w:t>
      </w:r>
      <w:r>
        <w:rPr>
          <w:sz w:val="22"/>
        </w:rPr>
        <w:t>zovanje i okolina koja potiče</w:t>
      </w:r>
      <w:r w:rsidRPr="00DF478C">
        <w:rPr>
          <w:sz w:val="22"/>
        </w:rPr>
        <w:t xml:space="preserve"> inovativnost. S obzirom na činjenicu da se promjene u okolini događaju veoma brzo, operativne mjere industrijske politike moraju biti sposobne brzo prilagoditi poslovnu infrastrukturu i zakonodavstvo globalnim trendovima.</w:t>
      </w:r>
    </w:p>
    <w:p w:rsidR="00C923F3" w:rsidRPr="00DF478C" w:rsidRDefault="00C923F3" w:rsidP="00C923F3">
      <w:pPr>
        <w:rPr>
          <w:sz w:val="22"/>
        </w:rPr>
      </w:pPr>
    </w:p>
    <w:p w:rsidR="00C923F3" w:rsidRPr="00DF478C" w:rsidRDefault="00C923F3" w:rsidP="00C923F3">
      <w:pPr>
        <w:numPr>
          <w:ilvl w:val="0"/>
          <w:numId w:val="240"/>
        </w:numPr>
        <w:spacing w:after="120"/>
        <w:rPr>
          <w:sz w:val="22"/>
        </w:rPr>
      </w:pPr>
      <w:r>
        <w:rPr>
          <w:sz w:val="22"/>
        </w:rPr>
        <w:t xml:space="preserve">Promjene u globalnome okruženju </w:t>
      </w:r>
      <w:r w:rsidRPr="00DF478C">
        <w:rPr>
          <w:sz w:val="22"/>
        </w:rPr>
        <w:t>značajn</w:t>
      </w:r>
      <w:r>
        <w:rPr>
          <w:sz w:val="22"/>
        </w:rPr>
        <w:t>o su utjecale i na industriju Europske unije</w:t>
      </w:r>
      <w:r w:rsidRPr="00DF478C">
        <w:rPr>
          <w:sz w:val="22"/>
        </w:rPr>
        <w:t xml:space="preserve"> pa je u svim strateškim dokumentima poseban naglasak stavljen na inv</w:t>
      </w:r>
      <w:r>
        <w:rPr>
          <w:sz w:val="22"/>
        </w:rPr>
        <w:t>esticije u tehnologiju i inovacije u šest</w:t>
      </w:r>
      <w:r w:rsidRPr="00DF478C">
        <w:rPr>
          <w:sz w:val="22"/>
        </w:rPr>
        <w:t xml:space="preserve"> prioritetnih područja: </w:t>
      </w:r>
    </w:p>
    <w:p w:rsidR="00C923F3" w:rsidRDefault="00C923F3" w:rsidP="00C923F3">
      <w:pPr>
        <w:numPr>
          <w:ilvl w:val="0"/>
          <w:numId w:val="247"/>
        </w:numPr>
        <w:spacing w:after="200"/>
        <w:rPr>
          <w:sz w:val="22"/>
        </w:rPr>
      </w:pPr>
      <w:r w:rsidRPr="00DF478C">
        <w:rPr>
          <w:sz w:val="22"/>
        </w:rPr>
        <w:t xml:space="preserve">KET (eng. </w:t>
      </w:r>
      <w:r w:rsidRPr="00DF478C">
        <w:rPr>
          <w:i/>
          <w:sz w:val="22"/>
        </w:rPr>
        <w:t>key enabling technologies</w:t>
      </w:r>
      <w:r>
        <w:rPr>
          <w:sz w:val="22"/>
        </w:rPr>
        <w:t>) – u</w:t>
      </w:r>
      <w:r w:rsidRPr="00DF478C">
        <w:rPr>
          <w:sz w:val="22"/>
        </w:rPr>
        <w:t>ključuje mikro i nanoelektroniku, napredne materijale, industrijsku biotehnologiju, fotoniku, nanotehnologiju i napredne</w:t>
      </w:r>
      <w:r>
        <w:rPr>
          <w:sz w:val="22"/>
        </w:rPr>
        <w:t xml:space="preserve"> proizvođačke sustave. Procjenjuje se</w:t>
      </w:r>
      <w:r w:rsidRPr="00DF478C">
        <w:rPr>
          <w:sz w:val="22"/>
        </w:rPr>
        <w:t xml:space="preserve"> da će globalno tržište za navedene tehnologije porasti za v</w:t>
      </w:r>
      <w:r>
        <w:rPr>
          <w:sz w:val="22"/>
        </w:rPr>
        <w:t>iše od 50% samo do 2015. godine</w:t>
      </w:r>
      <w:r w:rsidRPr="00DF478C">
        <w:rPr>
          <w:sz w:val="22"/>
        </w:rPr>
        <w:t xml:space="preserve"> ili na preko bilijun eura.</w:t>
      </w:r>
    </w:p>
    <w:p w:rsidR="00C923F3" w:rsidRDefault="00C923F3" w:rsidP="00C923F3">
      <w:pPr>
        <w:numPr>
          <w:ilvl w:val="0"/>
          <w:numId w:val="247"/>
        </w:numPr>
        <w:spacing w:after="200"/>
        <w:rPr>
          <w:sz w:val="22"/>
        </w:rPr>
      </w:pPr>
      <w:r w:rsidRPr="00DF478C">
        <w:rPr>
          <w:sz w:val="22"/>
        </w:rPr>
        <w:t>Nap</w:t>
      </w:r>
      <w:r>
        <w:rPr>
          <w:sz w:val="22"/>
        </w:rPr>
        <w:t>redne proizvodne tehnologije – omogućavaju čistu proizvodnju i</w:t>
      </w:r>
      <w:r w:rsidRPr="00DF478C">
        <w:rPr>
          <w:sz w:val="22"/>
        </w:rPr>
        <w:t xml:space="preserve"> predstavljaju ključni element nove industrijske revolucije. J</w:t>
      </w:r>
      <w:r>
        <w:rPr>
          <w:sz w:val="22"/>
        </w:rPr>
        <w:t xml:space="preserve">edan od primjera je </w:t>
      </w:r>
      <w:r w:rsidRPr="00AE27F2">
        <w:rPr>
          <w:i/>
          <w:sz w:val="22"/>
        </w:rPr>
        <w:t>3-D printing</w:t>
      </w:r>
      <w:r>
        <w:rPr>
          <w:sz w:val="22"/>
        </w:rPr>
        <w:t xml:space="preserve"> koji omogućava djelotvornu i unosnu</w:t>
      </w:r>
      <w:r w:rsidRPr="00DF478C">
        <w:rPr>
          <w:sz w:val="22"/>
        </w:rPr>
        <w:t xml:space="preserve"> proizvodnju u malim s</w:t>
      </w:r>
      <w:r>
        <w:rPr>
          <w:sz w:val="22"/>
        </w:rPr>
        <w:t>erijama, prilagođenu posebnim</w:t>
      </w:r>
      <w:r w:rsidRPr="00DF478C">
        <w:rPr>
          <w:sz w:val="22"/>
        </w:rPr>
        <w:t xml:space="preserve"> potrebama kupaca. Radi se o tehnologijama koje predstavljaju veliku poslovnu priliku, a procjenjuje se da će se globalno tržište do 2020. udvostručiti</w:t>
      </w:r>
      <w:r>
        <w:rPr>
          <w:sz w:val="22"/>
        </w:rPr>
        <w:t>, s vrijednošću</w:t>
      </w:r>
      <w:r w:rsidRPr="00DF478C">
        <w:rPr>
          <w:sz w:val="22"/>
        </w:rPr>
        <w:t xml:space="preserve"> od oko 750 milijardi eura.</w:t>
      </w:r>
    </w:p>
    <w:p w:rsidR="00C923F3" w:rsidRDefault="00C923F3" w:rsidP="00C923F3">
      <w:pPr>
        <w:numPr>
          <w:ilvl w:val="0"/>
          <w:numId w:val="247"/>
        </w:numPr>
        <w:spacing w:after="200"/>
        <w:rPr>
          <w:sz w:val="22"/>
        </w:rPr>
      </w:pPr>
      <w:r w:rsidRPr="00BD19B3">
        <w:rPr>
          <w:sz w:val="22"/>
        </w:rPr>
        <w:t>Tržište bio-proizvoda</w:t>
      </w:r>
      <w:r>
        <w:rPr>
          <w:i/>
          <w:sz w:val="22"/>
        </w:rPr>
        <w:t xml:space="preserve"> (</w:t>
      </w:r>
      <w:r w:rsidRPr="000B576B">
        <w:rPr>
          <w:sz w:val="22"/>
        </w:rPr>
        <w:t>eng.</w:t>
      </w:r>
      <w:r>
        <w:rPr>
          <w:i/>
          <w:sz w:val="22"/>
        </w:rPr>
        <w:t xml:space="preserve"> </w:t>
      </w:r>
      <w:r w:rsidRPr="00DF478C">
        <w:rPr>
          <w:i/>
          <w:sz w:val="22"/>
        </w:rPr>
        <w:t>Bio-based product markets</w:t>
      </w:r>
      <w:r>
        <w:rPr>
          <w:sz w:val="22"/>
        </w:rPr>
        <w:t>) – i</w:t>
      </w:r>
      <w:r w:rsidRPr="00DF478C">
        <w:rPr>
          <w:sz w:val="22"/>
        </w:rPr>
        <w:t>ndust</w:t>
      </w:r>
      <w:r>
        <w:rPr>
          <w:sz w:val="22"/>
        </w:rPr>
        <w:t>rije koje</w:t>
      </w:r>
      <w:r w:rsidRPr="00DF478C">
        <w:rPr>
          <w:sz w:val="22"/>
        </w:rPr>
        <w:t xml:space="preserve"> koriste  obnovljive izvore ili primjenjuju </w:t>
      </w:r>
      <w:r w:rsidRPr="00DF478C">
        <w:rPr>
          <w:i/>
          <w:sz w:val="22"/>
        </w:rPr>
        <w:t>bio-based</w:t>
      </w:r>
      <w:r w:rsidRPr="00DF478C">
        <w:rPr>
          <w:sz w:val="22"/>
        </w:rPr>
        <w:t xml:space="preserve"> proizvodne procese. Procjenjuje se da će </w:t>
      </w:r>
      <w:r>
        <w:rPr>
          <w:sz w:val="22"/>
        </w:rPr>
        <w:t xml:space="preserve">tržište </w:t>
      </w:r>
      <w:r w:rsidRPr="00DF478C">
        <w:rPr>
          <w:i/>
          <w:sz w:val="22"/>
        </w:rPr>
        <w:t>bio-based</w:t>
      </w:r>
      <w:r w:rsidRPr="00DF478C">
        <w:rPr>
          <w:sz w:val="22"/>
        </w:rPr>
        <w:t xml:space="preserve"> kemijskih proizvoda (bio-plastika, bio-maziva, bio-otapala, bio-tenzida i kemijskih sirovin</w:t>
      </w:r>
      <w:r>
        <w:rPr>
          <w:sz w:val="22"/>
        </w:rPr>
        <w:t>a) doseći razinu od 40 milijardi</w:t>
      </w:r>
      <w:r w:rsidRPr="00DF478C">
        <w:rPr>
          <w:sz w:val="22"/>
        </w:rPr>
        <w:t xml:space="preserve"> eura do 2020.</w:t>
      </w:r>
      <w:r>
        <w:rPr>
          <w:sz w:val="22"/>
        </w:rPr>
        <w:t xml:space="preserve"> godine.</w:t>
      </w:r>
      <w:r w:rsidRPr="00DF478C">
        <w:rPr>
          <w:sz w:val="22"/>
        </w:rPr>
        <w:t xml:space="preserve"> </w:t>
      </w:r>
    </w:p>
    <w:p w:rsidR="00C923F3" w:rsidRDefault="00C923F3" w:rsidP="00C923F3">
      <w:pPr>
        <w:numPr>
          <w:ilvl w:val="0"/>
          <w:numId w:val="247"/>
        </w:numPr>
        <w:spacing w:after="200"/>
        <w:rPr>
          <w:sz w:val="22"/>
        </w:rPr>
      </w:pPr>
      <w:r>
        <w:rPr>
          <w:sz w:val="22"/>
        </w:rPr>
        <w:t>Čisti transport – v</w:t>
      </w:r>
      <w:r w:rsidRPr="00DF478C">
        <w:rPr>
          <w:sz w:val="22"/>
        </w:rPr>
        <w:t>ozila s alternativnim motorima i ona koja koriste alternati</w:t>
      </w:r>
      <w:r>
        <w:rPr>
          <w:sz w:val="22"/>
        </w:rPr>
        <w:t>vna goriva predstavljaju ključan</w:t>
      </w:r>
      <w:r w:rsidRPr="00DF478C">
        <w:rPr>
          <w:sz w:val="22"/>
        </w:rPr>
        <w:t xml:space="preserve"> korak prema održivoj mobilnosti. Očekuje se da će električna vozila i hibridi do 2020. godine imati tržišni udio od 7%</w:t>
      </w:r>
      <w:r>
        <w:rPr>
          <w:sz w:val="22"/>
        </w:rPr>
        <w:t xml:space="preserve"> u ukupnom broju vozila</w:t>
      </w:r>
      <w:r w:rsidRPr="00DF478C">
        <w:rPr>
          <w:sz w:val="22"/>
        </w:rPr>
        <w:t xml:space="preserve">. Motori s unutarnjim izgaranjem također će se u velikoj mjeri elektrificirati. Pored stimuliranja rasta i novih radnih mjesta, prednosti ulaganja u čistiji transport ogledaju se u poboljšanoj kvaliteti zraka i smanjenom negativnom utjecaju na zdravlje. </w:t>
      </w:r>
    </w:p>
    <w:p w:rsidR="00C923F3" w:rsidRDefault="00C923F3" w:rsidP="00C923F3">
      <w:pPr>
        <w:numPr>
          <w:ilvl w:val="0"/>
          <w:numId w:val="247"/>
        </w:numPr>
        <w:spacing w:after="200"/>
        <w:rPr>
          <w:sz w:val="22"/>
        </w:rPr>
      </w:pPr>
      <w:r>
        <w:rPr>
          <w:sz w:val="22"/>
        </w:rPr>
        <w:t>Pametne mreže – prikladna</w:t>
      </w:r>
      <w:r w:rsidRPr="00DF478C">
        <w:rPr>
          <w:sz w:val="22"/>
        </w:rPr>
        <w:t xml:space="preserve"> infrastruktura nužna je u integracij</w:t>
      </w:r>
      <w:r>
        <w:rPr>
          <w:sz w:val="22"/>
        </w:rPr>
        <w:t>i obnovljive energije u elektro-sustav, doprinosu učinkovitosti i</w:t>
      </w:r>
      <w:r w:rsidRPr="00DF478C">
        <w:rPr>
          <w:sz w:val="22"/>
        </w:rPr>
        <w:t xml:space="preserve"> olakšava</w:t>
      </w:r>
      <w:r>
        <w:rPr>
          <w:sz w:val="22"/>
        </w:rPr>
        <w:t>nju novih zahtjeva, primjerice</w:t>
      </w:r>
      <w:r w:rsidRPr="00DF478C">
        <w:rPr>
          <w:sz w:val="22"/>
        </w:rPr>
        <w:t xml:space="preserve"> za električnim vozilima. Treći paket</w:t>
      </w:r>
      <w:r>
        <w:rPr>
          <w:sz w:val="22"/>
        </w:rPr>
        <w:t xml:space="preserve"> energetske liberalizacije (eng</w:t>
      </w:r>
      <w:r w:rsidRPr="00DF478C">
        <w:rPr>
          <w:sz w:val="22"/>
        </w:rPr>
        <w:t xml:space="preserve">. </w:t>
      </w:r>
      <w:r w:rsidRPr="00DF478C">
        <w:rPr>
          <w:i/>
          <w:sz w:val="22"/>
        </w:rPr>
        <w:t>The Third Energy Liberalisation Package</w:t>
      </w:r>
      <w:r w:rsidRPr="00DF478C">
        <w:rPr>
          <w:sz w:val="22"/>
        </w:rPr>
        <w:t>), kao</w:t>
      </w:r>
      <w:r>
        <w:rPr>
          <w:sz w:val="22"/>
        </w:rPr>
        <w:t xml:space="preserve"> prvi korak prema provedbi</w:t>
      </w:r>
      <w:r w:rsidRPr="00DF478C">
        <w:rPr>
          <w:sz w:val="22"/>
        </w:rPr>
        <w:t xml:space="preserve"> pametnih mreža u EU, postavio je zahtjeve za instalaciju inteligentnog sustava mjerenja u najmanje 80% sektora kućanstv</w:t>
      </w:r>
      <w:r>
        <w:rPr>
          <w:sz w:val="22"/>
        </w:rPr>
        <w:t>a</w:t>
      </w:r>
      <w:r w:rsidRPr="00DF478C">
        <w:rPr>
          <w:sz w:val="22"/>
        </w:rPr>
        <w:t xml:space="preserve"> do 2020. godine, dok </w:t>
      </w:r>
      <w:r w:rsidRPr="00DF478C">
        <w:rPr>
          <w:i/>
          <w:sz w:val="22"/>
        </w:rPr>
        <w:t>Smart Grids Communication</w:t>
      </w:r>
      <w:r w:rsidRPr="00DF478C">
        <w:rPr>
          <w:sz w:val="22"/>
        </w:rPr>
        <w:t xml:space="preserve"> definira </w:t>
      </w:r>
      <w:r>
        <w:rPr>
          <w:sz w:val="22"/>
        </w:rPr>
        <w:t xml:space="preserve">opći </w:t>
      </w:r>
      <w:r w:rsidRPr="00DF478C">
        <w:rPr>
          <w:sz w:val="22"/>
        </w:rPr>
        <w:t>s</w:t>
      </w:r>
      <w:r>
        <w:rPr>
          <w:sz w:val="22"/>
        </w:rPr>
        <w:t xml:space="preserve">trateški okvir za provedbu pametnih mreža. Općenito se procjenjuje </w:t>
      </w:r>
      <w:r w:rsidRPr="00DF478C">
        <w:rPr>
          <w:sz w:val="22"/>
        </w:rPr>
        <w:t xml:space="preserve">da EU do 2020. godine treba uložiti 60 milijardi eura u ove mreže, dok se ulaganja do 2035. procjenjuju na </w:t>
      </w:r>
      <w:r>
        <w:rPr>
          <w:sz w:val="22"/>
        </w:rPr>
        <w:t>oko 480 milijardi</w:t>
      </w:r>
      <w:r w:rsidRPr="00DF478C">
        <w:rPr>
          <w:sz w:val="22"/>
        </w:rPr>
        <w:t xml:space="preserve"> eura. </w:t>
      </w:r>
    </w:p>
    <w:p w:rsidR="00C923F3" w:rsidRDefault="00C923F3" w:rsidP="00C923F3">
      <w:pPr>
        <w:numPr>
          <w:ilvl w:val="0"/>
          <w:numId w:val="247"/>
        </w:numPr>
        <w:rPr>
          <w:sz w:val="22"/>
        </w:rPr>
      </w:pPr>
      <w:r w:rsidRPr="00DF478C">
        <w:rPr>
          <w:sz w:val="22"/>
        </w:rPr>
        <w:t>Održiva industrijska politika, p</w:t>
      </w:r>
      <w:r>
        <w:rPr>
          <w:sz w:val="22"/>
        </w:rPr>
        <w:t>olitika izgradnje i sirovina – s</w:t>
      </w:r>
      <w:r w:rsidRPr="00DF478C">
        <w:rPr>
          <w:sz w:val="22"/>
        </w:rPr>
        <w:t>manjenje troškova, povećanje e</w:t>
      </w:r>
      <w:r>
        <w:rPr>
          <w:sz w:val="22"/>
        </w:rPr>
        <w:t>nergetske i resursne učinkovitosti</w:t>
      </w:r>
      <w:r w:rsidRPr="00DF478C">
        <w:rPr>
          <w:sz w:val="22"/>
        </w:rPr>
        <w:t xml:space="preserve"> te smanjenje otpada potaknut će konkurentnost g</w:t>
      </w:r>
      <w:r>
        <w:rPr>
          <w:sz w:val="22"/>
        </w:rPr>
        <w:t>rađevinskog sektora. Energija koja se koristi</w:t>
      </w:r>
      <w:r w:rsidRPr="00DF478C">
        <w:rPr>
          <w:sz w:val="22"/>
        </w:rPr>
        <w:t xml:space="preserve"> u stambenim, komercijalnim i javnim objekti</w:t>
      </w:r>
      <w:r>
        <w:rPr>
          <w:sz w:val="22"/>
        </w:rPr>
        <w:t>ma sudjeluje s 40% u krajnjoj</w:t>
      </w:r>
      <w:r w:rsidRPr="00DF478C">
        <w:rPr>
          <w:sz w:val="22"/>
        </w:rPr>
        <w:t xml:space="preserve"> potrošnji energije </w:t>
      </w:r>
      <w:r>
        <w:rPr>
          <w:sz w:val="22"/>
        </w:rPr>
        <w:t xml:space="preserve">u EU </w:t>
      </w:r>
      <w:r w:rsidRPr="00DF478C">
        <w:rPr>
          <w:sz w:val="22"/>
        </w:rPr>
        <w:t>te doprinosi emisiji CO</w:t>
      </w:r>
      <w:r w:rsidRPr="00DF478C">
        <w:rPr>
          <w:sz w:val="22"/>
          <w:vertAlign w:val="subscript"/>
        </w:rPr>
        <w:t>2</w:t>
      </w:r>
      <w:r w:rsidRPr="00DF478C">
        <w:rPr>
          <w:sz w:val="22"/>
        </w:rPr>
        <w:t xml:space="preserve"> i zagađenju zraka. Nove inv</w:t>
      </w:r>
      <w:r>
        <w:rPr>
          <w:sz w:val="22"/>
        </w:rPr>
        <w:t>esticije u energetsku učinkovitost</w:t>
      </w:r>
      <w:r w:rsidRPr="00DF478C">
        <w:rPr>
          <w:sz w:val="22"/>
        </w:rPr>
        <w:t xml:space="preserve"> stambenih i javnih objekata i </w:t>
      </w:r>
      <w:r>
        <w:rPr>
          <w:sz w:val="22"/>
        </w:rPr>
        <w:lastRenderedPageBreak/>
        <w:t>infrastrukture imaju velik</w:t>
      </w:r>
      <w:r w:rsidRPr="00DF478C">
        <w:rPr>
          <w:sz w:val="22"/>
        </w:rPr>
        <w:t xml:space="preserve"> potencijal rasta i očekuje se da će njihova vrijednost biti između 25 i 35 milijardi eura godišnje do 2020. Štoviše, predloženo je da</w:t>
      </w:r>
      <w:r>
        <w:rPr>
          <w:sz w:val="22"/>
        </w:rPr>
        <w:t xml:space="preserve"> se</w:t>
      </w:r>
      <w:r w:rsidRPr="00DF478C">
        <w:rPr>
          <w:sz w:val="22"/>
        </w:rPr>
        <w:t xml:space="preserve"> značajan dio strukturnih i kohezijskih fondova </w:t>
      </w:r>
      <w:r>
        <w:rPr>
          <w:sz w:val="22"/>
        </w:rPr>
        <w:t>usmjeri prema stvaranju</w:t>
      </w:r>
      <w:r w:rsidRPr="00DF478C">
        <w:rPr>
          <w:sz w:val="22"/>
        </w:rPr>
        <w:t xml:space="preserve"> </w:t>
      </w:r>
      <w:r>
        <w:rPr>
          <w:sz w:val="22"/>
        </w:rPr>
        <w:t xml:space="preserve">gospodarstva s niskim udjelom ugljika. </w:t>
      </w:r>
    </w:p>
    <w:p w:rsidR="00C923F3" w:rsidRPr="00DF478C" w:rsidRDefault="00C923F3" w:rsidP="00C923F3">
      <w:pPr>
        <w:rPr>
          <w:sz w:val="22"/>
        </w:rPr>
      </w:pPr>
    </w:p>
    <w:p w:rsidR="0050036B" w:rsidRPr="004E6412" w:rsidRDefault="00C923F3" w:rsidP="00C923F3">
      <w:pPr>
        <w:numPr>
          <w:ilvl w:val="0"/>
          <w:numId w:val="241"/>
        </w:numPr>
        <w:spacing w:after="200"/>
        <w:rPr>
          <w:sz w:val="22"/>
        </w:rPr>
      </w:pPr>
      <w:r w:rsidRPr="00DF478C">
        <w:rPr>
          <w:sz w:val="22"/>
        </w:rPr>
        <w:t>Opisana prioritetna područja predstavljaju glavne izvore ekonomskog op</w:t>
      </w:r>
      <w:r>
        <w:rPr>
          <w:sz w:val="22"/>
        </w:rPr>
        <w:t>oravka kratkoročno i srednjoročno</w:t>
      </w:r>
      <w:r w:rsidRPr="00DF478C">
        <w:rPr>
          <w:sz w:val="22"/>
        </w:rPr>
        <w:t xml:space="preserve"> na razini EU</w:t>
      </w:r>
      <w:r>
        <w:rPr>
          <w:sz w:val="22"/>
        </w:rPr>
        <w:t>-a pa</w:t>
      </w:r>
      <w:r w:rsidRPr="00DF478C">
        <w:rPr>
          <w:sz w:val="22"/>
        </w:rPr>
        <w:t xml:space="preserve"> se očekuje da će ima</w:t>
      </w:r>
      <w:r>
        <w:rPr>
          <w:sz w:val="22"/>
        </w:rPr>
        <w:t>ti značajan utjecaj na dugoročan</w:t>
      </w:r>
      <w:r w:rsidRPr="00DF478C">
        <w:rPr>
          <w:sz w:val="22"/>
        </w:rPr>
        <w:t xml:space="preserve"> rast. Upravo se od njih očekuje da osiguraju potrebnu industrijsku infrastrukturu za pokretanje „treće industrijske revolucije“  koja ima potencijal za stvaranje milijuna novih radnih mjesta, a sve na osnovama održive globalne ekonomije 21</w:t>
      </w:r>
      <w:r>
        <w:rPr>
          <w:sz w:val="22"/>
        </w:rPr>
        <w:t>.</w:t>
      </w:r>
      <w:r w:rsidRPr="00DF478C">
        <w:rPr>
          <w:sz w:val="22"/>
        </w:rPr>
        <w:t xml:space="preserve"> stoljeća.</w: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2" w:name="_Toc378069158"/>
      <w:r w:rsidRPr="004E6412">
        <w:t>Odrednice industrijskog rasta</w:t>
      </w:r>
      <w:bookmarkEnd w:id="1122"/>
    </w:p>
    <w:p w:rsidR="0050036B" w:rsidRPr="004E6412" w:rsidRDefault="0050036B" w:rsidP="0050036B">
      <w:pPr>
        <w:rPr>
          <w:lang w:eastAsia="hr-HR"/>
        </w:rPr>
      </w:pPr>
    </w:p>
    <w:p w:rsidR="0050036B" w:rsidRPr="004E6412" w:rsidRDefault="0050036B" w:rsidP="0050036B">
      <w:pPr>
        <w:rPr>
          <w:lang w:eastAsia="hr-HR"/>
        </w:rPr>
      </w:pPr>
    </w:p>
    <w:p w:rsidR="00C923F3" w:rsidRPr="00D52C5F" w:rsidRDefault="00C923F3" w:rsidP="00C923F3">
      <w:pPr>
        <w:numPr>
          <w:ilvl w:val="0"/>
          <w:numId w:val="235"/>
        </w:numPr>
        <w:rPr>
          <w:sz w:val="22"/>
        </w:rPr>
      </w:pPr>
      <w:r>
        <w:rPr>
          <w:sz w:val="22"/>
        </w:rPr>
        <w:t>Ne postoji jedinstven</w:t>
      </w:r>
      <w:r w:rsidRPr="00D52C5F">
        <w:rPr>
          <w:sz w:val="22"/>
        </w:rPr>
        <w:t xml:space="preserve"> model ili teorija koja definira sve ili barem većinu čimbenika rasta i razvoja industrije. Stoga je, umjesto da se teži definiranju takvog</w:t>
      </w:r>
      <w:r>
        <w:rPr>
          <w:sz w:val="22"/>
        </w:rPr>
        <w:t>a</w:t>
      </w:r>
      <w:r w:rsidRPr="00D52C5F">
        <w:rPr>
          <w:sz w:val="22"/>
        </w:rPr>
        <w:t xml:space="preserve"> modela koji bi obuhvatio sve čimbenike, dovoljno </w:t>
      </w:r>
      <w:r>
        <w:rPr>
          <w:sz w:val="22"/>
        </w:rPr>
        <w:t>utvrditi</w:t>
      </w:r>
      <w:r w:rsidRPr="00D52C5F">
        <w:rPr>
          <w:sz w:val="22"/>
        </w:rPr>
        <w:t xml:space="preserve"> </w:t>
      </w:r>
      <w:r>
        <w:rPr>
          <w:sz w:val="22"/>
        </w:rPr>
        <w:t>one koji imaju prevladavajući</w:t>
      </w:r>
      <w:r w:rsidRPr="00D52C5F">
        <w:rPr>
          <w:sz w:val="22"/>
        </w:rPr>
        <w:t xml:space="preserve"> utjecaj i pokuš</w:t>
      </w:r>
      <w:r>
        <w:rPr>
          <w:sz w:val="22"/>
        </w:rPr>
        <w:t>ati utvrditi intenzitet toga</w:t>
      </w:r>
      <w:r w:rsidRPr="00D52C5F">
        <w:rPr>
          <w:sz w:val="22"/>
        </w:rPr>
        <w:t xml:space="preserve"> utjecaja. </w:t>
      </w:r>
    </w:p>
    <w:p w:rsidR="00C923F3" w:rsidRPr="00D52C5F" w:rsidRDefault="00C923F3" w:rsidP="00C923F3">
      <w:pPr>
        <w:rPr>
          <w:sz w:val="22"/>
        </w:rPr>
      </w:pPr>
    </w:p>
    <w:p w:rsidR="00C923F3" w:rsidRPr="00D52C5F" w:rsidRDefault="00C923F3" w:rsidP="00C923F3">
      <w:pPr>
        <w:numPr>
          <w:ilvl w:val="0"/>
          <w:numId w:val="235"/>
        </w:numPr>
        <w:rPr>
          <w:sz w:val="22"/>
        </w:rPr>
      </w:pPr>
      <w:r w:rsidRPr="00D52C5F">
        <w:rPr>
          <w:sz w:val="22"/>
        </w:rPr>
        <w:t>Uvjeti koji se najčešće analiziraju u kontekstu strateškog</w:t>
      </w:r>
      <w:r>
        <w:rPr>
          <w:sz w:val="22"/>
        </w:rPr>
        <w:t>a</w:t>
      </w:r>
      <w:r w:rsidRPr="00D52C5F">
        <w:rPr>
          <w:sz w:val="22"/>
        </w:rPr>
        <w:t xml:space="preserve"> razvoja industrije su</w:t>
      </w:r>
      <w:r>
        <w:rPr>
          <w:sz w:val="22"/>
        </w:rPr>
        <w:t xml:space="preserve"> sljedeći</w:t>
      </w:r>
      <w:r w:rsidRPr="00D52C5F">
        <w:rPr>
          <w:sz w:val="22"/>
        </w:rPr>
        <w:t>:</w:t>
      </w:r>
    </w:p>
    <w:p w:rsidR="00C923F3" w:rsidRPr="00D52C5F" w:rsidRDefault="00C923F3" w:rsidP="00C923F3">
      <w:pPr>
        <w:numPr>
          <w:ilvl w:val="0"/>
          <w:numId w:val="233"/>
        </w:numPr>
        <w:contextualSpacing/>
        <w:rPr>
          <w:sz w:val="22"/>
        </w:rPr>
      </w:pPr>
      <w:r w:rsidRPr="00D52C5F">
        <w:rPr>
          <w:sz w:val="22"/>
        </w:rPr>
        <w:t xml:space="preserve">Makroekonomsko </w:t>
      </w:r>
      <w:r>
        <w:rPr>
          <w:sz w:val="22"/>
        </w:rPr>
        <w:t>okruženje (promjene u strukturi</w:t>
      </w:r>
      <w:r w:rsidRPr="00D52C5F">
        <w:rPr>
          <w:sz w:val="22"/>
        </w:rPr>
        <w:t xml:space="preserve"> BDP-a, kretanje i struktura zaposlenosti, kretanje kamatnih stopa, promjene deviznog</w:t>
      </w:r>
      <w:r>
        <w:rPr>
          <w:sz w:val="22"/>
        </w:rPr>
        <w:t>a</w:t>
      </w:r>
      <w:r w:rsidRPr="00D52C5F">
        <w:rPr>
          <w:sz w:val="22"/>
        </w:rPr>
        <w:t xml:space="preserve"> tečaja, razina i struktura državne potrošnje, porezna politika i promjene u relativnim cijenama)</w:t>
      </w:r>
      <w:r>
        <w:rPr>
          <w:sz w:val="22"/>
        </w:rPr>
        <w:t>;</w:t>
      </w:r>
    </w:p>
    <w:p w:rsidR="00C923F3" w:rsidRPr="00D52C5F" w:rsidRDefault="00C923F3" w:rsidP="00C923F3">
      <w:pPr>
        <w:numPr>
          <w:ilvl w:val="0"/>
          <w:numId w:val="233"/>
        </w:numPr>
        <w:contextualSpacing/>
        <w:rPr>
          <w:sz w:val="22"/>
        </w:rPr>
      </w:pPr>
      <w:r w:rsidRPr="00D52C5F">
        <w:rPr>
          <w:sz w:val="22"/>
        </w:rPr>
        <w:t>Potražnja za proizvodima i uslugama (potrošnja stanovništva, investicije, potrošnja države, neto izvoz, potražnja za intermedijarnim proizvodima, promjene u dohotku stanovništva, promjene u preferencijama, životnom stilu i navikama stanovništva)</w:t>
      </w:r>
      <w:r>
        <w:rPr>
          <w:sz w:val="22"/>
        </w:rPr>
        <w:t>;</w:t>
      </w:r>
    </w:p>
    <w:p w:rsidR="00C923F3" w:rsidRPr="00D52C5F" w:rsidRDefault="00C923F3" w:rsidP="00C923F3">
      <w:pPr>
        <w:numPr>
          <w:ilvl w:val="0"/>
          <w:numId w:val="233"/>
        </w:numPr>
        <w:contextualSpacing/>
        <w:rPr>
          <w:sz w:val="22"/>
        </w:rPr>
      </w:pPr>
      <w:r w:rsidRPr="00D52C5F">
        <w:rPr>
          <w:sz w:val="22"/>
        </w:rPr>
        <w:t>Kvaliteta i dostupnost proizvodnih sirovina</w:t>
      </w:r>
      <w:r>
        <w:rPr>
          <w:sz w:val="22"/>
        </w:rPr>
        <w:t>;</w:t>
      </w:r>
      <w:r w:rsidRPr="00D52C5F">
        <w:rPr>
          <w:sz w:val="22"/>
        </w:rPr>
        <w:t xml:space="preserve"> </w:t>
      </w:r>
    </w:p>
    <w:p w:rsidR="00C923F3" w:rsidRPr="00D52C5F" w:rsidRDefault="00C923F3" w:rsidP="00C923F3">
      <w:pPr>
        <w:numPr>
          <w:ilvl w:val="0"/>
          <w:numId w:val="233"/>
        </w:numPr>
        <w:contextualSpacing/>
        <w:rPr>
          <w:sz w:val="22"/>
        </w:rPr>
      </w:pPr>
      <w:r>
        <w:rPr>
          <w:sz w:val="22"/>
        </w:rPr>
        <w:t>Ljudski potencijali</w:t>
      </w:r>
      <w:r w:rsidRPr="00D52C5F">
        <w:rPr>
          <w:sz w:val="22"/>
        </w:rPr>
        <w:t xml:space="preserve"> (znanje, vještine, sposobnosti, dostupnost)</w:t>
      </w:r>
      <w:r>
        <w:rPr>
          <w:sz w:val="22"/>
        </w:rPr>
        <w:t>;</w:t>
      </w:r>
    </w:p>
    <w:p w:rsidR="00C923F3" w:rsidRPr="00D52C5F" w:rsidRDefault="00C923F3" w:rsidP="00C923F3">
      <w:pPr>
        <w:numPr>
          <w:ilvl w:val="0"/>
          <w:numId w:val="233"/>
        </w:numPr>
        <w:contextualSpacing/>
        <w:rPr>
          <w:sz w:val="22"/>
        </w:rPr>
      </w:pPr>
      <w:r w:rsidRPr="00D52C5F">
        <w:rPr>
          <w:sz w:val="22"/>
        </w:rPr>
        <w:t>Istraživanje i razvoj (razina inovativne sposobnosti)</w:t>
      </w:r>
      <w:r>
        <w:rPr>
          <w:sz w:val="22"/>
        </w:rPr>
        <w:t>;</w:t>
      </w:r>
      <w:r w:rsidRPr="00D52C5F">
        <w:rPr>
          <w:sz w:val="22"/>
        </w:rPr>
        <w:t xml:space="preserve"> </w:t>
      </w:r>
    </w:p>
    <w:p w:rsidR="00C923F3" w:rsidRPr="00D52C5F" w:rsidRDefault="00C923F3" w:rsidP="00C923F3">
      <w:pPr>
        <w:numPr>
          <w:ilvl w:val="0"/>
          <w:numId w:val="233"/>
        </w:numPr>
        <w:contextualSpacing/>
        <w:rPr>
          <w:sz w:val="22"/>
        </w:rPr>
      </w:pPr>
      <w:r w:rsidRPr="00D52C5F">
        <w:rPr>
          <w:sz w:val="22"/>
        </w:rPr>
        <w:t>Uvjeti poslovanja na izvoznim tržištima.</w:t>
      </w:r>
    </w:p>
    <w:p w:rsidR="00C923F3" w:rsidRPr="00D52C5F" w:rsidRDefault="00C923F3" w:rsidP="00C923F3">
      <w:pPr>
        <w:contextualSpacing/>
        <w:rPr>
          <w:sz w:val="22"/>
        </w:rPr>
      </w:pPr>
      <w:r w:rsidRPr="00D52C5F">
        <w:rPr>
          <w:sz w:val="22"/>
        </w:rPr>
        <w:t xml:space="preserve"> </w:t>
      </w:r>
    </w:p>
    <w:p w:rsidR="00C923F3" w:rsidRPr="00D52C5F" w:rsidRDefault="00C923F3" w:rsidP="00C923F3">
      <w:pPr>
        <w:numPr>
          <w:ilvl w:val="0"/>
          <w:numId w:val="236"/>
        </w:numPr>
        <w:rPr>
          <w:sz w:val="22"/>
        </w:rPr>
      </w:pPr>
      <w:r w:rsidRPr="00D52C5F">
        <w:rPr>
          <w:sz w:val="22"/>
        </w:rPr>
        <w:t xml:space="preserve">Kako </w:t>
      </w:r>
      <w:r>
        <w:rPr>
          <w:sz w:val="22"/>
        </w:rPr>
        <w:t xml:space="preserve">bi se utvrdile ključne odrednice </w:t>
      </w:r>
      <w:r w:rsidRPr="00D52C5F">
        <w:rPr>
          <w:sz w:val="22"/>
        </w:rPr>
        <w:t>industrijskog</w:t>
      </w:r>
      <w:r>
        <w:rPr>
          <w:sz w:val="22"/>
        </w:rPr>
        <w:t>a</w:t>
      </w:r>
      <w:r w:rsidRPr="00D52C5F">
        <w:rPr>
          <w:sz w:val="22"/>
        </w:rPr>
        <w:t xml:space="preserve"> rasta u RH provedene su sljedeće analize:</w:t>
      </w:r>
    </w:p>
    <w:p w:rsidR="00C923F3" w:rsidRPr="00D52C5F" w:rsidRDefault="00C923F3" w:rsidP="00C923F3">
      <w:pPr>
        <w:numPr>
          <w:ilvl w:val="0"/>
          <w:numId w:val="237"/>
        </w:numPr>
        <w:rPr>
          <w:sz w:val="22"/>
        </w:rPr>
      </w:pPr>
      <w:r>
        <w:rPr>
          <w:sz w:val="22"/>
        </w:rPr>
        <w:t xml:space="preserve">Izvoza roba i usluga kao osnovne odrednice </w:t>
      </w:r>
      <w:r w:rsidRPr="00D52C5F">
        <w:rPr>
          <w:sz w:val="22"/>
        </w:rPr>
        <w:t>budućeg</w:t>
      </w:r>
      <w:r>
        <w:rPr>
          <w:sz w:val="22"/>
        </w:rPr>
        <w:t>a</w:t>
      </w:r>
      <w:r w:rsidRPr="00D52C5F">
        <w:rPr>
          <w:sz w:val="22"/>
        </w:rPr>
        <w:t xml:space="preserve"> gospodarskog</w:t>
      </w:r>
      <w:r>
        <w:rPr>
          <w:sz w:val="22"/>
        </w:rPr>
        <w:t>a</w:t>
      </w:r>
      <w:r w:rsidRPr="00D52C5F">
        <w:rPr>
          <w:sz w:val="22"/>
        </w:rPr>
        <w:t xml:space="preserve"> rasta, a za koji je utvrđeno da </w:t>
      </w:r>
      <w:r>
        <w:rPr>
          <w:sz w:val="22"/>
        </w:rPr>
        <w:t xml:space="preserve">je najviše rastao </w:t>
      </w:r>
      <w:r w:rsidRPr="00D52C5F">
        <w:rPr>
          <w:sz w:val="22"/>
        </w:rPr>
        <w:t>kroz izvoz proizvoda koji pokazuju manju cjenovnu elastičnost</w:t>
      </w:r>
      <w:r>
        <w:rPr>
          <w:rStyle w:val="FootnoteReference"/>
          <w:sz w:val="22"/>
        </w:rPr>
        <w:footnoteReference w:id="15"/>
      </w:r>
      <w:r>
        <w:rPr>
          <w:sz w:val="22"/>
        </w:rPr>
        <w:t>. Kako bi se utvrdilo za koga će domaća industrija proizvoditi te s ciljem definiranja potencijala razvoja industrije u tome smislu, analizirane su domaća potrošnja i njezine odrednice te robni izvoz i njegove odrednice. Analizom osobne potrošnje u Republici Hrvatskoj te ekonometrijskim modelom (model korekcije pogrešaka) utvrđeno je da su krediti poslovnih banaka u značajnoj mjeri odredili kretanje domaće potrošnje. Uz ostale uvjete na domaćem tržištu (pad osobnoga dohotka, rast nezaposlenosti i slično) koji utječu na domaću potrošnju, ističe se i potreba realizacije potencijala rasta domaće industrije kroz rast izvoza;</w:t>
      </w:r>
    </w:p>
    <w:p w:rsidR="00C923F3" w:rsidRPr="00D52C5F" w:rsidRDefault="00C923F3" w:rsidP="00C923F3">
      <w:pPr>
        <w:numPr>
          <w:ilvl w:val="0"/>
          <w:numId w:val="237"/>
        </w:numPr>
        <w:rPr>
          <w:sz w:val="22"/>
        </w:rPr>
      </w:pPr>
      <w:r>
        <w:rPr>
          <w:sz w:val="22"/>
        </w:rPr>
        <w:lastRenderedPageBreak/>
        <w:t>O</w:t>
      </w:r>
      <w:r w:rsidRPr="00D52C5F">
        <w:rPr>
          <w:sz w:val="22"/>
        </w:rPr>
        <w:t xml:space="preserve">drednica osobne potrošnje, pri čemu je utvrđeno kako je osobna potrošnja određena kreditima poslovnih banaka </w:t>
      </w:r>
      <w:r>
        <w:rPr>
          <w:sz w:val="22"/>
        </w:rPr>
        <w:t xml:space="preserve">u </w:t>
      </w:r>
      <w:r w:rsidRPr="00D52C5F">
        <w:rPr>
          <w:sz w:val="22"/>
        </w:rPr>
        <w:t>segmentu građanstva</w:t>
      </w:r>
      <w:r>
        <w:rPr>
          <w:sz w:val="22"/>
        </w:rPr>
        <w:t>. U prethodnome dijelu navodi se kako je za potrebe analize odrednica osobne potrošnje korišten model korekcije pogrešaka;</w:t>
      </w:r>
    </w:p>
    <w:p w:rsidR="00C923F3" w:rsidRPr="00D52C5F" w:rsidRDefault="00C923F3" w:rsidP="00C923F3">
      <w:pPr>
        <w:numPr>
          <w:ilvl w:val="0"/>
          <w:numId w:val="237"/>
        </w:numPr>
        <w:rPr>
          <w:sz w:val="22"/>
        </w:rPr>
      </w:pPr>
      <w:r>
        <w:rPr>
          <w:sz w:val="22"/>
        </w:rPr>
        <w:t>C</w:t>
      </w:r>
      <w:r w:rsidRPr="00D52C5F">
        <w:rPr>
          <w:sz w:val="22"/>
        </w:rPr>
        <w:t>jenovne i dohodovne elastičnosti robnog</w:t>
      </w:r>
      <w:r>
        <w:rPr>
          <w:sz w:val="22"/>
        </w:rPr>
        <w:t>a</w:t>
      </w:r>
      <w:r w:rsidRPr="00D52C5F">
        <w:rPr>
          <w:sz w:val="22"/>
        </w:rPr>
        <w:t xml:space="preserve"> izvoza, gdje se pokazalo da je robni izvoz </w:t>
      </w:r>
      <w:r>
        <w:rPr>
          <w:sz w:val="22"/>
        </w:rPr>
        <w:t xml:space="preserve">Hrvatske </w:t>
      </w:r>
      <w:r w:rsidRPr="00D52C5F">
        <w:rPr>
          <w:sz w:val="22"/>
        </w:rPr>
        <w:t>dohodovno elastičan u odnosu na dohodak EU27, ali ne i cjenovno elastičan</w:t>
      </w:r>
      <w:r>
        <w:rPr>
          <w:sz w:val="22"/>
        </w:rPr>
        <w:t xml:space="preserve">. </w:t>
      </w:r>
      <w:r w:rsidRPr="00A26B37">
        <w:rPr>
          <w:sz w:val="22"/>
        </w:rPr>
        <w:t>Prema postavkama mikroekonomske teorije</w:t>
      </w:r>
      <w:r>
        <w:rPr>
          <w:sz w:val="22"/>
        </w:rPr>
        <w:t>,</w:t>
      </w:r>
      <w:r w:rsidRPr="00A26B37">
        <w:rPr>
          <w:sz w:val="22"/>
        </w:rPr>
        <w:t xml:space="preserve"> potražnja za bilo kojim dobrom cjenovno je i dohodovno elastična. U tom</w:t>
      </w:r>
      <w:r>
        <w:rPr>
          <w:sz w:val="22"/>
        </w:rPr>
        <w:t>e</w:t>
      </w:r>
      <w:r w:rsidRPr="00A26B37">
        <w:rPr>
          <w:sz w:val="22"/>
        </w:rPr>
        <w:t xml:space="preserve"> smislu, provjerena je potražnja za domaćim izvozom kao funkcij</w:t>
      </w:r>
      <w:r>
        <w:rPr>
          <w:sz w:val="22"/>
        </w:rPr>
        <w:t>om</w:t>
      </w:r>
      <w:r w:rsidRPr="00A26B37">
        <w:rPr>
          <w:sz w:val="22"/>
        </w:rPr>
        <w:t xml:space="preserve"> realnog deviznog tečaja eura prema kuni </w:t>
      </w:r>
      <w:r>
        <w:rPr>
          <w:sz w:val="22"/>
        </w:rPr>
        <w:t>i dohotka u Europskoj uniji, kamo</w:t>
      </w:r>
      <w:r w:rsidRPr="00A26B37">
        <w:rPr>
          <w:sz w:val="22"/>
        </w:rPr>
        <w:t xml:space="preserve"> je usmjerena većina domaćeg</w:t>
      </w:r>
      <w:r>
        <w:rPr>
          <w:sz w:val="22"/>
        </w:rPr>
        <w:t>a</w:t>
      </w:r>
      <w:r w:rsidRPr="00A26B37">
        <w:rPr>
          <w:sz w:val="22"/>
        </w:rPr>
        <w:t xml:space="preserve"> robnog</w:t>
      </w:r>
      <w:r>
        <w:rPr>
          <w:sz w:val="22"/>
        </w:rPr>
        <w:t>a</w:t>
      </w:r>
      <w:r w:rsidRPr="00A26B37">
        <w:rPr>
          <w:sz w:val="22"/>
        </w:rPr>
        <w:t xml:space="preserve"> izvoza. Kako bi se provjerila dohodovna i cjenovna elastičnost robnog</w:t>
      </w:r>
      <w:r>
        <w:rPr>
          <w:sz w:val="22"/>
        </w:rPr>
        <w:t>a</w:t>
      </w:r>
      <w:r w:rsidRPr="00A26B37">
        <w:rPr>
          <w:sz w:val="22"/>
        </w:rPr>
        <w:t xml:space="preserve"> izvoza, definiran je ekonometrijski model</w:t>
      </w:r>
      <w:r>
        <w:rPr>
          <w:sz w:val="22"/>
        </w:rPr>
        <w:t xml:space="preserve"> višestruke linearne regresije;</w:t>
      </w:r>
    </w:p>
    <w:p w:rsidR="00C923F3" w:rsidRPr="00184613" w:rsidRDefault="00C923F3" w:rsidP="00C923F3">
      <w:pPr>
        <w:numPr>
          <w:ilvl w:val="0"/>
          <w:numId w:val="237"/>
        </w:numPr>
        <w:rPr>
          <w:sz w:val="22"/>
        </w:rPr>
      </w:pPr>
      <w:r>
        <w:rPr>
          <w:sz w:val="22"/>
        </w:rPr>
        <w:t>C</w:t>
      </w:r>
      <w:r w:rsidRPr="00D52C5F">
        <w:rPr>
          <w:sz w:val="22"/>
        </w:rPr>
        <w:t xml:space="preserve">jenovne i dohodovne elastičnosti industrijskih djelatnosti za koje je utvrđeno da su u skladu </w:t>
      </w:r>
      <w:r w:rsidRPr="00184613">
        <w:rPr>
          <w:sz w:val="22"/>
        </w:rPr>
        <w:t>sa zaključcima</w:t>
      </w:r>
      <w:r>
        <w:rPr>
          <w:sz w:val="22"/>
        </w:rPr>
        <w:t xml:space="preserve"> analize kretanja robnog izvoza;</w:t>
      </w:r>
    </w:p>
    <w:p w:rsidR="00C923F3" w:rsidRPr="00D52C5F" w:rsidRDefault="00C923F3" w:rsidP="00C923F3">
      <w:pPr>
        <w:numPr>
          <w:ilvl w:val="0"/>
          <w:numId w:val="237"/>
        </w:numPr>
        <w:rPr>
          <w:sz w:val="22"/>
        </w:rPr>
      </w:pPr>
      <w:r w:rsidRPr="00F92DFD">
        <w:rPr>
          <w:sz w:val="22"/>
        </w:rPr>
        <w:t>Značaja i potrebe za investicijama</w:t>
      </w:r>
      <w:r w:rsidRPr="00D52C5F">
        <w:rPr>
          <w:sz w:val="22"/>
        </w:rPr>
        <w:t xml:space="preserve"> kao mjere podizanja konkurentnosti</w:t>
      </w:r>
      <w:r>
        <w:rPr>
          <w:sz w:val="22"/>
        </w:rPr>
        <w:t xml:space="preserve">. Potreba za investicijama u fiksni kapital može se promatrati s dva aspekta. S jedne strane, povećanje investicija u fiksni kapital povećava produktivnost radne snage, dok su s druge strane potrebna dodatna kapitalna ulaganja kako bi se opremili novozaposleni;  </w:t>
      </w:r>
      <w:r w:rsidRPr="00D52C5F">
        <w:rPr>
          <w:sz w:val="22"/>
        </w:rPr>
        <w:t xml:space="preserve"> </w:t>
      </w:r>
    </w:p>
    <w:p w:rsidR="00C923F3" w:rsidRPr="00D52C5F" w:rsidRDefault="00C923F3" w:rsidP="00C923F3">
      <w:pPr>
        <w:numPr>
          <w:ilvl w:val="0"/>
          <w:numId w:val="237"/>
        </w:numPr>
        <w:rPr>
          <w:sz w:val="22"/>
        </w:rPr>
      </w:pPr>
      <w:r>
        <w:rPr>
          <w:sz w:val="22"/>
        </w:rPr>
        <w:t>U</w:t>
      </w:r>
      <w:r w:rsidRPr="00D52C5F">
        <w:rPr>
          <w:sz w:val="22"/>
        </w:rPr>
        <w:t>loge produktivnosti rada koja predstavlja odrednicu konkurentnosti domaće industrije</w:t>
      </w:r>
      <w:r>
        <w:rPr>
          <w:sz w:val="22"/>
        </w:rPr>
        <w:t>. Produktivnost rada u kontekstu predmetnog dokumenta analizira se na dvije razine: (1) na razini industrije i (2) na razini Republike Hrvatske u odnosu na ostale zemlje članice EU-a. Temeljem provedenih analiza i rezultata istraživanja utvrđeno je kako p</w:t>
      </w:r>
      <w:r w:rsidRPr="00521B87">
        <w:rPr>
          <w:sz w:val="22"/>
        </w:rPr>
        <w:t>roduktivnost rada ne postiže statističku značajnost u objašnjavanju izvozne orijentacije industrijskih djelatnosti</w:t>
      </w:r>
      <w:r>
        <w:rPr>
          <w:sz w:val="22"/>
        </w:rPr>
        <w:t>. Produktivnost rada u RH ne postiže statističku značajnost u objašnjavanju tijekova robne razmjene sa zemljama članicama EU-a. Na temelju prethodno navedenoga može se zaključiti da produktivnost rada u RH nije na zadovoljavajućoj razini. Dovodeći u vezu robni izvoz RH i produktivnost rada RH u odnosu na ostale zemlje članice EU-a, ekonometrijskim modelom (model korekcije pogrešaka) utvrđeno je da robni izvoz pozitivno utječe na relativnu produktivnost rada RH unutar EU-a, dok obrnuti utjecaj ne postiže zadovoljavajuću statističku značajnost. Iz navedenoga također proizlazi važnost usmjerenosti na robni izvoz;</w:t>
      </w:r>
    </w:p>
    <w:p w:rsidR="00C923F3" w:rsidRPr="00D52C5F" w:rsidRDefault="00C923F3" w:rsidP="00C923F3">
      <w:pPr>
        <w:numPr>
          <w:ilvl w:val="0"/>
          <w:numId w:val="237"/>
        </w:numPr>
        <w:rPr>
          <w:sz w:val="22"/>
        </w:rPr>
      </w:pPr>
      <w:r>
        <w:rPr>
          <w:sz w:val="22"/>
        </w:rPr>
        <w:t>Z</w:t>
      </w:r>
      <w:r w:rsidRPr="00D52C5F">
        <w:rPr>
          <w:sz w:val="22"/>
        </w:rPr>
        <w:t xml:space="preserve">načaja obrazovanosti radne snage u </w:t>
      </w:r>
      <w:r>
        <w:rPr>
          <w:sz w:val="22"/>
        </w:rPr>
        <w:t xml:space="preserve">postizanju </w:t>
      </w:r>
      <w:r w:rsidRPr="00D52C5F">
        <w:rPr>
          <w:sz w:val="22"/>
        </w:rPr>
        <w:t>konkurentnosti domaće industrije</w:t>
      </w:r>
      <w:r>
        <w:rPr>
          <w:sz w:val="22"/>
        </w:rPr>
        <w:t xml:space="preserve">. Ekonometrijskim modelom utvrđen je izrazito snažan međuodnos između stupnja obrazovanosti radne snage i produktivnosti rada među industrijskim djelatnostima. </w:t>
      </w:r>
      <w:r w:rsidRPr="00D52C5F">
        <w:rPr>
          <w:sz w:val="22"/>
        </w:rPr>
        <w:t xml:space="preserve"> </w:t>
      </w:r>
    </w:p>
    <w:p w:rsidR="00C923F3" w:rsidRPr="00D52C5F" w:rsidRDefault="00C923F3" w:rsidP="00C923F3">
      <w:pPr>
        <w:numPr>
          <w:ilvl w:val="0"/>
          <w:numId w:val="237"/>
        </w:numPr>
        <w:rPr>
          <w:sz w:val="22"/>
        </w:rPr>
      </w:pPr>
      <w:r>
        <w:rPr>
          <w:sz w:val="22"/>
        </w:rPr>
        <w:t>K</w:t>
      </w:r>
      <w:r w:rsidRPr="00D52C5F">
        <w:rPr>
          <w:sz w:val="22"/>
        </w:rPr>
        <w:t>omponenata BDP-a i njihov</w:t>
      </w:r>
      <w:r>
        <w:rPr>
          <w:sz w:val="22"/>
        </w:rPr>
        <w:t>og</w:t>
      </w:r>
      <w:r w:rsidRPr="00D52C5F">
        <w:rPr>
          <w:sz w:val="22"/>
        </w:rPr>
        <w:t xml:space="preserve"> značaj</w:t>
      </w:r>
      <w:r>
        <w:rPr>
          <w:sz w:val="22"/>
        </w:rPr>
        <w:t>a za industriju. Orijentacija industrijskih djelatnosti, u smislu domaćeg tržišta naspram izvozne orijentacije, analizirana je na način da se ekonometrijskim modelima povezivalo komponente BDP-a i obujam proizvodnje u industrijskim djelatnostima. Rezultati provedenih istraživanja potvrdili su rezultate modela vrednovanja i rangiranja industrijskih djelatnosti iz dijela 5.</w:t>
      </w:r>
    </w:p>
    <w:p w:rsidR="00C923F3" w:rsidRDefault="00C923F3" w:rsidP="00C923F3">
      <w:pPr>
        <w:contextualSpacing/>
        <w:rPr>
          <w:sz w:val="22"/>
        </w:rPr>
      </w:pPr>
    </w:p>
    <w:p w:rsidR="00C923F3" w:rsidRPr="00D52C5F" w:rsidRDefault="00C923F3" w:rsidP="00C923F3">
      <w:pPr>
        <w:numPr>
          <w:ilvl w:val="0"/>
          <w:numId w:val="236"/>
        </w:numPr>
        <w:rPr>
          <w:sz w:val="22"/>
        </w:rPr>
      </w:pPr>
      <w:r>
        <w:rPr>
          <w:sz w:val="22"/>
        </w:rPr>
        <w:t>Sistematiziranjem rezultata provedenih analiza</w:t>
      </w:r>
      <w:r w:rsidRPr="00D52C5F">
        <w:rPr>
          <w:sz w:val="22"/>
        </w:rPr>
        <w:t xml:space="preserve"> može se zaključiti kako </w:t>
      </w:r>
      <w:r>
        <w:rPr>
          <w:sz w:val="22"/>
        </w:rPr>
        <w:t>su ključne, izravne i neizravne,</w:t>
      </w:r>
      <w:r w:rsidRPr="00D52C5F">
        <w:rPr>
          <w:sz w:val="22"/>
        </w:rPr>
        <w:t xml:space="preserve"> odrednice rasta industrije u Republici Hrvatskoj:</w:t>
      </w:r>
    </w:p>
    <w:p w:rsidR="00C923F3" w:rsidRPr="00D52C5F" w:rsidRDefault="00C923F3" w:rsidP="00C923F3">
      <w:pPr>
        <w:numPr>
          <w:ilvl w:val="0"/>
          <w:numId w:val="234"/>
        </w:numPr>
        <w:contextualSpacing/>
        <w:rPr>
          <w:sz w:val="22"/>
        </w:rPr>
      </w:pPr>
      <w:r>
        <w:rPr>
          <w:sz w:val="22"/>
        </w:rPr>
        <w:t>produktivnost rada,</w:t>
      </w:r>
      <w:r w:rsidRPr="00D52C5F">
        <w:rPr>
          <w:sz w:val="22"/>
        </w:rPr>
        <w:t xml:space="preserve"> </w:t>
      </w:r>
    </w:p>
    <w:p w:rsidR="00C923F3" w:rsidRDefault="00C923F3" w:rsidP="00C923F3">
      <w:pPr>
        <w:numPr>
          <w:ilvl w:val="0"/>
          <w:numId w:val="234"/>
        </w:numPr>
        <w:contextualSpacing/>
        <w:rPr>
          <w:sz w:val="22"/>
        </w:rPr>
      </w:pPr>
      <w:r>
        <w:rPr>
          <w:sz w:val="22"/>
        </w:rPr>
        <w:t>i</w:t>
      </w:r>
      <w:r w:rsidRPr="001304C6">
        <w:rPr>
          <w:sz w:val="22"/>
        </w:rPr>
        <w:t>nvesticije u fiksni kapital</w:t>
      </w:r>
      <w:r>
        <w:rPr>
          <w:sz w:val="22"/>
        </w:rPr>
        <w:t>,</w:t>
      </w:r>
      <w:r w:rsidRPr="001304C6">
        <w:rPr>
          <w:sz w:val="22"/>
        </w:rPr>
        <w:t xml:space="preserve"> </w:t>
      </w:r>
    </w:p>
    <w:p w:rsidR="00C923F3" w:rsidRPr="001304C6" w:rsidRDefault="00C923F3" w:rsidP="00C923F3">
      <w:pPr>
        <w:numPr>
          <w:ilvl w:val="0"/>
          <w:numId w:val="234"/>
        </w:numPr>
        <w:contextualSpacing/>
        <w:rPr>
          <w:sz w:val="22"/>
        </w:rPr>
      </w:pPr>
      <w:r>
        <w:rPr>
          <w:sz w:val="22"/>
        </w:rPr>
        <w:t>u</w:t>
      </w:r>
      <w:r w:rsidRPr="001304C6">
        <w:rPr>
          <w:sz w:val="22"/>
        </w:rPr>
        <w:t>dio visokoobrazovane radne snage</w:t>
      </w:r>
      <w:r>
        <w:rPr>
          <w:sz w:val="22"/>
        </w:rPr>
        <w:t>,</w:t>
      </w:r>
      <w:r w:rsidRPr="001304C6">
        <w:rPr>
          <w:sz w:val="22"/>
        </w:rPr>
        <w:t xml:space="preserve"> </w:t>
      </w:r>
    </w:p>
    <w:p w:rsidR="00C923F3" w:rsidRPr="00CA0087" w:rsidRDefault="00C923F3" w:rsidP="00C923F3">
      <w:pPr>
        <w:numPr>
          <w:ilvl w:val="0"/>
          <w:numId w:val="234"/>
        </w:numPr>
        <w:contextualSpacing/>
        <w:rPr>
          <w:sz w:val="22"/>
        </w:rPr>
      </w:pPr>
      <w:r w:rsidRPr="00CA0087">
        <w:rPr>
          <w:sz w:val="22"/>
        </w:rPr>
        <w:lastRenderedPageBreak/>
        <w:t>ulaganje u istraživanje i razvoj</w:t>
      </w:r>
      <w:r>
        <w:rPr>
          <w:rStyle w:val="FootnoteReference"/>
          <w:sz w:val="22"/>
        </w:rPr>
        <w:footnoteReference w:id="16"/>
      </w:r>
      <w:r w:rsidRPr="00CA0087">
        <w:rPr>
          <w:sz w:val="22"/>
        </w:rPr>
        <w:t>.</w:t>
      </w:r>
    </w:p>
    <w:p w:rsidR="009A2BB9" w:rsidRDefault="009A2BB9" w:rsidP="009A2BB9">
      <w:pPr>
        <w:ind w:left="720"/>
        <w:contextualSpacing/>
        <w:rPr>
          <w:sz w:val="22"/>
        </w:rPr>
      </w:pPr>
    </w:p>
    <w:p w:rsidR="0050036B" w:rsidRPr="004E6412" w:rsidRDefault="00C923F3" w:rsidP="00C923F3">
      <w:pPr>
        <w:numPr>
          <w:ilvl w:val="0"/>
          <w:numId w:val="244"/>
        </w:numPr>
        <w:contextualSpacing/>
        <w:rPr>
          <w:sz w:val="22"/>
        </w:rPr>
      </w:pPr>
      <w:r w:rsidRPr="00BB7E77">
        <w:rPr>
          <w:sz w:val="22"/>
        </w:rPr>
        <w:t>Nav</w:t>
      </w:r>
      <w:r>
        <w:rPr>
          <w:sz w:val="22"/>
        </w:rPr>
        <w:t>edeni parametri prevladavajućeg su utjecaja pa se koriste</w:t>
      </w:r>
      <w:r w:rsidRPr="00BB7E77">
        <w:rPr>
          <w:sz w:val="22"/>
        </w:rPr>
        <w:t xml:space="preserve"> kao os</w:t>
      </w:r>
      <w:r>
        <w:rPr>
          <w:sz w:val="22"/>
        </w:rPr>
        <w:t>nova za planiranje scenarija</w:t>
      </w:r>
      <w:r w:rsidRPr="00BB7E77">
        <w:rPr>
          <w:sz w:val="22"/>
        </w:rPr>
        <w:t>.</w:t>
      </w:r>
    </w:p>
    <w:p w:rsidR="0050036B" w:rsidRPr="004E6412" w:rsidRDefault="0050036B" w:rsidP="0050036B">
      <w:pPr>
        <w:contextualSpacing/>
        <w:rPr>
          <w:sz w:val="22"/>
        </w:rPr>
      </w:pP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3" w:name="_Toc378069159"/>
      <w:r w:rsidRPr="004E6412">
        <w:t>Ključni pokazatelji hrvatske industrije</w:t>
      </w:r>
      <w:bookmarkEnd w:id="1123"/>
      <w:r w:rsidRPr="004E6412">
        <w:t xml:space="preserve"> </w:t>
      </w:r>
    </w:p>
    <w:p w:rsidR="0050036B" w:rsidRPr="004E6412" w:rsidRDefault="0050036B" w:rsidP="0050036B"/>
    <w:p w:rsidR="0050036B" w:rsidRPr="004E6412" w:rsidRDefault="0050036B" w:rsidP="0050036B"/>
    <w:p w:rsidR="00C923F3" w:rsidRPr="00345D00" w:rsidRDefault="00C923F3" w:rsidP="00C923F3">
      <w:pPr>
        <w:numPr>
          <w:ilvl w:val="0"/>
          <w:numId w:val="204"/>
        </w:numPr>
        <w:rPr>
          <w:iCs/>
          <w:sz w:val="22"/>
        </w:rPr>
      </w:pPr>
      <w:r w:rsidRPr="00345D00">
        <w:rPr>
          <w:iCs/>
          <w:sz w:val="22"/>
        </w:rPr>
        <w:t xml:space="preserve">Tek </w:t>
      </w:r>
      <w:r>
        <w:rPr>
          <w:iCs/>
          <w:sz w:val="22"/>
        </w:rPr>
        <w:t>po utvrđivanju</w:t>
      </w:r>
      <w:r w:rsidRPr="00345D00">
        <w:rPr>
          <w:iCs/>
          <w:sz w:val="22"/>
        </w:rPr>
        <w:t xml:space="preserve"> ključnih odrednica industrijskog</w:t>
      </w:r>
      <w:r>
        <w:rPr>
          <w:iCs/>
          <w:sz w:val="22"/>
        </w:rPr>
        <w:t>a</w:t>
      </w:r>
      <w:r w:rsidRPr="00345D00">
        <w:rPr>
          <w:iCs/>
          <w:sz w:val="22"/>
        </w:rPr>
        <w:t xml:space="preserve"> rasta bilo je moguće definirati i ključne pokazatelje industrije čija je svrha jasan i cjelovit prikaz postojećeg</w:t>
      </w:r>
      <w:r>
        <w:rPr>
          <w:iCs/>
          <w:sz w:val="22"/>
        </w:rPr>
        <w:t>a</w:t>
      </w:r>
      <w:r w:rsidRPr="00345D00">
        <w:rPr>
          <w:iCs/>
          <w:sz w:val="22"/>
        </w:rPr>
        <w:t>, ali i ciljanog</w:t>
      </w:r>
      <w:r>
        <w:rPr>
          <w:iCs/>
          <w:sz w:val="22"/>
        </w:rPr>
        <w:t>a stanja</w:t>
      </w:r>
      <w:r w:rsidRPr="00345D00">
        <w:rPr>
          <w:iCs/>
          <w:sz w:val="22"/>
        </w:rPr>
        <w:t xml:space="preserve"> industrije. </w:t>
      </w:r>
    </w:p>
    <w:p w:rsidR="00C923F3" w:rsidRDefault="00C923F3" w:rsidP="00C923F3">
      <w:pPr>
        <w:ind w:left="360"/>
        <w:rPr>
          <w:iCs/>
          <w:sz w:val="22"/>
          <w:highlight w:val="yellow"/>
        </w:rPr>
      </w:pPr>
    </w:p>
    <w:p w:rsidR="00C923F3" w:rsidRPr="00C80045" w:rsidRDefault="00C923F3" w:rsidP="00C923F3">
      <w:pPr>
        <w:numPr>
          <w:ilvl w:val="0"/>
          <w:numId w:val="204"/>
        </w:numPr>
        <w:rPr>
          <w:iCs/>
          <w:sz w:val="22"/>
        </w:rPr>
      </w:pPr>
      <w:r w:rsidRPr="00C80045">
        <w:rPr>
          <w:iCs/>
          <w:sz w:val="22"/>
        </w:rPr>
        <w:t>Osnova kvalitetno vođenog</w:t>
      </w:r>
      <w:r>
        <w:rPr>
          <w:iCs/>
          <w:sz w:val="22"/>
        </w:rPr>
        <w:t>a</w:t>
      </w:r>
      <w:r w:rsidRPr="00C80045">
        <w:rPr>
          <w:iCs/>
          <w:sz w:val="22"/>
        </w:rPr>
        <w:t xml:space="preserve"> procesa strateškog</w:t>
      </w:r>
      <w:r>
        <w:rPr>
          <w:iCs/>
          <w:sz w:val="22"/>
        </w:rPr>
        <w:t>a</w:t>
      </w:r>
      <w:r w:rsidRPr="00C80045">
        <w:rPr>
          <w:iCs/>
          <w:sz w:val="22"/>
        </w:rPr>
        <w:t xml:space="preserve"> planiranja je razumljivo utvrđivanj</w:t>
      </w:r>
      <w:r>
        <w:rPr>
          <w:iCs/>
          <w:sz w:val="22"/>
        </w:rPr>
        <w:t>e polazišta</w:t>
      </w:r>
      <w:r w:rsidRPr="00C80045">
        <w:rPr>
          <w:iCs/>
          <w:sz w:val="22"/>
        </w:rPr>
        <w:t>, odnosno definiranje odgovora na pitanje: „Koje su postojeće karakteristike hrvatske industrije pr</w:t>
      </w:r>
      <w:r>
        <w:rPr>
          <w:iCs/>
          <w:sz w:val="22"/>
        </w:rPr>
        <w:t>ema definiranim pokazateljima?“</w:t>
      </w:r>
      <w:r w:rsidRPr="00C80045">
        <w:rPr>
          <w:iCs/>
          <w:sz w:val="22"/>
        </w:rPr>
        <w:t xml:space="preserve"> Upravo je dobivanje odgovora na postavljeno pitanje bio osnovni cilj analiza provedenih u prethodnim </w:t>
      </w:r>
      <w:r>
        <w:rPr>
          <w:iCs/>
          <w:sz w:val="22"/>
        </w:rPr>
        <w:t xml:space="preserve">dijelovima ovog dokumenta </w:t>
      </w:r>
      <w:r w:rsidRPr="00C80045">
        <w:rPr>
          <w:iCs/>
          <w:sz w:val="22"/>
        </w:rPr>
        <w:t xml:space="preserve">(makroekonomska analiza, analiza prirodnih i ljudskih resursa, kvantitativna i kvalitativna analiza industrije). </w:t>
      </w:r>
    </w:p>
    <w:p w:rsidR="00C923F3" w:rsidRPr="00C80045" w:rsidRDefault="00C923F3" w:rsidP="00C923F3">
      <w:pPr>
        <w:ind w:left="720"/>
        <w:rPr>
          <w:iCs/>
          <w:sz w:val="22"/>
        </w:rPr>
      </w:pPr>
    </w:p>
    <w:p w:rsidR="00C923F3" w:rsidRPr="00C80045" w:rsidRDefault="00C923F3" w:rsidP="00C923F3">
      <w:pPr>
        <w:numPr>
          <w:ilvl w:val="0"/>
          <w:numId w:val="204"/>
        </w:numPr>
        <w:rPr>
          <w:b/>
          <w:iCs/>
          <w:sz w:val="22"/>
        </w:rPr>
      </w:pPr>
      <w:r w:rsidRPr="00C80045">
        <w:rPr>
          <w:b/>
          <w:iCs/>
          <w:sz w:val="22"/>
        </w:rPr>
        <w:t>Za jasno i mjerlj</w:t>
      </w:r>
      <w:r>
        <w:rPr>
          <w:b/>
          <w:iCs/>
          <w:sz w:val="22"/>
        </w:rPr>
        <w:t>ivo utvrđivanje polazišta definirani su sl</w:t>
      </w:r>
      <w:r w:rsidRPr="00C80045">
        <w:rPr>
          <w:b/>
          <w:iCs/>
          <w:sz w:val="22"/>
        </w:rPr>
        <w:t>jedeći kriteriji analize</w:t>
      </w:r>
      <w:r>
        <w:rPr>
          <w:b/>
          <w:iCs/>
          <w:sz w:val="22"/>
        </w:rPr>
        <w:t xml:space="preserve"> industrije, odnosno pokazatelji</w:t>
      </w:r>
      <w:r w:rsidRPr="00C80045">
        <w:rPr>
          <w:b/>
          <w:iCs/>
          <w:sz w:val="22"/>
        </w:rPr>
        <w:t>:</w:t>
      </w:r>
    </w:p>
    <w:p w:rsidR="00C923F3" w:rsidRPr="00C80045" w:rsidRDefault="00C923F3" w:rsidP="00C923F3">
      <w:pPr>
        <w:numPr>
          <w:ilvl w:val="1"/>
          <w:numId w:val="205"/>
        </w:numPr>
        <w:rPr>
          <w:iCs/>
          <w:sz w:val="22"/>
        </w:rPr>
      </w:pPr>
      <w:r>
        <w:rPr>
          <w:iCs/>
          <w:sz w:val="22"/>
        </w:rPr>
        <w:t>i</w:t>
      </w:r>
      <w:r w:rsidRPr="00C80045">
        <w:rPr>
          <w:iCs/>
          <w:sz w:val="22"/>
        </w:rPr>
        <w:t>ndeks fizičkog obujma industrijske proizvodnje</w:t>
      </w:r>
      <w:r w:rsidRPr="00C80045">
        <w:rPr>
          <w:iCs/>
          <w:sz w:val="22"/>
          <w:vertAlign w:val="superscript"/>
        </w:rPr>
        <w:footnoteReference w:id="17"/>
      </w:r>
      <w:r>
        <w:rPr>
          <w:iCs/>
          <w:sz w:val="22"/>
        </w:rPr>
        <w:t xml:space="preserve"> (polazišna</w:t>
      </w:r>
      <w:r w:rsidRPr="00C80045">
        <w:rPr>
          <w:iCs/>
          <w:sz w:val="22"/>
        </w:rPr>
        <w:t xml:space="preserve"> godina je 2008.), </w:t>
      </w:r>
    </w:p>
    <w:p w:rsidR="00C923F3" w:rsidRPr="00C80045" w:rsidRDefault="00C923F3" w:rsidP="00C923F3">
      <w:pPr>
        <w:numPr>
          <w:ilvl w:val="1"/>
          <w:numId w:val="205"/>
        </w:numPr>
        <w:rPr>
          <w:iCs/>
          <w:sz w:val="22"/>
        </w:rPr>
      </w:pPr>
      <w:r w:rsidRPr="00C80045">
        <w:rPr>
          <w:iCs/>
          <w:sz w:val="22"/>
        </w:rPr>
        <w:t xml:space="preserve">bruto dodana vrijednost (BDV), </w:t>
      </w:r>
    </w:p>
    <w:p w:rsidR="00C923F3" w:rsidRPr="00C80045" w:rsidRDefault="00C923F3" w:rsidP="00C923F3">
      <w:pPr>
        <w:numPr>
          <w:ilvl w:val="1"/>
          <w:numId w:val="205"/>
        </w:numPr>
        <w:rPr>
          <w:iCs/>
          <w:sz w:val="22"/>
        </w:rPr>
      </w:pPr>
      <w:r w:rsidRPr="00C80045">
        <w:rPr>
          <w:iCs/>
          <w:sz w:val="22"/>
        </w:rPr>
        <w:t xml:space="preserve">broj zaposlenih, </w:t>
      </w:r>
    </w:p>
    <w:p w:rsidR="00C923F3" w:rsidRPr="00C80045" w:rsidRDefault="00C923F3" w:rsidP="00C923F3">
      <w:pPr>
        <w:numPr>
          <w:ilvl w:val="1"/>
          <w:numId w:val="205"/>
        </w:numPr>
        <w:rPr>
          <w:iCs/>
          <w:sz w:val="22"/>
        </w:rPr>
      </w:pPr>
      <w:r w:rsidRPr="00C80045">
        <w:rPr>
          <w:iCs/>
          <w:sz w:val="22"/>
        </w:rPr>
        <w:t xml:space="preserve">produktivnost rada, </w:t>
      </w:r>
    </w:p>
    <w:p w:rsidR="00C923F3" w:rsidRDefault="00C923F3" w:rsidP="00C923F3">
      <w:pPr>
        <w:numPr>
          <w:ilvl w:val="1"/>
          <w:numId w:val="205"/>
        </w:numPr>
        <w:rPr>
          <w:iCs/>
          <w:sz w:val="22"/>
        </w:rPr>
      </w:pPr>
      <w:r>
        <w:rPr>
          <w:iCs/>
          <w:sz w:val="22"/>
        </w:rPr>
        <w:t xml:space="preserve">kretanje </w:t>
      </w:r>
      <w:r w:rsidRPr="00C80045">
        <w:rPr>
          <w:iCs/>
          <w:sz w:val="22"/>
        </w:rPr>
        <w:t>izvoz</w:t>
      </w:r>
      <w:r>
        <w:rPr>
          <w:iCs/>
          <w:sz w:val="22"/>
        </w:rPr>
        <w:t>a,</w:t>
      </w:r>
    </w:p>
    <w:p w:rsidR="00C923F3" w:rsidRPr="00C80045" w:rsidRDefault="00C923F3" w:rsidP="00C923F3">
      <w:pPr>
        <w:numPr>
          <w:ilvl w:val="1"/>
          <w:numId w:val="205"/>
        </w:numPr>
        <w:rPr>
          <w:iCs/>
          <w:sz w:val="22"/>
        </w:rPr>
      </w:pPr>
      <w:r>
        <w:rPr>
          <w:iCs/>
          <w:sz w:val="22"/>
        </w:rPr>
        <w:t>broj</w:t>
      </w:r>
      <w:r w:rsidRPr="00C80045">
        <w:rPr>
          <w:iCs/>
          <w:sz w:val="22"/>
        </w:rPr>
        <w:t xml:space="preserve"> visokoobrazovane radne snage u ukupnom</w:t>
      </w:r>
      <w:r>
        <w:rPr>
          <w:iCs/>
          <w:sz w:val="22"/>
        </w:rPr>
        <w:t>e</w:t>
      </w:r>
      <w:r w:rsidRPr="00C80045">
        <w:rPr>
          <w:iCs/>
          <w:sz w:val="22"/>
        </w:rPr>
        <w:t xml:space="preserve"> broju zaposlenih u industriji</w:t>
      </w:r>
      <w:r>
        <w:rPr>
          <w:iCs/>
          <w:sz w:val="22"/>
        </w:rPr>
        <w:t>,</w:t>
      </w:r>
    </w:p>
    <w:p w:rsidR="00C923F3" w:rsidRPr="00C80045" w:rsidRDefault="00C923F3" w:rsidP="00C923F3">
      <w:pPr>
        <w:numPr>
          <w:ilvl w:val="1"/>
          <w:numId w:val="205"/>
        </w:numPr>
        <w:rPr>
          <w:iCs/>
          <w:sz w:val="22"/>
        </w:rPr>
      </w:pPr>
      <w:r>
        <w:rPr>
          <w:iCs/>
          <w:sz w:val="22"/>
        </w:rPr>
        <w:t xml:space="preserve">rashodi za </w:t>
      </w:r>
      <w:r w:rsidRPr="00C80045">
        <w:rPr>
          <w:iCs/>
          <w:sz w:val="22"/>
        </w:rPr>
        <w:t>istraživanje i razvoj</w:t>
      </w:r>
      <w:r>
        <w:rPr>
          <w:iCs/>
          <w:sz w:val="22"/>
        </w:rPr>
        <w:t xml:space="preserve"> u BDP-u,</w:t>
      </w:r>
    </w:p>
    <w:p w:rsidR="00C923F3" w:rsidRPr="00C80045" w:rsidRDefault="00C923F3" w:rsidP="00C923F3">
      <w:pPr>
        <w:numPr>
          <w:ilvl w:val="1"/>
          <w:numId w:val="205"/>
        </w:numPr>
        <w:rPr>
          <w:iCs/>
          <w:sz w:val="22"/>
        </w:rPr>
      </w:pPr>
      <w:r>
        <w:rPr>
          <w:iCs/>
          <w:sz w:val="22"/>
        </w:rPr>
        <w:t>investicije</w:t>
      </w:r>
      <w:r w:rsidRPr="00C80045">
        <w:rPr>
          <w:iCs/>
          <w:sz w:val="22"/>
        </w:rPr>
        <w:t xml:space="preserve"> u fiksni kapital.  </w:t>
      </w:r>
    </w:p>
    <w:p w:rsidR="00C923F3" w:rsidRDefault="00C923F3" w:rsidP="00C923F3">
      <w:pPr>
        <w:rPr>
          <w:iCs/>
          <w:sz w:val="22"/>
        </w:rPr>
      </w:pPr>
    </w:p>
    <w:p w:rsidR="00C923F3" w:rsidRDefault="00C923F3" w:rsidP="00C923F3">
      <w:pPr>
        <w:numPr>
          <w:ilvl w:val="0"/>
          <w:numId w:val="204"/>
        </w:numPr>
        <w:rPr>
          <w:iCs/>
          <w:sz w:val="22"/>
        </w:rPr>
      </w:pPr>
      <w:r w:rsidRPr="00C80045">
        <w:rPr>
          <w:iCs/>
          <w:sz w:val="22"/>
        </w:rPr>
        <w:t>Strateški ciljevi indust</w:t>
      </w:r>
      <w:r>
        <w:rPr>
          <w:iCs/>
          <w:sz w:val="22"/>
        </w:rPr>
        <w:t>rije za razdoblje 2014. – 2020. prikazat će se</w:t>
      </w:r>
      <w:r w:rsidRPr="00C80045">
        <w:rPr>
          <w:iCs/>
          <w:sz w:val="22"/>
        </w:rPr>
        <w:t xml:space="preserve"> upravo kroz sustav spomenutih pokazatelja, a i sve operativne mj</w:t>
      </w:r>
      <w:r>
        <w:rPr>
          <w:iCs/>
          <w:sz w:val="22"/>
        </w:rPr>
        <w:t>ere industrijske strategije bit</w:t>
      </w:r>
      <w:r w:rsidRPr="00C80045">
        <w:rPr>
          <w:iCs/>
          <w:sz w:val="22"/>
        </w:rPr>
        <w:t xml:space="preserve"> će usmjerene na ostvarivanje ciljanih veličina </w:t>
      </w:r>
      <w:r>
        <w:rPr>
          <w:iCs/>
          <w:sz w:val="22"/>
        </w:rPr>
        <w:t>odabranih</w:t>
      </w:r>
      <w:r w:rsidRPr="00C80045">
        <w:rPr>
          <w:iCs/>
          <w:sz w:val="22"/>
        </w:rPr>
        <w:t xml:space="preserve"> pokazatelja.</w:t>
      </w:r>
    </w:p>
    <w:p w:rsidR="00C923F3" w:rsidRPr="00C80045" w:rsidRDefault="00C923F3" w:rsidP="00C923F3">
      <w:pPr>
        <w:rPr>
          <w:iCs/>
          <w:sz w:val="22"/>
        </w:rPr>
      </w:pPr>
    </w:p>
    <w:p w:rsidR="00C923F3" w:rsidRPr="00C80045" w:rsidRDefault="00C923F3" w:rsidP="00C923F3">
      <w:pPr>
        <w:numPr>
          <w:ilvl w:val="0"/>
          <w:numId w:val="205"/>
        </w:numPr>
        <w:rPr>
          <w:iCs/>
          <w:sz w:val="22"/>
        </w:rPr>
      </w:pPr>
      <w:r w:rsidRPr="00C80045">
        <w:rPr>
          <w:b/>
          <w:iCs/>
          <w:sz w:val="22"/>
        </w:rPr>
        <w:t>Mjere koje su u uskoj vezi s definiranim pokazateljima su</w:t>
      </w:r>
      <w:r>
        <w:rPr>
          <w:b/>
          <w:iCs/>
          <w:sz w:val="22"/>
        </w:rPr>
        <w:t xml:space="preserve"> sljedeće</w:t>
      </w:r>
      <w:r w:rsidRPr="00C80045">
        <w:rPr>
          <w:iCs/>
          <w:sz w:val="22"/>
        </w:rPr>
        <w:t>:</w:t>
      </w:r>
    </w:p>
    <w:p w:rsidR="00C923F3" w:rsidRPr="00C80045" w:rsidRDefault="00C923F3" w:rsidP="00C923F3">
      <w:pPr>
        <w:numPr>
          <w:ilvl w:val="1"/>
          <w:numId w:val="205"/>
        </w:numPr>
        <w:rPr>
          <w:iCs/>
          <w:sz w:val="22"/>
        </w:rPr>
      </w:pPr>
      <w:r w:rsidRPr="00C80045">
        <w:rPr>
          <w:iCs/>
          <w:sz w:val="22"/>
        </w:rPr>
        <w:t>povećanje udjela visokoobrazovane radne snage u ukupnom</w:t>
      </w:r>
      <w:r>
        <w:rPr>
          <w:iCs/>
          <w:sz w:val="22"/>
        </w:rPr>
        <w:t>e</w:t>
      </w:r>
      <w:r w:rsidRPr="00C80045">
        <w:rPr>
          <w:iCs/>
          <w:sz w:val="22"/>
        </w:rPr>
        <w:t xml:space="preserve"> broju zaposlenih u industriji kako bi se postigla veća produktivnost domaće industrije</w:t>
      </w:r>
      <w:r>
        <w:rPr>
          <w:iCs/>
          <w:sz w:val="22"/>
        </w:rPr>
        <w:t>;</w:t>
      </w:r>
    </w:p>
    <w:p w:rsidR="00C923F3" w:rsidRPr="00C80045" w:rsidRDefault="00C923F3" w:rsidP="00C923F3">
      <w:pPr>
        <w:numPr>
          <w:ilvl w:val="1"/>
          <w:numId w:val="205"/>
        </w:numPr>
        <w:rPr>
          <w:iCs/>
          <w:sz w:val="22"/>
        </w:rPr>
      </w:pPr>
      <w:r w:rsidRPr="00C80045">
        <w:rPr>
          <w:iCs/>
          <w:sz w:val="22"/>
        </w:rPr>
        <w:t>povećanje ulaganja u istraživanje i razvoj</w:t>
      </w:r>
      <w:r>
        <w:rPr>
          <w:iCs/>
          <w:sz w:val="22"/>
        </w:rPr>
        <w:t xml:space="preserve"> </w:t>
      </w:r>
      <w:r w:rsidRPr="00C80045">
        <w:rPr>
          <w:iCs/>
          <w:sz w:val="22"/>
        </w:rPr>
        <w:t xml:space="preserve">što je općeprihvaćeno </w:t>
      </w:r>
      <w:r>
        <w:rPr>
          <w:iCs/>
          <w:sz w:val="22"/>
        </w:rPr>
        <w:t xml:space="preserve">tako </w:t>
      </w:r>
      <w:r w:rsidRPr="00C80045">
        <w:rPr>
          <w:iCs/>
          <w:sz w:val="22"/>
        </w:rPr>
        <w:t>da pridonosi inovativnosti</w:t>
      </w:r>
      <w:r>
        <w:rPr>
          <w:rStyle w:val="FootnoteReference"/>
          <w:iCs/>
          <w:sz w:val="22"/>
        </w:rPr>
        <w:footnoteReference w:id="18"/>
      </w:r>
      <w:r>
        <w:rPr>
          <w:iCs/>
          <w:sz w:val="22"/>
        </w:rPr>
        <w:t>;</w:t>
      </w:r>
    </w:p>
    <w:p w:rsidR="0050036B" w:rsidRPr="004E6412" w:rsidRDefault="00C923F3" w:rsidP="00C923F3">
      <w:pPr>
        <w:numPr>
          <w:ilvl w:val="1"/>
          <w:numId w:val="205"/>
        </w:numPr>
        <w:rPr>
          <w:iCs/>
          <w:sz w:val="22"/>
        </w:rPr>
      </w:pPr>
      <w:r w:rsidRPr="00C80045">
        <w:rPr>
          <w:iCs/>
          <w:sz w:val="22"/>
        </w:rPr>
        <w:lastRenderedPageBreak/>
        <w:t xml:space="preserve">povećanje investicija u fiksni kapital koje trebaju pratiti nova zapošljavanja i </w:t>
      </w:r>
      <w:r w:rsidRPr="00F92DFD">
        <w:rPr>
          <w:iCs/>
          <w:sz w:val="22"/>
        </w:rPr>
        <w:t xml:space="preserve">povećanja opremljenosti rada kapitalom te amortizaciju postojećih investicija. </w:t>
      </w:r>
      <w:r w:rsidR="0050036B" w:rsidRPr="004E6412">
        <w:rPr>
          <w:iCs/>
          <w:sz w:val="22"/>
        </w:rPr>
        <w:t xml:space="preserve"> </w:t>
      </w:r>
    </w:p>
    <w:p w:rsidR="0050036B" w:rsidRPr="004E6412" w:rsidRDefault="0050036B" w:rsidP="0050036B">
      <w:pPr>
        <w:rPr>
          <w:iCs/>
          <w:sz w:val="22"/>
        </w:rPr>
      </w:pPr>
    </w:p>
    <w:p w:rsidR="0050036B" w:rsidRPr="004E6412" w:rsidRDefault="00C923F3" w:rsidP="0050036B">
      <w:pPr>
        <w:numPr>
          <w:ilvl w:val="0"/>
          <w:numId w:val="205"/>
        </w:numPr>
        <w:rPr>
          <w:iCs/>
          <w:sz w:val="22"/>
        </w:rPr>
      </w:pPr>
      <w:r>
        <w:rPr>
          <w:iCs/>
          <w:sz w:val="22"/>
        </w:rPr>
        <w:t>Kod odabira ključnih pokazatelja i povezanih mjera, prevladavao je logički slijed prikazan na</w:t>
      </w:r>
      <w:r w:rsidR="0050036B" w:rsidRPr="004E6412">
        <w:rPr>
          <w:iCs/>
          <w:sz w:val="22"/>
        </w:rPr>
        <w:t xml:space="preserve"> Slici 25.</w:t>
      </w: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pStyle w:val="Subtitle"/>
        <w:rPr>
          <w:lang w:val="hr-HR" w:eastAsia="hr-HR"/>
        </w:rPr>
      </w:pPr>
      <w:bookmarkStart w:id="1124" w:name="_Toc377635349"/>
      <w:r w:rsidRPr="004E6412">
        <w:rPr>
          <w:lang w:val="hr-HR" w:eastAsia="hr-HR"/>
        </w:rPr>
        <w:t>Slika 25. Odrednice industrijskoga rasta</w:t>
      </w:r>
      <w:bookmarkEnd w:id="1124"/>
    </w:p>
    <w:p w:rsidR="0050036B" w:rsidRPr="004E6412" w:rsidRDefault="0050036B" w:rsidP="0050036B">
      <w:pPr>
        <w:rPr>
          <w:iCs/>
          <w:sz w:val="22"/>
          <w:lang w:eastAsia="hr-HR"/>
        </w:rPr>
      </w:pPr>
    </w:p>
    <w:p w:rsidR="0050036B" w:rsidRPr="004E6412" w:rsidRDefault="00294426" w:rsidP="0050036B">
      <w:pPr>
        <w:rPr>
          <w:iCs/>
          <w:sz w:val="22"/>
          <w:lang w:eastAsia="hr-HR"/>
        </w:rPr>
      </w:pPr>
      <w:r>
        <w:rPr>
          <w:iCs/>
          <w:noProof/>
          <w:sz w:val="22"/>
          <w:lang w:eastAsia="hr-HR"/>
        </w:rPr>
        <mc:AlternateContent>
          <mc:Choice Requires="wpg">
            <w:drawing>
              <wp:anchor distT="0" distB="0" distL="114300" distR="114300" simplePos="0" relativeHeight="251684352" behindDoc="0" locked="0" layoutInCell="1" allowOverlap="1">
                <wp:simplePos x="0" y="0"/>
                <wp:positionH relativeFrom="column">
                  <wp:posOffset>109220</wp:posOffset>
                </wp:positionH>
                <wp:positionV relativeFrom="paragraph">
                  <wp:posOffset>-2540</wp:posOffset>
                </wp:positionV>
                <wp:extent cx="5603875" cy="3001645"/>
                <wp:effectExtent l="8890" t="6350" r="83185" b="78105"/>
                <wp:wrapNone/>
                <wp:docPr id="13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875" cy="3001645"/>
                          <a:chOff x="1589" y="3740"/>
                          <a:chExt cx="8825" cy="4727"/>
                        </a:xfrm>
                      </wpg:grpSpPr>
                      <wpg:grpSp>
                        <wpg:cNvPr id="136" name="Group 41"/>
                        <wpg:cNvGrpSpPr>
                          <a:grpSpLocks/>
                        </wpg:cNvGrpSpPr>
                        <wpg:grpSpPr bwMode="auto">
                          <a:xfrm>
                            <a:off x="1589" y="3740"/>
                            <a:ext cx="8825" cy="4727"/>
                            <a:chOff x="1589" y="2868"/>
                            <a:chExt cx="8825" cy="4727"/>
                          </a:xfrm>
                        </wpg:grpSpPr>
                        <wps:wsp>
                          <wps:cNvPr id="137" name="AutoShape 42"/>
                          <wps:cNvSpPr>
                            <a:spLocks noChangeArrowheads="1"/>
                          </wps:cNvSpPr>
                          <wps:spPr bwMode="auto">
                            <a:xfrm>
                              <a:off x="1647" y="2868"/>
                              <a:ext cx="2039" cy="744"/>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left"/>
                                  <w:rPr>
                                    <w:sz w:val="20"/>
                                    <w:szCs w:val="20"/>
                                  </w:rPr>
                                </w:pPr>
                                <w:r>
                                  <w:rPr>
                                    <w:sz w:val="20"/>
                                    <w:szCs w:val="20"/>
                                  </w:rPr>
                                  <w:t>Povećati zaposlenost</w:t>
                                </w:r>
                              </w:p>
                            </w:txbxContent>
                          </wps:txbx>
                          <wps:bodyPr rot="0" vert="horz" wrap="square" lIns="91440" tIns="45720" rIns="91440" bIns="45720" anchor="t" anchorCtr="0" upright="1">
                            <a:noAutofit/>
                          </wps:bodyPr>
                        </wps:wsp>
                        <wps:wsp>
                          <wps:cNvPr id="138" name="AutoShape 43"/>
                          <wps:cNvSpPr>
                            <a:spLocks noChangeArrowheads="1"/>
                          </wps:cNvSpPr>
                          <wps:spPr bwMode="auto">
                            <a:xfrm>
                              <a:off x="4353" y="5115"/>
                              <a:ext cx="1879"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center"/>
                                  <w:rPr>
                                    <w:sz w:val="20"/>
                                    <w:szCs w:val="20"/>
                                  </w:rPr>
                                </w:pPr>
                                <w:r w:rsidRPr="00F51C04">
                                  <w:rPr>
                                    <w:sz w:val="20"/>
                                    <w:szCs w:val="20"/>
                                  </w:rPr>
                                  <w:t xml:space="preserve">Povećanje </w:t>
                                </w:r>
                                <w:r>
                                  <w:rPr>
                                    <w:sz w:val="20"/>
                                    <w:szCs w:val="20"/>
                                  </w:rPr>
                                  <w:t>izvoza</w:t>
                                </w:r>
                              </w:p>
                            </w:txbxContent>
                          </wps:txbx>
                          <wps:bodyPr rot="0" vert="horz" wrap="square" lIns="91440" tIns="45720" rIns="91440" bIns="45720" anchor="t" anchorCtr="0" upright="1">
                            <a:noAutofit/>
                          </wps:bodyPr>
                        </wps:wsp>
                        <wps:wsp>
                          <wps:cNvPr id="139" name="AutoShape 44"/>
                          <wps:cNvSpPr>
                            <a:spLocks noChangeArrowheads="1"/>
                          </wps:cNvSpPr>
                          <wps:spPr bwMode="auto">
                            <a:xfrm>
                              <a:off x="4353" y="3861"/>
                              <a:ext cx="1879"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center"/>
                                  <w:rPr>
                                    <w:sz w:val="20"/>
                                    <w:szCs w:val="20"/>
                                  </w:rPr>
                                </w:pPr>
                                <w:r w:rsidRPr="00F51C04">
                                  <w:rPr>
                                    <w:sz w:val="20"/>
                                    <w:szCs w:val="20"/>
                                  </w:rPr>
                                  <w:t>Povećanje produktivnosti</w:t>
                                </w:r>
                              </w:p>
                            </w:txbxContent>
                          </wps:txbx>
                          <wps:bodyPr rot="0" vert="horz" wrap="square" lIns="91440" tIns="45720" rIns="91440" bIns="45720" anchor="t" anchorCtr="0" upright="1">
                            <a:noAutofit/>
                          </wps:bodyPr>
                        </wps:wsp>
                        <wps:wsp>
                          <wps:cNvPr id="140" name="AutoShape 45"/>
                          <wps:cNvSpPr>
                            <a:spLocks noChangeArrowheads="1"/>
                          </wps:cNvSpPr>
                          <wps:spPr bwMode="auto">
                            <a:xfrm>
                              <a:off x="1589" y="4032"/>
                              <a:ext cx="2097" cy="1182"/>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left"/>
                                  <w:rPr>
                                    <w:sz w:val="20"/>
                                    <w:szCs w:val="20"/>
                                  </w:rPr>
                                </w:pPr>
                                <w:r>
                                  <w:rPr>
                                    <w:sz w:val="20"/>
                                    <w:szCs w:val="20"/>
                                  </w:rPr>
                                  <w:t>Povećati udio visokoobrazovanih u ukupnom broju zaposlenih</w:t>
                                </w:r>
                              </w:p>
                            </w:txbxContent>
                          </wps:txbx>
                          <wps:bodyPr rot="0" vert="horz" wrap="square" lIns="91440" tIns="45720" rIns="91440" bIns="45720" anchor="t" anchorCtr="0" upright="1">
                            <a:noAutofit/>
                          </wps:bodyPr>
                        </wps:wsp>
                        <wps:wsp>
                          <wps:cNvPr id="141" name="AutoShape 46"/>
                          <wps:cNvCnPr>
                            <a:cxnSpLocks noChangeShapeType="1"/>
                          </wps:cNvCnPr>
                          <wps:spPr bwMode="auto">
                            <a:xfrm>
                              <a:off x="3974" y="3260"/>
                              <a:ext cx="1" cy="3928"/>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2" name="AutoShape 47"/>
                          <wps:cNvCnPr>
                            <a:cxnSpLocks noChangeShapeType="1"/>
                          </wps:cNvCnPr>
                          <wps:spPr bwMode="auto">
                            <a:xfrm flipH="1">
                              <a:off x="3686" y="3260"/>
                              <a:ext cx="288" cy="1"/>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3" name="AutoShape 48"/>
                          <wps:cNvCnPr>
                            <a:cxnSpLocks noChangeShapeType="1"/>
                          </wps:cNvCnPr>
                          <wps:spPr bwMode="auto">
                            <a:xfrm>
                              <a:off x="3975" y="4244"/>
                              <a:ext cx="378"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4" name="AutoShape 49"/>
                          <wps:cNvCnPr>
                            <a:cxnSpLocks noChangeShapeType="1"/>
                          </wps:cNvCnPr>
                          <wps:spPr bwMode="auto">
                            <a:xfrm>
                              <a:off x="3975" y="5495"/>
                              <a:ext cx="378"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5" name="AutoShape 50"/>
                          <wps:cNvSpPr>
                            <a:spLocks noChangeArrowheads="1"/>
                          </wps:cNvSpPr>
                          <wps:spPr bwMode="auto">
                            <a:xfrm>
                              <a:off x="1589" y="5610"/>
                              <a:ext cx="2028"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left"/>
                                  <w:rPr>
                                    <w:sz w:val="20"/>
                                    <w:szCs w:val="20"/>
                                  </w:rPr>
                                </w:pPr>
                                <w:r>
                                  <w:rPr>
                                    <w:sz w:val="20"/>
                                    <w:szCs w:val="20"/>
                                  </w:rPr>
                                  <w:t>K</w:t>
                                </w:r>
                                <w:r w:rsidRPr="00F51C04">
                                  <w:rPr>
                                    <w:sz w:val="20"/>
                                    <w:szCs w:val="20"/>
                                  </w:rPr>
                                  <w:t>apitalno opremiti novozaposlene</w:t>
                                </w:r>
                              </w:p>
                            </w:txbxContent>
                          </wps:txbx>
                          <wps:bodyPr rot="0" vert="horz" wrap="square" lIns="91440" tIns="45720" rIns="91440" bIns="45720" anchor="t" anchorCtr="0" upright="1">
                            <a:noAutofit/>
                          </wps:bodyPr>
                        </wps:wsp>
                        <wps:wsp>
                          <wps:cNvPr id="146" name="AutoShape 51"/>
                          <wps:cNvCnPr>
                            <a:cxnSpLocks noChangeShapeType="1"/>
                          </wps:cNvCnPr>
                          <wps:spPr bwMode="auto">
                            <a:xfrm>
                              <a:off x="3617" y="6036"/>
                              <a:ext cx="357"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7" name="AutoShape 52"/>
                          <wps:cNvSpPr>
                            <a:spLocks noChangeArrowheads="1"/>
                          </wps:cNvSpPr>
                          <wps:spPr bwMode="auto">
                            <a:xfrm>
                              <a:off x="1647" y="6812"/>
                              <a:ext cx="1970"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left"/>
                                  <w:rPr>
                                    <w:sz w:val="20"/>
                                    <w:szCs w:val="20"/>
                                  </w:rPr>
                                </w:pPr>
                                <w:r>
                                  <w:rPr>
                                    <w:sz w:val="20"/>
                                    <w:szCs w:val="20"/>
                                  </w:rPr>
                                  <w:t>Investirati u istraživanje i razvoj</w:t>
                                </w:r>
                              </w:p>
                            </w:txbxContent>
                          </wps:txbx>
                          <wps:bodyPr rot="0" vert="horz" wrap="square" lIns="91440" tIns="45720" rIns="91440" bIns="45720" anchor="t" anchorCtr="0" upright="1">
                            <a:noAutofit/>
                          </wps:bodyPr>
                        </wps:wsp>
                        <wps:wsp>
                          <wps:cNvPr id="149" name="AutoShape 53"/>
                          <wps:cNvCnPr>
                            <a:cxnSpLocks noChangeShapeType="1"/>
                          </wps:cNvCnPr>
                          <wps:spPr bwMode="auto">
                            <a:xfrm flipH="1">
                              <a:off x="3617" y="7188"/>
                              <a:ext cx="357"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0" name="AutoShape 54"/>
                          <wps:cNvSpPr>
                            <a:spLocks noChangeArrowheads="1"/>
                          </wps:cNvSpPr>
                          <wps:spPr bwMode="auto">
                            <a:xfrm>
                              <a:off x="6758" y="4516"/>
                              <a:ext cx="1652"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center"/>
                                  <w:rPr>
                                    <w:sz w:val="20"/>
                                    <w:szCs w:val="20"/>
                                  </w:rPr>
                                </w:pPr>
                                <w:r w:rsidRPr="00F51C04">
                                  <w:rPr>
                                    <w:sz w:val="20"/>
                                    <w:szCs w:val="20"/>
                                  </w:rPr>
                                  <w:t xml:space="preserve">Povećanje </w:t>
                                </w:r>
                                <w:r>
                                  <w:rPr>
                                    <w:sz w:val="20"/>
                                    <w:szCs w:val="20"/>
                                  </w:rPr>
                                  <w:t>BDV-a</w:t>
                                </w:r>
                              </w:p>
                            </w:txbxContent>
                          </wps:txbx>
                          <wps:bodyPr rot="0" vert="horz" wrap="square" lIns="91440" tIns="45720" rIns="91440" bIns="45720" anchor="t" anchorCtr="0" upright="1">
                            <a:noAutofit/>
                          </wps:bodyPr>
                        </wps:wsp>
                        <wps:wsp>
                          <wps:cNvPr id="151" name="AutoShape 55"/>
                          <wps:cNvSpPr>
                            <a:spLocks noChangeArrowheads="1"/>
                          </wps:cNvSpPr>
                          <wps:spPr bwMode="auto">
                            <a:xfrm>
                              <a:off x="8763" y="4516"/>
                              <a:ext cx="1651" cy="783"/>
                            </a:xfrm>
                            <a:prstGeom prst="roundRect">
                              <a:avLst>
                                <a:gd name="adj" fmla="val 16667"/>
                              </a:avLst>
                            </a:prstGeom>
                            <a:solidFill>
                              <a:schemeClr val="bg1">
                                <a:lumMod val="100000"/>
                                <a:lumOff val="0"/>
                              </a:schemeClr>
                            </a:solidFill>
                            <a:ln w="9525">
                              <a:solidFill>
                                <a:srgbClr val="000000"/>
                              </a:solidFill>
                              <a:round/>
                              <a:headEnd/>
                              <a:tailEnd/>
                            </a:ln>
                            <a:effectLst>
                              <a:outerShdw dist="107763" dir="2700000" algn="ctr" rotWithShape="0">
                                <a:srgbClr val="808080">
                                  <a:alpha val="50000"/>
                                </a:srgbClr>
                              </a:outerShdw>
                            </a:effectLst>
                          </wps:spPr>
                          <wps:txbx>
                            <w:txbxContent>
                              <w:p w:rsidR="00683AF5" w:rsidRPr="00F51C04" w:rsidRDefault="00683AF5" w:rsidP="0050036B">
                                <w:pPr>
                                  <w:spacing w:line="240" w:lineRule="auto"/>
                                  <w:jc w:val="center"/>
                                  <w:rPr>
                                    <w:sz w:val="20"/>
                                    <w:szCs w:val="20"/>
                                  </w:rPr>
                                </w:pPr>
                                <w:r>
                                  <w:rPr>
                                    <w:sz w:val="20"/>
                                    <w:szCs w:val="20"/>
                                  </w:rPr>
                                  <w:t xml:space="preserve">Industrijski rast </w:t>
                                </w:r>
                              </w:p>
                            </w:txbxContent>
                          </wps:txbx>
                          <wps:bodyPr rot="0" vert="horz" wrap="square" lIns="91440" tIns="45720" rIns="91440" bIns="45720" anchor="t" anchorCtr="0" upright="1">
                            <a:noAutofit/>
                          </wps:bodyPr>
                        </wps:wsp>
                        <wps:wsp>
                          <wps:cNvPr id="152" name="AutoShape 56"/>
                          <wps:cNvCnPr>
                            <a:cxnSpLocks noChangeShapeType="1"/>
                          </wps:cNvCnPr>
                          <wps:spPr bwMode="auto">
                            <a:xfrm flipH="1">
                              <a:off x="3686" y="4644"/>
                              <a:ext cx="288"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3" name="AutoShape 57"/>
                          <wps:cNvCnPr>
                            <a:cxnSpLocks noChangeShapeType="1"/>
                          </wps:cNvCnPr>
                          <wps:spPr bwMode="auto">
                            <a:xfrm>
                              <a:off x="6232" y="4244"/>
                              <a:ext cx="162"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4" name="AutoShape 58"/>
                          <wps:cNvCnPr>
                            <a:cxnSpLocks noChangeShapeType="1"/>
                          </wps:cNvCnPr>
                          <wps:spPr bwMode="auto">
                            <a:xfrm>
                              <a:off x="6394" y="4244"/>
                              <a:ext cx="0" cy="1251"/>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5" name="AutoShape 59"/>
                          <wps:cNvCnPr>
                            <a:cxnSpLocks noChangeShapeType="1"/>
                          </wps:cNvCnPr>
                          <wps:spPr bwMode="auto">
                            <a:xfrm flipH="1">
                              <a:off x="6232" y="5495"/>
                              <a:ext cx="162"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6" name="AutoShape 60"/>
                          <wps:cNvCnPr>
                            <a:cxnSpLocks noChangeShapeType="1"/>
                          </wps:cNvCnPr>
                          <wps:spPr bwMode="auto">
                            <a:xfrm flipV="1">
                              <a:off x="6394" y="4919"/>
                              <a:ext cx="364" cy="12"/>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7" name="AutoShape 61"/>
                          <wps:cNvCnPr>
                            <a:cxnSpLocks noChangeShapeType="1"/>
                          </wps:cNvCnPr>
                          <wps:spPr bwMode="auto">
                            <a:xfrm>
                              <a:off x="8410" y="4919"/>
                              <a:ext cx="353" cy="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158" name="AutoShape 136"/>
                        <wps:cNvCnPr>
                          <a:cxnSpLocks noChangeShapeType="1"/>
                        </wps:cNvCnPr>
                        <wps:spPr bwMode="auto">
                          <a:xfrm flipV="1">
                            <a:off x="5276" y="5516"/>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96" style="position:absolute;left:0;text-align:left;margin-left:8.6pt;margin-top:-.2pt;width:441.25pt;height:236.35pt;z-index:251684352" coordorigin="1589,3740" coordsize="882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">
                <v:group id="Group 41" o:spid="_x0000_s1097" style="position:absolute;left:1589;top:3740;width:8825;height:4727" coordorigin="1589,2868" coordsize="8825,4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oundrect id="AutoShape 42" o:spid="_x0000_s1098" style="position:absolute;left:1647;top:2868;width:2039;height: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K8MA&#10;AADcAAAADwAAAGRycy9kb3ducmV2LnhtbERPzWrCQBC+F/oOyxR6qxsrtiV1ldIiVKEHtQ8wZMds&#10;NDsbs6PGPL0rFHqbj+93JrPO1+pEbawCGxgOMlDERbAVlwZ+N/OnN1BRkC3WgcnAhSLMpvd3E8xt&#10;OPOKTmspVQrhmKMBJ9LkWsfCkcc4CA1x4rah9SgJtqW2LZ5TuK/1c5a9aI8VpwaHDX06Kvbrozdw&#10;2Je99PbwI1/WjReb5W60db0xjw/dxzsooU7+xX/ub5vmj17h9k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pK8MAAADcAAAADwAAAAAAAAAAAAAAAACYAgAAZHJzL2Rv&#10;d25yZXYueG1sUEsFBgAAAAAEAAQA9QAAAIgDAAAAAA==&#10;" fillcolor="white [3212]">
                    <v:shadow on="t" opacity=".5" offset="6pt,6pt"/>
                    <v:textbox>
                      <w:txbxContent>
                        <w:p w:rsidR="00683AF5" w:rsidRPr="00F51C04" w:rsidRDefault="00683AF5" w:rsidP="0050036B">
                          <w:pPr>
                            <w:spacing w:line="240" w:lineRule="auto"/>
                            <w:jc w:val="left"/>
                            <w:rPr>
                              <w:sz w:val="20"/>
                              <w:szCs w:val="20"/>
                            </w:rPr>
                          </w:pPr>
                          <w:r>
                            <w:rPr>
                              <w:sz w:val="20"/>
                              <w:szCs w:val="20"/>
                            </w:rPr>
                            <w:t>Povećati zaposlenost</w:t>
                          </w:r>
                        </w:p>
                      </w:txbxContent>
                    </v:textbox>
                  </v:roundrect>
                  <v:roundrect id="AutoShape 43" o:spid="_x0000_s1099" style="position:absolute;left:4353;top:5115;width:18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9WcUA&#10;AADcAAAADwAAAGRycy9kb3ducmV2LnhtbESPQUsDQQyF74L/YUjBm52tRSnbTosoggoebPsDwk66&#10;s3Yns92J7bq/3hwEbwnv5b0vq80QW3OmPjeJHcymBRjiKvmGawf73cvtAkwWZI9tYnLwQxk26+ur&#10;FZY+XfiTzlupjYZwLtFBEOlKa3MVKGKepo5YtUPqI4qufW19jxcNj629K4oHG7FhbQjY0VOg6rj9&#10;jg5Ox3qU0Z8+5NmH+7fd+9f8EEbnbibD4xKM0CD/5r/rV6/4c6XV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P1ZxQAAANwAAAAPAAAAAAAAAAAAAAAAAJgCAABkcnMv&#10;ZG93bnJldi54bWxQSwUGAAAAAAQABAD1AAAAigMAAAAA&#10;" fillcolor="white [3212]">
                    <v:shadow on="t" opacity=".5" offset="6pt,6pt"/>
                    <v:textbox>
                      <w:txbxContent>
                        <w:p w:rsidR="00683AF5" w:rsidRPr="00F51C04" w:rsidRDefault="00683AF5" w:rsidP="0050036B">
                          <w:pPr>
                            <w:spacing w:line="240" w:lineRule="auto"/>
                            <w:jc w:val="center"/>
                            <w:rPr>
                              <w:sz w:val="20"/>
                              <w:szCs w:val="20"/>
                            </w:rPr>
                          </w:pPr>
                          <w:r w:rsidRPr="00F51C04">
                            <w:rPr>
                              <w:sz w:val="20"/>
                              <w:szCs w:val="20"/>
                            </w:rPr>
                            <w:t xml:space="preserve">Povećanje </w:t>
                          </w:r>
                          <w:r>
                            <w:rPr>
                              <w:sz w:val="20"/>
                              <w:szCs w:val="20"/>
                            </w:rPr>
                            <w:t>izvoza</w:t>
                          </w:r>
                        </w:p>
                      </w:txbxContent>
                    </v:textbox>
                  </v:roundrect>
                  <v:roundrect id="AutoShape 44" o:spid="_x0000_s1100" style="position:absolute;left:4353;top:3861;width:18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YwsMA&#10;AADcAAAADwAAAGRycy9kb3ducmV2LnhtbERPzWrCQBC+F/oOyxR6qxsrljZ1ldIiVKEHtQ8wZMds&#10;NDsbs6PGPL0rFHqbj+93JrPO1+pEbawCGxgOMlDERbAVlwZ+N/OnV1BRkC3WgcnAhSLMpvd3E8xt&#10;OPOKTmspVQrhmKMBJ9LkWsfCkcc4CA1x4rah9SgJtqW2LZ5TuK/1c5a9aI8VpwaHDX06Kvbrozdw&#10;2Je99PbwI1/WjReb5W60db0xjw/dxzsooU7+xX/ub5vmj97g9k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YwsMAAADcAAAADwAAAAAAAAAAAAAAAACYAgAAZHJzL2Rv&#10;d25yZXYueG1sUEsFBgAAAAAEAAQA9QAAAIgDAAAAAA==&#10;" fillcolor="white [3212]">
                    <v:shadow on="t" opacity=".5" offset="6pt,6pt"/>
                    <v:textbox>
                      <w:txbxContent>
                        <w:p w:rsidR="00683AF5" w:rsidRPr="00F51C04" w:rsidRDefault="00683AF5" w:rsidP="0050036B">
                          <w:pPr>
                            <w:spacing w:line="240" w:lineRule="auto"/>
                            <w:jc w:val="center"/>
                            <w:rPr>
                              <w:sz w:val="20"/>
                              <w:szCs w:val="20"/>
                            </w:rPr>
                          </w:pPr>
                          <w:r w:rsidRPr="00F51C04">
                            <w:rPr>
                              <w:sz w:val="20"/>
                              <w:szCs w:val="20"/>
                            </w:rPr>
                            <w:t>Povećanje produktivnosti</w:t>
                          </w:r>
                        </w:p>
                      </w:txbxContent>
                    </v:textbox>
                  </v:roundrect>
                  <v:roundrect id="AutoShape 45" o:spid="_x0000_s1101" style="position:absolute;left:1589;top:4032;width:2097;height:1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CIsUA&#10;AADcAAAADwAAAGRycy9kb3ducmV2LnhtbESPzU7DQAyE70h9h5UrcaMbfoVCt1VVhARIHNryAFbW&#10;zYZmvWnWtCFPjw9I3GzNeObzfDnE1pyoz01iB9ezAgxxlXzDtYPP3cvVI5gsyB7bxOTghzIsF5OL&#10;OZY+nXlDp63URkM4l+ggiHSltbkKFDHPUkes2j71EUXXvra+x7OGx9beFMWDjdiwNgTsaB2oOmy/&#10;o4PjoR5l9McPefbh/m33/nW7D6Nzl9Nh9QRGaJB/89/1q1f8O8XXZ3QC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IixQAAANwAAAAPAAAAAAAAAAAAAAAAAJgCAABkcnMv&#10;ZG93bnJldi54bWxQSwUGAAAAAAQABAD1AAAAigMAAAAA&#10;" fillcolor="white [3212]">
                    <v:shadow on="t" opacity=".5" offset="6pt,6pt"/>
                    <v:textbox>
                      <w:txbxContent>
                        <w:p w:rsidR="00683AF5" w:rsidRPr="00F51C04" w:rsidRDefault="00683AF5" w:rsidP="0050036B">
                          <w:pPr>
                            <w:spacing w:line="240" w:lineRule="auto"/>
                            <w:jc w:val="left"/>
                            <w:rPr>
                              <w:sz w:val="20"/>
                              <w:szCs w:val="20"/>
                            </w:rPr>
                          </w:pPr>
                          <w:r>
                            <w:rPr>
                              <w:sz w:val="20"/>
                              <w:szCs w:val="20"/>
                            </w:rPr>
                            <w:t>Povećati udio visokoobrazovanih u ukupnom broju zaposlenih</w:t>
                          </w:r>
                        </w:p>
                      </w:txbxContent>
                    </v:textbox>
                  </v:roundrect>
                  <v:shape id="AutoShape 46" o:spid="_x0000_s1102" type="#_x0000_t32" style="position:absolute;left:3974;top:3260;width:1;height:3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v2cMAAADcAAAADwAAAGRycy9kb3ducmV2LnhtbERP32vCMBB+H+x/CCfszaZ14kY1lilT&#10;hIFgN9gej+Zsi82lJJnW/94MhL3dx/fzFsVgOnEm51vLCrIkBUFcWd1yreDrczN+BeEDssbOMim4&#10;kodi+fiwwFzbCx/oXIZaxBD2OSpoQuhzKX3VkEGf2J44ckfrDIYIXS21w0sMN52cpOlMGmw5NjTY&#10;07qh6lT+GgXpev/c/XzU9uRXs+378P1y1KVT6mk0vM1BBBrCv/ju3uk4f5rB3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5r9nDAAAA3AAAAA8AAAAAAAAAAAAA&#10;AAAAoQIAAGRycy9kb3ducmV2LnhtbFBLBQYAAAAABAAEAPkAAACRAwAAAAA=&#10;">
                    <v:shadow on="t" opacity=".5" offset="6pt,6pt"/>
                  </v:shape>
                  <v:shape id="AutoShape 47" o:spid="_x0000_s1103" type="#_x0000_t32" style="position:absolute;left:3686;top:3260;width:2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XDcMAAADcAAAADwAAAGRycy9kb3ducmV2LnhtbERPTWsCMRC9F/wPYYTearZWqmyNIkJp&#10;9dKtCuJt2Ew3SzeTbRLX9d+bQqG3ebzPmS9724iOfKgdK3gcZSCIS6drrhQc9q8PMxAhImtsHJOC&#10;KwVYLgZ3c8y1u/AndbtYiRTCIUcFJsY2lzKUhiyGkWuJE/flvMWYoK+k9nhJ4baR4yx7lhZrTg0G&#10;W1obKr93Z6vgONX6p346bXx33X68deeiQFModT/sVy8gIvXxX/znftdp/mQM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Vw3DAAAA3AAAAA8AAAAAAAAAAAAA&#10;AAAAoQIAAGRycy9kb3ducmV2LnhtbFBLBQYAAAAABAAEAPkAAACRAwAAAAA=&#10;">
                    <v:shadow on="t" opacity=".5" offset="6pt,6pt"/>
                  </v:shape>
                  <v:shape id="AutoShape 48" o:spid="_x0000_s1104" type="#_x0000_t32" style="position:absolute;left:3975;top:4244;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YWcEAAADcAAAADwAAAGRycy9kb3ducmV2LnhtbERPTYvCMBC9L/gfwgheRFOtiHSNIgui&#10;Hq0ePM42s23XZlKarK3+eiMIe5vH+5zlujOVuFHjSssKJuMIBHFmdcm5gvNpO1qAcB5ZY2WZFNzJ&#10;wXrV+1hiom3LR7qlPhchhF2CCgrv60RKlxVk0I1tTRy4H9sY9AE2udQNtiHcVHIaRXNpsOTQUGBN&#10;XwVl1/TPKJin5ngww6rtFtvLZEfx4xvjX6UG/W7zCcJT5//Fb/deh/mzGF7Ph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BhZwQAAANwAAAAPAAAAAAAAAAAAAAAA&#10;AKECAABkcnMvZG93bnJldi54bWxQSwUGAAAAAAQABAD5AAAAjwMAAAAA&#10;">
                    <v:stroke endarrow="block"/>
                    <v:shadow on="t" opacity=".5" offset="6pt,6pt"/>
                  </v:shape>
                  <v:shape id="AutoShape 49" o:spid="_x0000_s1105" type="#_x0000_t32" style="position:absolute;left:3975;top:5495;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ALcEAAADcAAAADwAAAGRycy9kb3ducmV2LnhtbERPS4vCMBC+C/6HMIIX0dQHItUoIsju&#10;Hq0ePI7N2FabSWmytru/3giCt/n4nrPatKYUD6pdYVnBeBSBIE6tLjhTcDruhwsQziNrLC2Tgj9y&#10;sFl3OyuMtW34QI/EZyKEsItRQe59FUvp0pwMupGtiAN3tbVBH2CdSV1jE8JNKSdRNJcGCw4NOVa0&#10;yym9J79GwTwxhx8zKJt2sT+Pv2j6f8HpTal+r90uQXhq/Uf8dn/rMH82g9cz4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YAtwQAAANwAAAAPAAAAAAAAAAAAAAAA&#10;AKECAABkcnMvZG93bnJldi54bWxQSwUGAAAAAAQABAD5AAAAjwMAAAAA&#10;">
                    <v:stroke endarrow="block"/>
                    <v:shadow on="t" opacity=".5" offset="6pt,6pt"/>
                  </v:shape>
                  <v:roundrect id="AutoShape 50" o:spid="_x0000_s1106" style="position:absolute;left:1589;top:5610;width:2028;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husMA&#10;AADcAAAADwAAAGRycy9kb3ducmV2LnhtbERPzWrCQBC+C32HZQre6sZaS0ldpbQIrdCD2gcYsmM2&#10;mp2N2VHTPL1bKHibj+93ZovO1+pMbawCGxiPMlDERbAVlwZ+tsuHF1BRkC3WgcnAL0VYzO8GM8xt&#10;uPCazhspVQrhmKMBJ9LkWsfCkcc4Cg1x4nah9SgJtqW2LV5SuK/1Y5Y9a48VpwaHDb07Kg6bkzdw&#10;PJS99Pb4LR/WTb+2q/1k53pjhvfd2ysooU5u4n/3p03zn6bw90y6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8husMAAADcAAAADwAAAAAAAAAAAAAAAACYAgAAZHJzL2Rv&#10;d25yZXYueG1sUEsFBgAAAAAEAAQA9QAAAIgDAAAAAA==&#10;" fillcolor="white [3212]">
                    <v:shadow on="t" opacity=".5" offset="6pt,6pt"/>
                    <v:textbox>
                      <w:txbxContent>
                        <w:p w:rsidR="00683AF5" w:rsidRPr="00F51C04" w:rsidRDefault="00683AF5" w:rsidP="0050036B">
                          <w:pPr>
                            <w:spacing w:line="240" w:lineRule="auto"/>
                            <w:jc w:val="left"/>
                            <w:rPr>
                              <w:sz w:val="20"/>
                              <w:szCs w:val="20"/>
                            </w:rPr>
                          </w:pPr>
                          <w:r>
                            <w:rPr>
                              <w:sz w:val="20"/>
                              <w:szCs w:val="20"/>
                            </w:rPr>
                            <w:t>K</w:t>
                          </w:r>
                          <w:r w:rsidRPr="00F51C04">
                            <w:rPr>
                              <w:sz w:val="20"/>
                              <w:szCs w:val="20"/>
                            </w:rPr>
                            <w:t>apitalno opremiti novozaposlene</w:t>
                          </w:r>
                        </w:p>
                      </w:txbxContent>
                    </v:textbox>
                  </v:roundrect>
                  <v:shape id="AutoShape 51" o:spid="_x0000_s1107" type="#_x0000_t32" style="position:absolute;left:3617;top:6036;width:3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3rcIAAADcAAAADwAAAGRycy9kb3ducmV2LnhtbERP32vCMBB+H/g/hBP2pqlO6uiMojJF&#10;GAh2gns8mrMtNpeSZFr/ezMQ9nYf38+bLTrTiCs5X1tWMBomIIgLq2suFRy/N4N3ED4ga2wsk4I7&#10;eVjMey8zzLS98YGueShFDGGfoYIqhDaT0hcVGfRD2xJH7mydwRChK6V2eIvhppHjJEmlwZpjQ4Ut&#10;rSsqLvmvUZCs92/Nz1dpL36Vbj+70/Ssc6fUa79bfoAI1IV/8dO903H+JIW/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A3rcIAAADcAAAADwAAAAAAAAAAAAAA&#10;AAChAgAAZHJzL2Rvd25yZXYueG1sUEsFBgAAAAAEAAQA+QAAAJADAAAAAA==&#10;">
                    <v:shadow on="t" opacity=".5" offset="6pt,6pt"/>
                  </v:shape>
                  <v:roundrect id="AutoShape 52" o:spid="_x0000_s1108" style="position:absolute;left:1647;top:6812;width:1970;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aVsMA&#10;AADcAAAADwAAAGRycy9kb3ducmV2LnhtbERPzU7CQBC+m/gOmzHxJlsUhRQWYiAmaMJB4AEm3aFb&#10;6M6W7gi1T++amHibL9/vzBadr9WF2lgFNjAcZKCIi2ArLg3sd28PE1BRkC3WgcnAN0VYzG9vZpjb&#10;cOVPumylVCmEY44GnEiTax0LRx7jIDTEiTuE1qMk2JbatnhN4b7Wj1n2oj1WnBocNrR0VJy2X97A&#10;+VT20tvzRlbWPb/vPo5PB9cbc3/XvU5BCXXyL/5zr22aPxrD7zPpA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aVsMAAADcAAAADwAAAAAAAAAAAAAAAACYAgAAZHJzL2Rv&#10;d25yZXYueG1sUEsFBgAAAAAEAAQA9QAAAIgDAAAAAA==&#10;" fillcolor="white [3212]">
                    <v:shadow on="t" opacity=".5" offset="6pt,6pt"/>
                    <v:textbox>
                      <w:txbxContent>
                        <w:p w:rsidR="00683AF5" w:rsidRPr="00F51C04" w:rsidRDefault="00683AF5" w:rsidP="0050036B">
                          <w:pPr>
                            <w:spacing w:line="240" w:lineRule="auto"/>
                            <w:jc w:val="left"/>
                            <w:rPr>
                              <w:sz w:val="20"/>
                              <w:szCs w:val="20"/>
                            </w:rPr>
                          </w:pPr>
                          <w:r>
                            <w:rPr>
                              <w:sz w:val="20"/>
                              <w:szCs w:val="20"/>
                            </w:rPr>
                            <w:t>Investirati u istraživanje i razvoj</w:t>
                          </w:r>
                        </w:p>
                      </w:txbxContent>
                    </v:textbox>
                  </v:roundrect>
                  <v:shape id="AutoShape 53" o:spid="_x0000_s1109" type="#_x0000_t32" style="position:absolute;left:3617;top:7188;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FfMQAAADcAAAADwAAAGRycy9kb3ducmV2LnhtbERPS2sCMRC+F/wPYQq91WwfVF2NUgql&#10;rZeuDxBvw2bcLG4m2ySu679vhEJv8/E9Z7bobSM68qF2rOBhmIEgLp2uuVKw3bzfj0GEiKyxcUwK&#10;LhRgMR/czDDX7swr6taxEimEQ44KTIxtLmUoDVkMQ9cSJ+7gvMWYoK+k9nhO4baRj1n2Ii3WnBoM&#10;tvRmqDyuT1bBbqT1T/20//LdZfn90Z2KAk2h1N1t/zoFEamP/+I/96dO858ncH0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sV8xAAAANwAAAAPAAAAAAAAAAAA&#10;AAAAAKECAABkcnMvZG93bnJldi54bWxQSwUGAAAAAAQABAD5AAAAkgMAAAAA&#10;">
                    <v:shadow on="t" opacity=".5" offset="6pt,6pt"/>
                  </v:shape>
                  <v:roundrect id="AutoShape 54" o:spid="_x0000_s1110" style="position:absolute;left:6758;top:4516;width:1652;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U/8UA&#10;AADcAAAADwAAAGRycy9kb3ducmV2LnhtbESPQUsDQQyF74L/YUjBm52tUinbTosoggoebPsDwk66&#10;s3Yns92J7bq/3hwEbwnv5b0vq80QW3OmPjeJHcymBRjiKvmGawf73cvtAkwWZI9tYnLwQxk26+ur&#10;FZY+XfiTzlupjYZwLtFBEOlKa3MVKGKepo5YtUPqI4qufW19jxcNj629K4oHG7FhbQjY0VOg6rj9&#10;jg5Ox3qU0Z8+5NmH+dvu/ev+EEbnbibD4xKM0CD/5r/rV6/4c8XX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RT/xQAAANwAAAAPAAAAAAAAAAAAAAAAAJgCAABkcnMv&#10;ZG93bnJldi54bWxQSwUGAAAAAAQABAD1AAAAigMAAAAA&#10;" fillcolor="white [3212]">
                    <v:shadow on="t" opacity=".5" offset="6pt,6pt"/>
                    <v:textbox>
                      <w:txbxContent>
                        <w:p w:rsidR="00683AF5" w:rsidRPr="00F51C04" w:rsidRDefault="00683AF5" w:rsidP="0050036B">
                          <w:pPr>
                            <w:spacing w:line="240" w:lineRule="auto"/>
                            <w:jc w:val="center"/>
                            <w:rPr>
                              <w:sz w:val="20"/>
                              <w:szCs w:val="20"/>
                            </w:rPr>
                          </w:pPr>
                          <w:r w:rsidRPr="00F51C04">
                            <w:rPr>
                              <w:sz w:val="20"/>
                              <w:szCs w:val="20"/>
                            </w:rPr>
                            <w:t xml:space="preserve">Povećanje </w:t>
                          </w:r>
                          <w:r>
                            <w:rPr>
                              <w:sz w:val="20"/>
                              <w:szCs w:val="20"/>
                            </w:rPr>
                            <w:t>BDV-a</w:t>
                          </w:r>
                        </w:p>
                      </w:txbxContent>
                    </v:textbox>
                  </v:roundrect>
                  <v:roundrect id="AutoShape 55" o:spid="_x0000_s1111" style="position:absolute;left:8763;top:4516;width:1651;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xZMIA&#10;AADcAAAADwAAAGRycy9kb3ducmV2LnhtbERPzWrCQBC+F/oOywi91Y0WS0ldRSqFVvBQ7QMM2TGb&#10;mp2N2anGPL0rCN7m4/ud6bzztTpSG6vABkbDDBRxEWzFpYHf7efzG6goyBbrwGTgTBHms8eHKeY2&#10;nPiHjhspVQrhmKMBJ9LkWsfCkcc4DA1x4nah9SgJtqW2LZ5SuK/1OMtetceKU4PDhj4cFfvNvzdw&#10;2Je99PawlqV1k+/t6u9l53pjngbd4h2UUCd38c39ZdP8yQiuz6QL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bFkwgAAANwAAAAPAAAAAAAAAAAAAAAAAJgCAABkcnMvZG93&#10;bnJldi54bWxQSwUGAAAAAAQABAD1AAAAhwMAAAAA&#10;" fillcolor="white [3212]">
                    <v:shadow on="t" opacity=".5" offset="6pt,6pt"/>
                    <v:textbox>
                      <w:txbxContent>
                        <w:p w:rsidR="00683AF5" w:rsidRPr="00F51C04" w:rsidRDefault="00683AF5" w:rsidP="0050036B">
                          <w:pPr>
                            <w:spacing w:line="240" w:lineRule="auto"/>
                            <w:jc w:val="center"/>
                            <w:rPr>
                              <w:sz w:val="20"/>
                              <w:szCs w:val="20"/>
                            </w:rPr>
                          </w:pPr>
                          <w:r>
                            <w:rPr>
                              <w:sz w:val="20"/>
                              <w:szCs w:val="20"/>
                            </w:rPr>
                            <w:t xml:space="preserve">Industrijski rast </w:t>
                          </w:r>
                        </w:p>
                      </w:txbxContent>
                    </v:textbox>
                  </v:roundrect>
                  <v:shape id="AutoShape 56" o:spid="_x0000_s1112" type="#_x0000_t32" style="position:absolute;left:3686;top:4644;width:2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B0MMAAADcAAAADwAAAGRycy9kb3ducmV2LnhtbERPTWsCMRC9F/wPYYTearYWq2yNIkJp&#10;9dKtCuJt2Ew3SzeTbRLX9d+bQqG3ebzPmS9724iOfKgdK3gcZSCIS6drrhQc9q8PMxAhImtsHJOC&#10;KwVYLgZ3c8y1u/AndbtYiRTCIUcFJsY2lzKUhiyGkWuJE/flvMWYoK+k9nhJ4baR4yx7lhZrTg0G&#10;W1obKr93Z6vgONX6p346bXx33X68deeiQFModT/sVy8gIvXxX/znftdp/mQM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dDDAAAA3AAAAA8AAAAAAAAAAAAA&#10;AAAAoQIAAGRycy9kb3ducmV2LnhtbFBLBQYAAAAABAAEAPkAAACRAwAAAAA=&#10;">
                    <v:shadow on="t" opacity=".5" offset="6pt,6pt"/>
                  </v:shape>
                  <v:shape id="AutoShape 57" o:spid="_x0000_s1113" type="#_x0000_t32" style="position:absolute;left:6232;top:424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C6MMAAADcAAAADwAAAGRycy9kb3ducmV2LnhtbERP32vCMBB+H/g/hBN8s6nKdFRj0eLG&#10;YDBYHWyPR3O2xeZSkqjdf78MhL3dx/fzNvlgOnEl51vLCmZJCoK4srrlWsHn8Xn6BMIHZI2dZVLw&#10;Qx7y7ehhg5m2N/6gaxlqEUPYZ6igCaHPpPRVQwZ9YnviyJ2sMxgidLXUDm8x3HRynqZLabDl2NBg&#10;T0VD1bm8GAVp8b7ovt9qe/b75cth+FqddOmUmoyH3RpEoCH8i+/uVx3nPy7g75l4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ujDAAAA3AAAAA8AAAAAAAAAAAAA&#10;AAAAoQIAAGRycy9kb3ducmV2LnhtbFBLBQYAAAAABAAEAPkAAACRAwAAAAA=&#10;">
                    <v:shadow on="t" opacity=".5" offset="6pt,6pt"/>
                  </v:shape>
                  <v:shape id="AutoShape 58" o:spid="_x0000_s1114" type="#_x0000_t32" style="position:absolute;left:6394;top:4244;width:0;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anMIAAADcAAAADwAAAGRycy9kb3ducmV2LnhtbERP32vCMBB+H/g/hBN8m6nOqVSjONlk&#10;MBCsgj4ezdkWm0tJotb/3gwGe7uP7+fNl62pxY2crywrGPQTEMS51RUXCg77r9cpCB+QNdaWScGD&#10;PCwXnZc5ptreeUe3LBQihrBPUUEZQpNK6fOSDPq+bYgjd7bOYIjQFVI7vMdwU8thkoylwYpjQ4kN&#10;rUvKL9nVKEjW27f69FPYi/8Ybz7b4+SsM6dUr9uuZiACteFf/Of+1nH++wh+n4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eanMIAAADcAAAADwAAAAAAAAAAAAAA&#10;AAChAgAAZHJzL2Rvd25yZXYueG1sUEsFBgAAAAAEAAQA+QAAAJADAAAAAA==&#10;">
                    <v:shadow on="t" opacity=".5" offset="6pt,6pt"/>
                  </v:shape>
                  <v:shape id="AutoShape 59" o:spid="_x0000_s1115" type="#_x0000_t32" style="position:absolute;left:6232;top:5495;width: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ZpMMAAADcAAAADwAAAGRycy9kb3ducmV2LnhtbERPTWsCMRC9F/wPYYTearYW27I1ighi&#10;24urLYi3YTPdLN1M1iSu679vBKG3ebzPmc5724iOfKgdK3gcZSCIS6drrhR8f60eXkGEiKyxcUwK&#10;LhRgPhvcTTHX7sxb6naxEimEQ44KTIxtLmUoDVkMI9cSJ+7HeYsxQV9J7fGcwm0jx1n2LC3WnBoM&#10;trQ0VP7uTlbB/kXrY/10+PDd5XOz7k5FgaZQ6n7YL95AROrjv/jmftdp/mQC12fS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WaTDAAAA3AAAAA8AAAAAAAAAAAAA&#10;AAAAoQIAAGRycy9kb3ducmV2LnhtbFBLBQYAAAAABAAEAPkAAACRAwAAAAA=&#10;">
                    <v:shadow on="t" opacity=".5" offset="6pt,6pt"/>
                  </v:shape>
                  <v:shape id="AutoShape 60" o:spid="_x0000_s1116" type="#_x0000_t32" style="position:absolute;left:6394;top:4919;width:36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5WMUAAADcAAAADwAAAGRycy9kb3ducmV2LnhtbESPQWvCQBCF7wX/wzKCt7pRUUt0FSMI&#10;gpJW23oes2MSzM6G7Krx33cLhd5meG/e92a+bE0l7tS40rKCQT8CQZxZXXKu4Otz8/oGwnlkjZVl&#10;UvAkB8tF52WOsbYPPtD96HMRQtjFqKDwvo6ldFlBBl3f1sRBu9jGoA9rk0vd4COEm0oOo2giDZYc&#10;CAXWtC4oux5vJnC/3WifRrvTOJl+0DlJ0sG7TpXqddvVDISn1v+b/663OtQfT+D3mTCB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d5WMUAAADcAAAADwAAAAAAAAAA&#10;AAAAAAChAgAAZHJzL2Rvd25yZXYueG1sUEsFBgAAAAAEAAQA+QAAAJMDAAAAAA==&#10;">
                    <v:stroke endarrow="block"/>
                    <v:shadow on="t" opacity=".5" offset="6pt,6pt"/>
                  </v:shape>
                  <v:shape id="AutoShape 61" o:spid="_x0000_s1117" type="#_x0000_t32" style="position:absolute;left:8410;top:4919;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Ih8IAAADcAAAADwAAAGRycy9kb3ducmV2LnhtbERPTYvCMBC9C/6HMIIXWVNXdKUaRQRR&#10;j1YPe5xtxrbaTEqTtXV//UYQvM3jfc5i1ZpS3Kl2hWUFo2EEgji1uuBMwfm0/ZiBcB5ZY2mZFDzI&#10;wWrZ7Sww1rbhI90Tn4kQwi5GBbn3VSylS3My6Ia2Ig7cxdYGfYB1JnWNTQg3pfyMoqk0WHBoyLGi&#10;TU7pLfk1CqaJOR7MoGza2fZ7tKPx3w+Or0r1e+16DsJT69/il3uvw/zJFzyfC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aIh8IAAADcAAAADwAAAAAAAAAAAAAA&#10;AAChAgAAZHJzL2Rvd25yZXYueG1sUEsFBgAAAAAEAAQA+QAAAJADAAAAAA==&#10;">
                    <v:stroke endarrow="block"/>
                    <v:shadow on="t" opacity=".5" offset="6pt,6pt"/>
                  </v:shape>
                </v:group>
                <v:shape id="AutoShape 136" o:spid="_x0000_s1118" type="#_x0000_t32" style="position:absolute;left:5276;top:5516;width:0;height: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group>
            </w:pict>
          </mc:Fallback>
        </mc:AlternateContent>
      </w: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C923F3" w:rsidRPr="00067D1F" w:rsidRDefault="00C923F3" w:rsidP="00C923F3">
      <w:pPr>
        <w:numPr>
          <w:ilvl w:val="0"/>
          <w:numId w:val="246"/>
        </w:numPr>
        <w:rPr>
          <w:iCs/>
          <w:sz w:val="22"/>
        </w:rPr>
      </w:pPr>
      <w:r w:rsidRPr="00067D1F">
        <w:rPr>
          <w:iCs/>
          <w:sz w:val="22"/>
        </w:rPr>
        <w:t>Navedene mjere predstavljaju nužan preduvjet ostvarivanja željenih rezultata hrvatske industrije u razdoblju 2014.</w:t>
      </w:r>
      <w:r>
        <w:rPr>
          <w:iCs/>
          <w:sz w:val="22"/>
        </w:rPr>
        <w:t xml:space="preserve"> – </w:t>
      </w:r>
      <w:r w:rsidRPr="00067D1F">
        <w:rPr>
          <w:iCs/>
          <w:sz w:val="22"/>
        </w:rPr>
        <w:t xml:space="preserve">2020., odnosno </w:t>
      </w:r>
      <w:r>
        <w:rPr>
          <w:iCs/>
          <w:sz w:val="22"/>
        </w:rPr>
        <w:t xml:space="preserve">maksimalnih </w:t>
      </w:r>
      <w:r w:rsidRPr="00067D1F">
        <w:rPr>
          <w:iCs/>
          <w:sz w:val="22"/>
        </w:rPr>
        <w:t>pozitivnih učinaka na domaću industriju.</w:t>
      </w:r>
    </w:p>
    <w:p w:rsidR="00C923F3" w:rsidRPr="00C80045" w:rsidRDefault="00C923F3" w:rsidP="00C923F3">
      <w:pPr>
        <w:rPr>
          <w:iCs/>
          <w:sz w:val="22"/>
        </w:rPr>
      </w:pPr>
    </w:p>
    <w:p w:rsidR="00C923F3" w:rsidRPr="00C80045" w:rsidRDefault="00C923F3" w:rsidP="00C923F3">
      <w:pPr>
        <w:numPr>
          <w:ilvl w:val="0"/>
          <w:numId w:val="204"/>
        </w:numPr>
        <w:rPr>
          <w:iCs/>
          <w:sz w:val="22"/>
        </w:rPr>
      </w:pPr>
      <w:r w:rsidRPr="00C80045">
        <w:rPr>
          <w:iCs/>
          <w:sz w:val="22"/>
        </w:rPr>
        <w:t xml:space="preserve">S obzirom da </w:t>
      </w:r>
      <w:r>
        <w:rPr>
          <w:iCs/>
          <w:sz w:val="22"/>
        </w:rPr>
        <w:t xml:space="preserve">se </w:t>
      </w:r>
      <w:r w:rsidRPr="00C80045">
        <w:rPr>
          <w:iCs/>
          <w:sz w:val="22"/>
        </w:rPr>
        <w:t>promatra</w:t>
      </w:r>
      <w:r>
        <w:rPr>
          <w:iCs/>
          <w:sz w:val="22"/>
        </w:rPr>
        <w:t>ju</w:t>
      </w:r>
      <w:r w:rsidRPr="00C80045">
        <w:rPr>
          <w:iCs/>
          <w:sz w:val="22"/>
        </w:rPr>
        <w:t xml:space="preserve"> tri različita područja industrije: </w:t>
      </w:r>
      <w:r>
        <w:rPr>
          <w:iCs/>
          <w:sz w:val="22"/>
        </w:rPr>
        <w:t xml:space="preserve">(1) </w:t>
      </w:r>
      <w:r w:rsidRPr="00C80045">
        <w:rPr>
          <w:iCs/>
          <w:sz w:val="22"/>
        </w:rPr>
        <w:t>C Prerađivačk</w:t>
      </w:r>
      <w:r>
        <w:rPr>
          <w:iCs/>
          <w:sz w:val="22"/>
        </w:rPr>
        <w:t>a</w:t>
      </w:r>
      <w:r w:rsidRPr="00C80045">
        <w:rPr>
          <w:iCs/>
          <w:sz w:val="22"/>
        </w:rPr>
        <w:t xml:space="preserve"> industrij</w:t>
      </w:r>
      <w:r>
        <w:rPr>
          <w:iCs/>
          <w:sz w:val="22"/>
        </w:rPr>
        <w:t>a</w:t>
      </w:r>
      <w:r w:rsidRPr="00C80045">
        <w:rPr>
          <w:iCs/>
          <w:sz w:val="22"/>
        </w:rPr>
        <w:t xml:space="preserve">, </w:t>
      </w:r>
      <w:r>
        <w:rPr>
          <w:iCs/>
          <w:sz w:val="22"/>
        </w:rPr>
        <w:t xml:space="preserve">(2) </w:t>
      </w:r>
      <w:r w:rsidRPr="00C80045">
        <w:rPr>
          <w:iCs/>
          <w:sz w:val="22"/>
        </w:rPr>
        <w:t xml:space="preserve">F Građevinarstvo i </w:t>
      </w:r>
      <w:r>
        <w:rPr>
          <w:iCs/>
          <w:sz w:val="22"/>
        </w:rPr>
        <w:t xml:space="preserve">(3) </w:t>
      </w:r>
      <w:r w:rsidRPr="00C80045">
        <w:rPr>
          <w:iCs/>
          <w:sz w:val="22"/>
        </w:rPr>
        <w:t>J Informacije i komunikacije, nek</w:t>
      </w:r>
      <w:r>
        <w:rPr>
          <w:iCs/>
          <w:sz w:val="22"/>
        </w:rPr>
        <w:t xml:space="preserve">i od pokazatelja </w:t>
      </w:r>
      <w:r w:rsidRPr="00C80045">
        <w:rPr>
          <w:iCs/>
          <w:sz w:val="22"/>
        </w:rPr>
        <w:t xml:space="preserve">prilagođeni </w:t>
      </w:r>
      <w:r>
        <w:rPr>
          <w:iCs/>
          <w:sz w:val="22"/>
        </w:rPr>
        <w:t>su posebnostima</w:t>
      </w:r>
      <w:r w:rsidRPr="00C80045">
        <w:rPr>
          <w:iCs/>
          <w:sz w:val="22"/>
        </w:rPr>
        <w:t xml:space="preserve"> pojedinih područja.</w:t>
      </w:r>
      <w:r w:rsidRPr="00C80045">
        <w:rPr>
          <w:iCs/>
          <w:sz w:val="22"/>
          <w:vertAlign w:val="superscript"/>
        </w:rPr>
        <w:footnoteReference w:id="19"/>
      </w:r>
      <w:r w:rsidRPr="00C80045">
        <w:rPr>
          <w:iCs/>
          <w:sz w:val="22"/>
        </w:rPr>
        <w:t xml:space="preserve"> </w:t>
      </w:r>
    </w:p>
    <w:p w:rsidR="00C923F3" w:rsidRPr="00C80045" w:rsidRDefault="00C923F3" w:rsidP="00C923F3">
      <w:pPr>
        <w:rPr>
          <w:iCs/>
          <w:sz w:val="22"/>
        </w:rPr>
      </w:pPr>
    </w:p>
    <w:p w:rsidR="00C923F3" w:rsidRPr="00C80045" w:rsidRDefault="00C923F3" w:rsidP="00C923F3">
      <w:pPr>
        <w:numPr>
          <w:ilvl w:val="0"/>
          <w:numId w:val="206"/>
        </w:numPr>
        <w:rPr>
          <w:iCs/>
          <w:sz w:val="22"/>
        </w:rPr>
      </w:pPr>
      <w:r>
        <w:rPr>
          <w:iCs/>
          <w:sz w:val="22"/>
        </w:rPr>
        <w:t>S ciljem utvrđivanja</w:t>
      </w:r>
      <w:r w:rsidRPr="003211B2">
        <w:rPr>
          <w:iCs/>
          <w:sz w:val="22"/>
        </w:rPr>
        <w:t xml:space="preserve"> ključnih industrijskih problema, pored analiza provedenih u prethodnim dijelovima Strategije, analizirane su sve relevantne studije koje su se bavile konkurent</w:t>
      </w:r>
      <w:r>
        <w:rPr>
          <w:iCs/>
          <w:sz w:val="22"/>
        </w:rPr>
        <w:t>nošću hrvatske industrije (</w:t>
      </w:r>
      <w:r w:rsidRPr="003211B2">
        <w:rPr>
          <w:iCs/>
          <w:sz w:val="22"/>
        </w:rPr>
        <w:t>Global competitiveness report 2013 – 2014</w:t>
      </w:r>
      <w:r w:rsidRPr="003211B2">
        <w:rPr>
          <w:iCs/>
          <w:sz w:val="22"/>
          <w:vertAlign w:val="superscript"/>
        </w:rPr>
        <w:footnoteReference w:id="20"/>
      </w:r>
      <w:r w:rsidRPr="003211B2">
        <w:rPr>
          <w:iCs/>
          <w:sz w:val="22"/>
        </w:rPr>
        <w:t>; Doing business</w:t>
      </w:r>
      <w:r w:rsidRPr="003211B2">
        <w:rPr>
          <w:iCs/>
          <w:sz w:val="22"/>
          <w:vertAlign w:val="superscript"/>
        </w:rPr>
        <w:footnoteReference w:id="21"/>
      </w:r>
      <w:r>
        <w:rPr>
          <w:iCs/>
          <w:sz w:val="22"/>
        </w:rPr>
        <w:t>;</w:t>
      </w:r>
      <w:r w:rsidRPr="003211B2">
        <w:rPr>
          <w:iCs/>
          <w:sz w:val="22"/>
        </w:rPr>
        <w:t xml:space="preserve"> Member States' Competitiveness Performance and policies – Industrial performance scoreboard</w:t>
      </w:r>
      <w:r w:rsidRPr="003211B2">
        <w:rPr>
          <w:iCs/>
          <w:sz w:val="22"/>
          <w:vertAlign w:val="superscript"/>
        </w:rPr>
        <w:footnoteReference w:id="22"/>
      </w:r>
      <w:r w:rsidRPr="003211B2">
        <w:rPr>
          <w:iCs/>
          <w:sz w:val="22"/>
        </w:rPr>
        <w:t xml:space="preserve">). </w:t>
      </w:r>
      <w:r>
        <w:rPr>
          <w:iCs/>
          <w:sz w:val="22"/>
        </w:rPr>
        <w:t>Vrlo je visoka razina dogovora</w:t>
      </w:r>
      <w:r w:rsidRPr="00C80045">
        <w:rPr>
          <w:iCs/>
          <w:sz w:val="22"/>
        </w:rPr>
        <w:t xml:space="preserve"> </w:t>
      </w:r>
      <w:r>
        <w:rPr>
          <w:iCs/>
          <w:sz w:val="22"/>
        </w:rPr>
        <w:t xml:space="preserve">oko </w:t>
      </w:r>
      <w:r w:rsidRPr="00C80045">
        <w:rPr>
          <w:iCs/>
          <w:sz w:val="22"/>
        </w:rPr>
        <w:t xml:space="preserve">rezultata </w:t>
      </w:r>
      <w:r>
        <w:rPr>
          <w:iCs/>
          <w:sz w:val="22"/>
        </w:rPr>
        <w:t xml:space="preserve">i zaključaka </w:t>
      </w:r>
      <w:r w:rsidRPr="00C80045">
        <w:rPr>
          <w:iCs/>
          <w:sz w:val="22"/>
        </w:rPr>
        <w:t xml:space="preserve">svih analiza i studija o </w:t>
      </w:r>
      <w:r w:rsidRPr="004D4AEE">
        <w:rPr>
          <w:b/>
          <w:iCs/>
          <w:sz w:val="22"/>
        </w:rPr>
        <w:t xml:space="preserve">ključnim </w:t>
      </w:r>
      <w:r w:rsidRPr="004D4AEE">
        <w:rPr>
          <w:b/>
          <w:iCs/>
          <w:sz w:val="22"/>
        </w:rPr>
        <w:lastRenderedPageBreak/>
        <w:t>problemima hrvatske industrije</w:t>
      </w:r>
      <w:r w:rsidRPr="00C80045">
        <w:rPr>
          <w:iCs/>
          <w:sz w:val="22"/>
        </w:rPr>
        <w:t xml:space="preserve">, koji su i </w:t>
      </w:r>
      <w:r>
        <w:rPr>
          <w:iCs/>
          <w:sz w:val="22"/>
        </w:rPr>
        <w:t>glavni uzroci</w:t>
      </w:r>
      <w:r w:rsidRPr="004D4AEE">
        <w:rPr>
          <w:iCs/>
          <w:sz w:val="22"/>
        </w:rPr>
        <w:t xml:space="preserve"> negativnih trendova</w:t>
      </w:r>
      <w:r>
        <w:rPr>
          <w:iCs/>
          <w:sz w:val="22"/>
        </w:rPr>
        <w:t>, a odnose se na sl</w:t>
      </w:r>
      <w:r w:rsidRPr="00C80045">
        <w:rPr>
          <w:iCs/>
          <w:sz w:val="22"/>
        </w:rPr>
        <w:t xml:space="preserve">jedeće: </w:t>
      </w:r>
    </w:p>
    <w:p w:rsidR="00C923F3" w:rsidRPr="00C80045" w:rsidRDefault="00C923F3" w:rsidP="00C923F3">
      <w:pPr>
        <w:numPr>
          <w:ilvl w:val="1"/>
          <w:numId w:val="206"/>
        </w:numPr>
        <w:rPr>
          <w:iCs/>
          <w:sz w:val="22"/>
        </w:rPr>
      </w:pPr>
      <w:r>
        <w:rPr>
          <w:iCs/>
          <w:sz w:val="22"/>
        </w:rPr>
        <w:t>i</w:t>
      </w:r>
      <w:r w:rsidRPr="00C80045">
        <w:rPr>
          <w:iCs/>
          <w:sz w:val="22"/>
        </w:rPr>
        <w:t>nsti</w:t>
      </w:r>
      <w:r>
        <w:rPr>
          <w:iCs/>
          <w:sz w:val="22"/>
        </w:rPr>
        <w:t>tucionalno okruženje: neučinkovit</w:t>
      </w:r>
      <w:r w:rsidRPr="00C80045">
        <w:rPr>
          <w:iCs/>
          <w:sz w:val="22"/>
        </w:rPr>
        <w:t xml:space="preserve"> javni sektor (državna </w:t>
      </w:r>
      <w:r>
        <w:rPr>
          <w:iCs/>
          <w:sz w:val="22"/>
        </w:rPr>
        <w:t>uprava), pravnu nesigurnost, korupciju</w:t>
      </w:r>
      <w:r w:rsidRPr="00C80045">
        <w:rPr>
          <w:iCs/>
          <w:sz w:val="22"/>
        </w:rPr>
        <w:t>, visoko i složeno porezno optere</w:t>
      </w:r>
      <w:r>
        <w:rPr>
          <w:iCs/>
          <w:sz w:val="22"/>
        </w:rPr>
        <w:t>ćenje, administrativne i nerazumljive propise</w:t>
      </w:r>
      <w:r w:rsidRPr="00C80045">
        <w:rPr>
          <w:iCs/>
          <w:sz w:val="22"/>
        </w:rPr>
        <w:t>,</w:t>
      </w:r>
    </w:p>
    <w:p w:rsidR="00C923F3" w:rsidRPr="00C80045" w:rsidRDefault="00C923F3" w:rsidP="00C923F3">
      <w:pPr>
        <w:numPr>
          <w:ilvl w:val="1"/>
          <w:numId w:val="206"/>
        </w:numPr>
        <w:rPr>
          <w:iCs/>
          <w:sz w:val="22"/>
        </w:rPr>
      </w:pPr>
      <w:r>
        <w:rPr>
          <w:iCs/>
          <w:sz w:val="22"/>
        </w:rPr>
        <w:t>n</w:t>
      </w:r>
      <w:r w:rsidRPr="00C80045">
        <w:rPr>
          <w:iCs/>
          <w:sz w:val="22"/>
        </w:rPr>
        <w:t xml:space="preserve">isku razinu </w:t>
      </w:r>
      <w:r>
        <w:rPr>
          <w:iCs/>
          <w:sz w:val="22"/>
        </w:rPr>
        <w:t xml:space="preserve">inozemnih </w:t>
      </w:r>
      <w:r w:rsidRPr="00C80045">
        <w:rPr>
          <w:iCs/>
          <w:sz w:val="22"/>
        </w:rPr>
        <w:t>izravnih ulaganja u industriju,</w:t>
      </w:r>
    </w:p>
    <w:p w:rsidR="00C923F3" w:rsidRPr="00C80045" w:rsidRDefault="00C923F3" w:rsidP="00C923F3">
      <w:pPr>
        <w:numPr>
          <w:ilvl w:val="1"/>
          <w:numId w:val="206"/>
        </w:numPr>
        <w:rPr>
          <w:iCs/>
          <w:sz w:val="22"/>
        </w:rPr>
      </w:pPr>
      <w:r>
        <w:rPr>
          <w:iCs/>
          <w:sz w:val="22"/>
        </w:rPr>
        <w:t>n</w:t>
      </w:r>
      <w:r w:rsidRPr="00C80045">
        <w:rPr>
          <w:iCs/>
          <w:sz w:val="22"/>
        </w:rPr>
        <w:t>isku razinu udjela visokoobrazovane radne snage u ukupnoj radnoj snazi,</w:t>
      </w:r>
    </w:p>
    <w:p w:rsidR="00C923F3" w:rsidRPr="00C80045" w:rsidRDefault="00C923F3" w:rsidP="00C923F3">
      <w:pPr>
        <w:numPr>
          <w:ilvl w:val="1"/>
          <w:numId w:val="206"/>
        </w:numPr>
        <w:rPr>
          <w:iCs/>
          <w:sz w:val="22"/>
        </w:rPr>
      </w:pPr>
      <w:r>
        <w:rPr>
          <w:iCs/>
          <w:sz w:val="22"/>
        </w:rPr>
        <w:t>n</w:t>
      </w:r>
      <w:r w:rsidRPr="00C80045">
        <w:rPr>
          <w:iCs/>
          <w:sz w:val="22"/>
        </w:rPr>
        <w:t>edovoljno ulaganje u istraživanje i razvoj (niska razina inovativne sposobnosti),</w:t>
      </w:r>
    </w:p>
    <w:p w:rsidR="00C923F3" w:rsidRPr="00C80045" w:rsidRDefault="00C923F3" w:rsidP="00C923F3">
      <w:pPr>
        <w:numPr>
          <w:ilvl w:val="1"/>
          <w:numId w:val="206"/>
        </w:numPr>
        <w:rPr>
          <w:iCs/>
          <w:sz w:val="22"/>
        </w:rPr>
      </w:pPr>
      <w:r>
        <w:rPr>
          <w:iCs/>
          <w:sz w:val="22"/>
        </w:rPr>
        <w:t>n</w:t>
      </w:r>
      <w:r w:rsidRPr="00C80045">
        <w:rPr>
          <w:iCs/>
          <w:sz w:val="22"/>
        </w:rPr>
        <w:t>isku razinu produktivnosti rada,</w:t>
      </w:r>
    </w:p>
    <w:p w:rsidR="00C923F3" w:rsidRPr="00C80045" w:rsidRDefault="00C923F3" w:rsidP="00C923F3">
      <w:pPr>
        <w:numPr>
          <w:ilvl w:val="1"/>
          <w:numId w:val="206"/>
        </w:numPr>
        <w:rPr>
          <w:iCs/>
          <w:sz w:val="22"/>
        </w:rPr>
      </w:pPr>
      <w:r>
        <w:rPr>
          <w:iCs/>
          <w:sz w:val="22"/>
        </w:rPr>
        <w:t>o</w:t>
      </w:r>
      <w:r w:rsidRPr="00C80045">
        <w:rPr>
          <w:iCs/>
          <w:sz w:val="22"/>
        </w:rPr>
        <w:t>težan pristup tržištima kapitala i visoku cijenu kapitala,</w:t>
      </w:r>
    </w:p>
    <w:p w:rsidR="00C923F3" w:rsidRPr="00C80045" w:rsidRDefault="00C923F3" w:rsidP="00C923F3">
      <w:pPr>
        <w:numPr>
          <w:ilvl w:val="1"/>
          <w:numId w:val="206"/>
        </w:numPr>
        <w:rPr>
          <w:iCs/>
          <w:sz w:val="22"/>
        </w:rPr>
      </w:pPr>
      <w:r>
        <w:rPr>
          <w:iCs/>
          <w:sz w:val="22"/>
        </w:rPr>
        <w:t>n</w:t>
      </w:r>
      <w:r w:rsidRPr="00C80045">
        <w:rPr>
          <w:iCs/>
          <w:sz w:val="22"/>
        </w:rPr>
        <w:t>isku razinu tehnološke opremljenosti,</w:t>
      </w:r>
    </w:p>
    <w:p w:rsidR="00C923F3" w:rsidRPr="00C80045" w:rsidRDefault="00C923F3" w:rsidP="00C923F3">
      <w:pPr>
        <w:numPr>
          <w:ilvl w:val="1"/>
          <w:numId w:val="206"/>
        </w:numPr>
        <w:rPr>
          <w:iCs/>
          <w:sz w:val="22"/>
        </w:rPr>
      </w:pPr>
      <w:r w:rsidRPr="00C80045">
        <w:rPr>
          <w:iCs/>
          <w:sz w:val="22"/>
        </w:rPr>
        <w:t>(</w:t>
      </w:r>
      <w:r>
        <w:rPr>
          <w:iCs/>
          <w:sz w:val="22"/>
        </w:rPr>
        <w:t>n</w:t>
      </w:r>
      <w:r w:rsidRPr="00C80045">
        <w:rPr>
          <w:iCs/>
          <w:sz w:val="22"/>
        </w:rPr>
        <w:t>e)usklađenost obrazovnog sustava i potreba industrije.</w:t>
      </w:r>
    </w:p>
    <w:p w:rsidR="00C923F3" w:rsidRPr="00C80045" w:rsidRDefault="00C923F3" w:rsidP="00C923F3">
      <w:pPr>
        <w:rPr>
          <w:iCs/>
          <w:sz w:val="22"/>
        </w:rPr>
      </w:pPr>
    </w:p>
    <w:p w:rsidR="00C923F3" w:rsidRPr="00C80045" w:rsidRDefault="00C923F3" w:rsidP="00C923F3">
      <w:pPr>
        <w:numPr>
          <w:ilvl w:val="0"/>
          <w:numId w:val="207"/>
        </w:numPr>
        <w:rPr>
          <w:iCs/>
          <w:sz w:val="22"/>
        </w:rPr>
      </w:pPr>
      <w:r>
        <w:rPr>
          <w:iCs/>
          <w:sz w:val="22"/>
        </w:rPr>
        <w:t>Utvrđeni</w:t>
      </w:r>
      <w:r w:rsidRPr="00C80045">
        <w:rPr>
          <w:iCs/>
          <w:sz w:val="22"/>
        </w:rPr>
        <w:t xml:space="preserve"> problemi predstavljaju kvalitetnu osnovu za definiranje strateških smjernica </w:t>
      </w:r>
      <w:r>
        <w:rPr>
          <w:iCs/>
          <w:sz w:val="22"/>
        </w:rPr>
        <w:t xml:space="preserve">razvoja </w:t>
      </w:r>
      <w:r w:rsidRPr="00C80045">
        <w:rPr>
          <w:iCs/>
          <w:sz w:val="22"/>
        </w:rPr>
        <w:t xml:space="preserve">uz pomoć kojih bi se u narednom razdoblju zaustavila negativna kretanja u industriji. Kao prvi korak procesa definiranja strategije izlaska hrvatske industrije iz krize, izrađen je model vrednovanja i rangiranja industrijskih </w:t>
      </w:r>
      <w:r>
        <w:rPr>
          <w:iCs/>
          <w:sz w:val="22"/>
        </w:rPr>
        <w:t>poddjelatnosti</w:t>
      </w:r>
      <w:r w:rsidRPr="00C80045">
        <w:rPr>
          <w:iCs/>
          <w:sz w:val="22"/>
        </w:rPr>
        <w:t>. Ci</w:t>
      </w:r>
      <w:r>
        <w:rPr>
          <w:iCs/>
          <w:sz w:val="22"/>
        </w:rPr>
        <w:t xml:space="preserve">lj modela bio je definirati </w:t>
      </w:r>
      <w:r w:rsidRPr="00C80045">
        <w:rPr>
          <w:iCs/>
          <w:sz w:val="22"/>
        </w:rPr>
        <w:t>one poddjelatnosti</w:t>
      </w:r>
      <w:r>
        <w:rPr>
          <w:iCs/>
          <w:sz w:val="22"/>
        </w:rPr>
        <w:t>, a poslije i djelatnosti, industrije koje imaju snagu, sposobnost i potencijal</w:t>
      </w:r>
      <w:r w:rsidRPr="00C80045">
        <w:rPr>
          <w:iCs/>
          <w:sz w:val="22"/>
        </w:rPr>
        <w:t xml:space="preserve"> da budu nositelji oporavka i rasta industrije. Umjesto provođenja klasične SWOT analize, korišten je izravniji </w:t>
      </w:r>
      <w:r>
        <w:rPr>
          <w:iCs/>
          <w:sz w:val="22"/>
        </w:rPr>
        <w:t xml:space="preserve">i konkretniji kvalitativni i kvantitativni </w:t>
      </w:r>
      <w:r w:rsidRPr="00C80045">
        <w:rPr>
          <w:iCs/>
          <w:sz w:val="22"/>
        </w:rPr>
        <w:t>pristup u kojem su najprije definirani ključni problemi in</w:t>
      </w:r>
      <w:r>
        <w:rPr>
          <w:iCs/>
          <w:sz w:val="22"/>
        </w:rPr>
        <w:t>dustrije, a potom definirana konkretna snaga</w:t>
      </w:r>
      <w:r w:rsidRPr="00C80045">
        <w:rPr>
          <w:iCs/>
          <w:sz w:val="22"/>
        </w:rPr>
        <w:t xml:space="preserve"> na razini industrijskih poddjelatnosti koje predstavljaju čvrstu osnovu za rast i oporavak industrije.</w:t>
      </w:r>
    </w:p>
    <w:p w:rsidR="00C923F3" w:rsidRPr="00C80045" w:rsidRDefault="00C923F3" w:rsidP="00C923F3">
      <w:pPr>
        <w:rPr>
          <w:iCs/>
          <w:sz w:val="22"/>
        </w:rPr>
      </w:pPr>
    </w:p>
    <w:p w:rsidR="00C923F3" w:rsidRPr="00C80045" w:rsidRDefault="00C923F3" w:rsidP="00C923F3">
      <w:pPr>
        <w:numPr>
          <w:ilvl w:val="0"/>
          <w:numId w:val="208"/>
        </w:numPr>
        <w:rPr>
          <w:iCs/>
          <w:sz w:val="22"/>
        </w:rPr>
      </w:pPr>
      <w:r w:rsidRPr="00C80045">
        <w:rPr>
          <w:iCs/>
          <w:sz w:val="22"/>
        </w:rPr>
        <w:t xml:space="preserve">Prema modelu, koji je opisan u </w:t>
      </w:r>
      <w:r>
        <w:rPr>
          <w:iCs/>
          <w:sz w:val="22"/>
        </w:rPr>
        <w:t>dijelu</w:t>
      </w:r>
      <w:r w:rsidRPr="00C80045">
        <w:rPr>
          <w:iCs/>
          <w:sz w:val="22"/>
        </w:rPr>
        <w:t xml:space="preserve"> 5., ukupn</w:t>
      </w:r>
      <w:r>
        <w:rPr>
          <w:iCs/>
          <w:sz w:val="22"/>
        </w:rPr>
        <w:t>a industrija podijeljena je na pet</w:t>
      </w:r>
      <w:r w:rsidRPr="00C80045">
        <w:rPr>
          <w:iCs/>
          <w:sz w:val="22"/>
        </w:rPr>
        <w:t xml:space="preserve"> skupina koje su nazvane simboličnim imenima (</w:t>
      </w:r>
      <w:r>
        <w:rPr>
          <w:iCs/>
          <w:sz w:val="22"/>
        </w:rPr>
        <w:t xml:space="preserve">(1) </w:t>
      </w:r>
      <w:r w:rsidRPr="00C80045">
        <w:rPr>
          <w:iCs/>
          <w:sz w:val="22"/>
        </w:rPr>
        <w:t xml:space="preserve">„pokretači“, </w:t>
      </w:r>
      <w:r>
        <w:rPr>
          <w:iCs/>
          <w:sz w:val="22"/>
        </w:rPr>
        <w:t xml:space="preserve">(2) </w:t>
      </w:r>
      <w:r w:rsidRPr="00C80045">
        <w:rPr>
          <w:iCs/>
          <w:sz w:val="22"/>
        </w:rPr>
        <w:t xml:space="preserve">„čuvari“, </w:t>
      </w:r>
      <w:r>
        <w:rPr>
          <w:iCs/>
          <w:sz w:val="22"/>
        </w:rPr>
        <w:t xml:space="preserve">(3) </w:t>
      </w:r>
      <w:r w:rsidRPr="00C80045">
        <w:rPr>
          <w:iCs/>
          <w:sz w:val="22"/>
        </w:rPr>
        <w:t xml:space="preserve">„upitnici“, </w:t>
      </w:r>
      <w:r>
        <w:rPr>
          <w:iCs/>
          <w:sz w:val="22"/>
        </w:rPr>
        <w:t xml:space="preserve">(4) </w:t>
      </w:r>
      <w:r w:rsidRPr="00C80045">
        <w:rPr>
          <w:iCs/>
          <w:sz w:val="22"/>
        </w:rPr>
        <w:t xml:space="preserve">„problematični“ i </w:t>
      </w:r>
      <w:r>
        <w:rPr>
          <w:iCs/>
          <w:sz w:val="22"/>
        </w:rPr>
        <w:t xml:space="preserve">(5) </w:t>
      </w:r>
      <w:r w:rsidRPr="00C80045">
        <w:rPr>
          <w:iCs/>
          <w:sz w:val="22"/>
        </w:rPr>
        <w:t>„bezutjecajni“). Osnovn</w:t>
      </w:r>
      <w:r>
        <w:rPr>
          <w:iCs/>
          <w:sz w:val="22"/>
        </w:rPr>
        <w:t>i zadatak</w:t>
      </w:r>
      <w:r w:rsidRPr="00C80045">
        <w:rPr>
          <w:iCs/>
          <w:sz w:val="22"/>
        </w:rPr>
        <w:t xml:space="preserve"> pri definiranju modela vrednovanja i rangiranja industrijskih poddjelatnosti bi</w:t>
      </w:r>
      <w:r>
        <w:rPr>
          <w:iCs/>
          <w:sz w:val="22"/>
        </w:rPr>
        <w:t>o je određivanje</w:t>
      </w:r>
      <w:r w:rsidRPr="00C80045">
        <w:rPr>
          <w:iCs/>
          <w:sz w:val="22"/>
        </w:rPr>
        <w:t xml:space="preserve"> onih parametara modela</w:t>
      </w:r>
      <w:r>
        <w:rPr>
          <w:iCs/>
          <w:sz w:val="22"/>
        </w:rPr>
        <w:t xml:space="preserve"> koji će uspješno definirati</w:t>
      </w:r>
      <w:r w:rsidRPr="00C80045">
        <w:rPr>
          <w:iCs/>
          <w:sz w:val="22"/>
        </w:rPr>
        <w:t xml:space="preserve"> one poddjelatnosti industrije koje imaju najveću sposobn</w:t>
      </w:r>
      <w:r>
        <w:rPr>
          <w:iCs/>
          <w:sz w:val="22"/>
        </w:rPr>
        <w:t>ost neutraliziranja utvrđenih</w:t>
      </w:r>
      <w:r w:rsidRPr="00C80045">
        <w:rPr>
          <w:iCs/>
          <w:sz w:val="22"/>
        </w:rPr>
        <w:t xml:space="preserve"> problema industrije. </w:t>
      </w:r>
    </w:p>
    <w:p w:rsidR="00C923F3" w:rsidRPr="00C80045" w:rsidRDefault="00C923F3" w:rsidP="00C923F3">
      <w:pPr>
        <w:rPr>
          <w:iCs/>
          <w:sz w:val="22"/>
        </w:rPr>
      </w:pPr>
    </w:p>
    <w:p w:rsidR="00C923F3" w:rsidRPr="00C80045" w:rsidRDefault="00C923F3" w:rsidP="00C923F3">
      <w:pPr>
        <w:numPr>
          <w:ilvl w:val="0"/>
          <w:numId w:val="209"/>
        </w:numPr>
        <w:rPr>
          <w:iCs/>
          <w:sz w:val="22"/>
        </w:rPr>
      </w:pPr>
      <w:r w:rsidRPr="00C80045">
        <w:rPr>
          <w:iCs/>
          <w:sz w:val="22"/>
        </w:rPr>
        <w:t>Uvažavajući rezultate industrijske analize (kvantitativne i kvalitativne) te projekcije osnovnih makroekonomskih pokazatelja, zaključeno je kako će glavna odrednica budućeg</w:t>
      </w:r>
      <w:r>
        <w:rPr>
          <w:iCs/>
          <w:sz w:val="22"/>
        </w:rPr>
        <w:t>a</w:t>
      </w:r>
      <w:r w:rsidRPr="00C80045">
        <w:rPr>
          <w:iCs/>
          <w:sz w:val="22"/>
        </w:rPr>
        <w:t xml:space="preserve"> industrijskog</w:t>
      </w:r>
      <w:r>
        <w:rPr>
          <w:iCs/>
          <w:sz w:val="22"/>
        </w:rPr>
        <w:t>a</w:t>
      </w:r>
      <w:r w:rsidRPr="00C80045">
        <w:rPr>
          <w:iCs/>
          <w:sz w:val="22"/>
        </w:rPr>
        <w:t xml:space="preserve"> rasta biti izvoz, odnosno konkurentnost poduzeća na izvoznim tržištima. Iako je domaće tržište važno iz više razloga, teško da se u narednom razdoblju može očekivati značajniji oporavak p</w:t>
      </w:r>
      <w:r>
        <w:rPr>
          <w:iCs/>
          <w:sz w:val="22"/>
        </w:rPr>
        <w:t>otrošnje kućanstva koja je i dosad bila prvenstveno</w:t>
      </w:r>
      <w:r w:rsidRPr="00C80045">
        <w:rPr>
          <w:iCs/>
          <w:sz w:val="22"/>
        </w:rPr>
        <w:t xml:space="preserve"> određena kreditnom aktivnošću poslovnih banaka. </w:t>
      </w:r>
    </w:p>
    <w:p w:rsidR="00C923F3" w:rsidRPr="00C80045" w:rsidRDefault="00C923F3" w:rsidP="00C923F3">
      <w:pPr>
        <w:rPr>
          <w:iCs/>
          <w:sz w:val="22"/>
        </w:rPr>
      </w:pPr>
    </w:p>
    <w:p w:rsidR="00C923F3" w:rsidRPr="00C80045" w:rsidRDefault="00C923F3" w:rsidP="00C923F3">
      <w:pPr>
        <w:numPr>
          <w:ilvl w:val="0"/>
          <w:numId w:val="210"/>
        </w:numPr>
        <w:rPr>
          <w:iCs/>
          <w:sz w:val="22"/>
        </w:rPr>
      </w:pPr>
      <w:r w:rsidRPr="00C80045">
        <w:rPr>
          <w:iCs/>
          <w:sz w:val="22"/>
        </w:rPr>
        <w:t xml:space="preserve">Uzevši u obzir </w:t>
      </w:r>
      <w:r>
        <w:rPr>
          <w:iCs/>
          <w:sz w:val="22"/>
        </w:rPr>
        <w:t xml:space="preserve">dvije navedene </w:t>
      </w:r>
      <w:r w:rsidRPr="00C80045">
        <w:rPr>
          <w:iCs/>
          <w:sz w:val="22"/>
        </w:rPr>
        <w:t>osnovne pretpostavke (</w:t>
      </w:r>
      <w:r>
        <w:rPr>
          <w:iCs/>
          <w:sz w:val="22"/>
        </w:rPr>
        <w:t xml:space="preserve">(1) </w:t>
      </w:r>
      <w:r w:rsidRPr="00C80045">
        <w:rPr>
          <w:iCs/>
          <w:sz w:val="22"/>
        </w:rPr>
        <w:t>orijentaciju na izvoz kao glavni izvor budućeg</w:t>
      </w:r>
      <w:r>
        <w:rPr>
          <w:iCs/>
          <w:sz w:val="22"/>
        </w:rPr>
        <w:t>a</w:t>
      </w:r>
      <w:r w:rsidRPr="00C80045">
        <w:rPr>
          <w:iCs/>
          <w:sz w:val="22"/>
        </w:rPr>
        <w:t xml:space="preserve"> rasta i </w:t>
      </w:r>
      <w:r>
        <w:rPr>
          <w:iCs/>
          <w:sz w:val="22"/>
        </w:rPr>
        <w:t xml:space="preserve">(2) </w:t>
      </w:r>
      <w:r w:rsidRPr="00C80045">
        <w:rPr>
          <w:iCs/>
          <w:sz w:val="22"/>
        </w:rPr>
        <w:t>zadržavanje pozicija na domaćem tržištu s</w:t>
      </w:r>
      <w:r>
        <w:rPr>
          <w:iCs/>
          <w:sz w:val="22"/>
        </w:rPr>
        <w:t>a</w:t>
      </w:r>
      <w:r w:rsidRPr="00C80045">
        <w:rPr>
          <w:iCs/>
          <w:sz w:val="22"/>
        </w:rPr>
        <w:t xml:space="preserve"> željom da se ostvari određena </w:t>
      </w:r>
      <w:r>
        <w:rPr>
          <w:iCs/>
          <w:sz w:val="22"/>
        </w:rPr>
        <w:t>razina zamjene</w:t>
      </w:r>
      <w:r w:rsidRPr="00C80045">
        <w:rPr>
          <w:iCs/>
          <w:sz w:val="22"/>
        </w:rPr>
        <w:t xml:space="preserve"> uvoza domaćim proizvodima), kao ključne varijable modela vrednovanja i rangiranja industrijskih poddjelatnosti uzete su: izvozna</w:t>
      </w:r>
      <w:r>
        <w:rPr>
          <w:iCs/>
          <w:sz w:val="22"/>
        </w:rPr>
        <w:t xml:space="preserve"> orijentacija, profitabilnost i</w:t>
      </w:r>
      <w:r w:rsidRPr="00C80045">
        <w:rPr>
          <w:iCs/>
          <w:sz w:val="22"/>
        </w:rPr>
        <w:t xml:space="preserve"> veličina poddjelatnosti po kriteriju broja zaposlenih. </w:t>
      </w:r>
    </w:p>
    <w:p w:rsidR="00C923F3" w:rsidRPr="00C80045" w:rsidRDefault="00C923F3" w:rsidP="00C923F3">
      <w:pPr>
        <w:rPr>
          <w:iCs/>
          <w:sz w:val="22"/>
        </w:rPr>
      </w:pPr>
    </w:p>
    <w:p w:rsidR="00C923F3" w:rsidRDefault="00C923F3" w:rsidP="00C923F3">
      <w:pPr>
        <w:numPr>
          <w:ilvl w:val="0"/>
          <w:numId w:val="211"/>
        </w:numPr>
        <w:rPr>
          <w:iCs/>
          <w:sz w:val="22"/>
        </w:rPr>
      </w:pPr>
      <w:r>
        <w:rPr>
          <w:iCs/>
          <w:sz w:val="22"/>
        </w:rPr>
        <w:t>Utvrđivanjem ključnih problema</w:t>
      </w:r>
      <w:r w:rsidRPr="00C80045">
        <w:rPr>
          <w:iCs/>
          <w:sz w:val="22"/>
        </w:rPr>
        <w:t xml:space="preserve"> industrije</w:t>
      </w:r>
      <w:r>
        <w:rPr>
          <w:iCs/>
          <w:sz w:val="22"/>
        </w:rPr>
        <w:t>, s jedne strane, i definiranjem industrijskih</w:t>
      </w:r>
      <w:r w:rsidRPr="00C80045">
        <w:rPr>
          <w:iCs/>
          <w:sz w:val="22"/>
        </w:rPr>
        <w:t xml:space="preserve"> poddjelatnosti koje imaju snage i sposobnosti za rješavanje ključnih problema, s druge strane, određene su glavne ulazne </w:t>
      </w:r>
      <w:r>
        <w:rPr>
          <w:iCs/>
          <w:sz w:val="22"/>
        </w:rPr>
        <w:t>varijable za proces izrade</w:t>
      </w:r>
      <w:r w:rsidRPr="00C80045">
        <w:rPr>
          <w:iCs/>
          <w:sz w:val="22"/>
        </w:rPr>
        <w:t xml:space="preserve"> strategije razvoja industrije u razdoblju 2014. – 2020. </w:t>
      </w:r>
    </w:p>
    <w:p w:rsidR="00C923F3" w:rsidRPr="00C80045" w:rsidRDefault="00C923F3" w:rsidP="00C923F3">
      <w:pPr>
        <w:rPr>
          <w:iCs/>
          <w:sz w:val="22"/>
        </w:rPr>
      </w:pPr>
    </w:p>
    <w:p w:rsidR="00C923F3" w:rsidRDefault="00C923F3" w:rsidP="00C923F3">
      <w:pPr>
        <w:numPr>
          <w:ilvl w:val="0"/>
          <w:numId w:val="212"/>
        </w:numPr>
        <w:rPr>
          <w:iCs/>
          <w:sz w:val="22"/>
        </w:rPr>
      </w:pPr>
      <w:r w:rsidRPr="00C80045">
        <w:rPr>
          <w:iCs/>
          <w:sz w:val="22"/>
        </w:rPr>
        <w:lastRenderedPageBreak/>
        <w:t xml:space="preserve">Zbog velike heterogenosti industrijskih djelatnosti, ali i problema u definiranju </w:t>
      </w:r>
      <w:r>
        <w:rPr>
          <w:iCs/>
          <w:sz w:val="22"/>
        </w:rPr>
        <w:t>njihovih granica</w:t>
      </w:r>
      <w:r w:rsidRPr="00C80045">
        <w:rPr>
          <w:iCs/>
          <w:sz w:val="22"/>
        </w:rPr>
        <w:t>, rang</w:t>
      </w:r>
      <w:r>
        <w:rPr>
          <w:iCs/>
          <w:sz w:val="22"/>
        </w:rPr>
        <w:t>iranje i vrednovanje provedeno</w:t>
      </w:r>
      <w:r w:rsidRPr="00C80045">
        <w:rPr>
          <w:iCs/>
          <w:sz w:val="22"/>
        </w:rPr>
        <w:t xml:space="preserve"> je na razini poddjelatnosti. Kako je os</w:t>
      </w:r>
      <w:r>
        <w:rPr>
          <w:iCs/>
          <w:sz w:val="22"/>
        </w:rPr>
        <w:t>novni cilj modela utvrđivanje</w:t>
      </w:r>
      <w:r w:rsidRPr="00C80045">
        <w:rPr>
          <w:iCs/>
          <w:sz w:val="22"/>
        </w:rPr>
        <w:t xml:space="preserve"> onih poddjelatnosti koje u značajnoj mjeri mogu pridonijeti zaustavljanju negativnih trendova,</w:t>
      </w:r>
      <w:r>
        <w:rPr>
          <w:iCs/>
          <w:sz w:val="22"/>
        </w:rPr>
        <w:t xml:space="preserve"> provedena</w:t>
      </w:r>
      <w:r w:rsidRPr="00C80045">
        <w:rPr>
          <w:iCs/>
          <w:sz w:val="22"/>
        </w:rPr>
        <w:t xml:space="preserve"> podjela (grupiranje) omogućuje definiranje horizontalnih mjera industrijs</w:t>
      </w:r>
      <w:r>
        <w:rPr>
          <w:iCs/>
          <w:sz w:val="22"/>
        </w:rPr>
        <w:t>ke strategije, ali i definiranih sektorskih smjernica u slučajevima kada</w:t>
      </w:r>
      <w:r w:rsidRPr="00C80045">
        <w:rPr>
          <w:iCs/>
          <w:sz w:val="22"/>
        </w:rPr>
        <w:t xml:space="preserve"> horizontalne mjere nisu dovoljne.</w:t>
      </w:r>
    </w:p>
    <w:p w:rsidR="00C923F3" w:rsidRDefault="00C923F3" w:rsidP="00C923F3">
      <w:pPr>
        <w:ind w:left="720"/>
        <w:rPr>
          <w:iCs/>
          <w:sz w:val="22"/>
        </w:rPr>
      </w:pPr>
    </w:p>
    <w:p w:rsidR="00C923F3" w:rsidRPr="00345D00" w:rsidRDefault="00C923F3" w:rsidP="00C923F3">
      <w:pPr>
        <w:numPr>
          <w:ilvl w:val="0"/>
          <w:numId w:val="213"/>
        </w:numPr>
        <w:rPr>
          <w:iCs/>
          <w:sz w:val="22"/>
        </w:rPr>
      </w:pPr>
      <w:r w:rsidRPr="007B7788">
        <w:rPr>
          <w:iCs/>
          <w:sz w:val="22"/>
        </w:rPr>
        <w:t>Model vrednovanja i rangiranja industrijskih poddjelatnosti</w:t>
      </w:r>
      <w:r w:rsidRPr="007B7788">
        <w:rPr>
          <w:iCs/>
          <w:sz w:val="22"/>
          <w:vertAlign w:val="superscript"/>
        </w:rPr>
        <w:footnoteReference w:id="23"/>
      </w:r>
      <w:r w:rsidRPr="007B7788">
        <w:rPr>
          <w:iCs/>
          <w:sz w:val="22"/>
        </w:rPr>
        <w:t xml:space="preserve"> primijenjen je i za vrednovanje i rangiranje industrijske djelatnosti.</w:t>
      </w:r>
      <w:r w:rsidRPr="00345D00">
        <w:rPr>
          <w:iCs/>
          <w:sz w:val="22"/>
        </w:rPr>
        <w:t xml:space="preserve"> </w:t>
      </w:r>
      <w:r>
        <w:rPr>
          <w:iCs/>
          <w:sz w:val="22"/>
        </w:rPr>
        <w:t>Objedinjavanjem rezultata</w:t>
      </w:r>
      <w:r w:rsidRPr="00345D00">
        <w:rPr>
          <w:iCs/>
          <w:sz w:val="22"/>
        </w:rPr>
        <w:t xml:space="preserve"> modela zaključeno je kako sljedeće industrijske djelatnosti imaju najveći potencijal, a time i „odgovornost“ za rast i razvoj industrije:</w:t>
      </w:r>
    </w:p>
    <w:p w:rsidR="00C923F3" w:rsidRPr="00C80045" w:rsidRDefault="00C923F3" w:rsidP="00C923F3">
      <w:pPr>
        <w:numPr>
          <w:ilvl w:val="0"/>
          <w:numId w:val="214"/>
        </w:numPr>
        <w:rPr>
          <w:iCs/>
          <w:sz w:val="22"/>
        </w:rPr>
      </w:pPr>
      <w:r>
        <w:rPr>
          <w:iCs/>
          <w:sz w:val="22"/>
        </w:rPr>
        <w:t>C 21 P</w:t>
      </w:r>
      <w:r w:rsidRPr="00C80045">
        <w:rPr>
          <w:iCs/>
          <w:sz w:val="22"/>
        </w:rPr>
        <w:t>roizvodnja osnovnih farmaceutskih proizvoda i pripravaka</w:t>
      </w:r>
      <w:r>
        <w:rPr>
          <w:iCs/>
          <w:sz w:val="22"/>
        </w:rPr>
        <w:t>,</w:t>
      </w:r>
    </w:p>
    <w:p w:rsidR="00C923F3" w:rsidRPr="00C80045" w:rsidRDefault="00C923F3" w:rsidP="00C923F3">
      <w:pPr>
        <w:numPr>
          <w:ilvl w:val="0"/>
          <w:numId w:val="214"/>
        </w:numPr>
        <w:rPr>
          <w:iCs/>
          <w:sz w:val="22"/>
        </w:rPr>
      </w:pPr>
      <w:r>
        <w:rPr>
          <w:iCs/>
          <w:sz w:val="22"/>
        </w:rPr>
        <w:t>C 26 P</w:t>
      </w:r>
      <w:r w:rsidRPr="00C80045">
        <w:rPr>
          <w:iCs/>
          <w:sz w:val="22"/>
        </w:rPr>
        <w:t>roizvodnja računala te elektroničkih i optičkih proizvoda</w:t>
      </w:r>
      <w:r>
        <w:rPr>
          <w:iCs/>
          <w:sz w:val="22"/>
        </w:rPr>
        <w:t>,</w:t>
      </w:r>
      <w:r w:rsidRPr="00C80045">
        <w:rPr>
          <w:iCs/>
          <w:sz w:val="22"/>
        </w:rPr>
        <w:t xml:space="preserve"> </w:t>
      </w:r>
    </w:p>
    <w:p w:rsidR="00C923F3" w:rsidRPr="00C80045" w:rsidRDefault="00C923F3" w:rsidP="00C923F3">
      <w:pPr>
        <w:numPr>
          <w:ilvl w:val="0"/>
          <w:numId w:val="214"/>
        </w:numPr>
        <w:rPr>
          <w:iCs/>
          <w:sz w:val="22"/>
        </w:rPr>
      </w:pPr>
      <w:r>
        <w:rPr>
          <w:iCs/>
          <w:sz w:val="22"/>
        </w:rPr>
        <w:t>C 25 P</w:t>
      </w:r>
      <w:r w:rsidRPr="00C80045">
        <w:rPr>
          <w:iCs/>
          <w:sz w:val="22"/>
        </w:rPr>
        <w:t>roizvodnja gotovih metalnih proizvoda</w:t>
      </w:r>
      <w:r>
        <w:rPr>
          <w:iCs/>
          <w:sz w:val="22"/>
        </w:rPr>
        <w:t>,</w:t>
      </w:r>
    </w:p>
    <w:p w:rsidR="00C923F3" w:rsidRPr="00C80045" w:rsidRDefault="00C923F3" w:rsidP="00C923F3">
      <w:pPr>
        <w:numPr>
          <w:ilvl w:val="0"/>
          <w:numId w:val="214"/>
        </w:numPr>
        <w:rPr>
          <w:iCs/>
          <w:sz w:val="22"/>
        </w:rPr>
      </w:pPr>
      <w:r>
        <w:rPr>
          <w:iCs/>
          <w:sz w:val="22"/>
        </w:rPr>
        <w:t>J 62  R</w:t>
      </w:r>
      <w:r w:rsidRPr="00C80045">
        <w:rPr>
          <w:iCs/>
          <w:sz w:val="22"/>
        </w:rPr>
        <w:t>ačunalno programiranje, savjetovanje i povezane djelatnosti (ICT)</w:t>
      </w:r>
      <w:r>
        <w:rPr>
          <w:iCs/>
          <w:sz w:val="22"/>
        </w:rPr>
        <w:t>,</w:t>
      </w:r>
    </w:p>
    <w:p w:rsidR="00C923F3" w:rsidRPr="00C80045" w:rsidRDefault="00C923F3" w:rsidP="00C923F3">
      <w:pPr>
        <w:numPr>
          <w:ilvl w:val="0"/>
          <w:numId w:val="214"/>
        </w:numPr>
        <w:rPr>
          <w:iCs/>
          <w:sz w:val="22"/>
        </w:rPr>
      </w:pPr>
      <w:r>
        <w:rPr>
          <w:iCs/>
          <w:sz w:val="22"/>
        </w:rPr>
        <w:t>C 27 P</w:t>
      </w:r>
      <w:r w:rsidRPr="00C80045">
        <w:rPr>
          <w:iCs/>
          <w:sz w:val="22"/>
        </w:rPr>
        <w:t>roizvodnja električne opreme</w:t>
      </w:r>
      <w:r>
        <w:rPr>
          <w:iCs/>
          <w:sz w:val="22"/>
        </w:rPr>
        <w:t>,</w:t>
      </w:r>
    </w:p>
    <w:p w:rsidR="00C923F3" w:rsidRPr="00C80045" w:rsidRDefault="00C923F3" w:rsidP="00C923F3">
      <w:pPr>
        <w:numPr>
          <w:ilvl w:val="0"/>
          <w:numId w:val="214"/>
        </w:numPr>
        <w:rPr>
          <w:iCs/>
          <w:sz w:val="22"/>
        </w:rPr>
      </w:pPr>
      <w:r>
        <w:rPr>
          <w:iCs/>
          <w:sz w:val="22"/>
        </w:rPr>
        <w:t>C 28 P</w:t>
      </w:r>
      <w:r w:rsidRPr="00C80045">
        <w:rPr>
          <w:iCs/>
          <w:sz w:val="22"/>
        </w:rPr>
        <w:t>roizvodnja strojeva i uređaja</w:t>
      </w:r>
      <w:r>
        <w:rPr>
          <w:iCs/>
          <w:sz w:val="22"/>
        </w:rPr>
        <w:t>.</w:t>
      </w:r>
    </w:p>
    <w:p w:rsidR="00C923F3" w:rsidRPr="00C80045" w:rsidRDefault="00C923F3" w:rsidP="00C923F3">
      <w:pPr>
        <w:rPr>
          <w:iCs/>
          <w:sz w:val="22"/>
        </w:rPr>
      </w:pPr>
    </w:p>
    <w:p w:rsidR="00C923F3" w:rsidRPr="00C80045" w:rsidRDefault="00C923F3" w:rsidP="00C923F3">
      <w:pPr>
        <w:numPr>
          <w:ilvl w:val="0"/>
          <w:numId w:val="215"/>
        </w:numPr>
        <w:rPr>
          <w:iCs/>
          <w:sz w:val="22"/>
        </w:rPr>
      </w:pPr>
      <w:r w:rsidRPr="00C80045">
        <w:rPr>
          <w:iCs/>
          <w:sz w:val="22"/>
        </w:rPr>
        <w:t>Uz navedene industrijske djelatnosti, potrebno je naglasiti stratešku ulogu i sljedećih djelatnosti:</w:t>
      </w:r>
    </w:p>
    <w:p w:rsidR="00C923F3" w:rsidRPr="00C80045" w:rsidRDefault="00C923F3" w:rsidP="00C923F3">
      <w:pPr>
        <w:numPr>
          <w:ilvl w:val="0"/>
          <w:numId w:val="216"/>
        </w:numPr>
        <w:rPr>
          <w:iCs/>
          <w:sz w:val="22"/>
        </w:rPr>
      </w:pPr>
      <w:r>
        <w:rPr>
          <w:iCs/>
          <w:sz w:val="22"/>
        </w:rPr>
        <w:t>C 10 P</w:t>
      </w:r>
      <w:r w:rsidRPr="00C80045">
        <w:rPr>
          <w:iCs/>
          <w:sz w:val="22"/>
        </w:rPr>
        <w:t>roizvodnja prehrambenih proizvoda</w:t>
      </w:r>
      <w:r>
        <w:rPr>
          <w:iCs/>
          <w:sz w:val="22"/>
        </w:rPr>
        <w:t>,</w:t>
      </w:r>
    </w:p>
    <w:p w:rsidR="00C923F3" w:rsidRPr="00C80045" w:rsidRDefault="00C923F3" w:rsidP="00C923F3">
      <w:pPr>
        <w:numPr>
          <w:ilvl w:val="0"/>
          <w:numId w:val="216"/>
        </w:numPr>
        <w:rPr>
          <w:iCs/>
          <w:sz w:val="22"/>
        </w:rPr>
      </w:pPr>
      <w:r>
        <w:rPr>
          <w:iCs/>
          <w:sz w:val="22"/>
        </w:rPr>
        <w:t>C 31 P</w:t>
      </w:r>
      <w:r w:rsidRPr="00C80045">
        <w:rPr>
          <w:iCs/>
          <w:sz w:val="22"/>
        </w:rPr>
        <w:t>roizvodnja namještaja.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Proizvodnja prehrambenih proizvoda je</w:t>
      </w:r>
      <w:r>
        <w:rPr>
          <w:iCs/>
          <w:sz w:val="22"/>
        </w:rPr>
        <w:t>, i po kriteriju ukupnoga prihoda i po kriteriju broja zaposlenih,</w:t>
      </w:r>
      <w:r w:rsidRPr="00C80045">
        <w:rPr>
          <w:iCs/>
          <w:sz w:val="22"/>
        </w:rPr>
        <w:t xml:space="preserve"> najveć</w:t>
      </w:r>
      <w:r>
        <w:rPr>
          <w:iCs/>
          <w:sz w:val="22"/>
        </w:rPr>
        <w:t>a industrijska djelatnost u RH te je</w:t>
      </w:r>
      <w:r w:rsidRPr="00C80045">
        <w:rPr>
          <w:iCs/>
          <w:sz w:val="22"/>
        </w:rPr>
        <w:t>, kao i u većini drugih zemalja EU</w:t>
      </w:r>
      <w:r>
        <w:rPr>
          <w:iCs/>
          <w:sz w:val="22"/>
        </w:rPr>
        <w:t>-a, strateški važna</w:t>
      </w:r>
      <w:r w:rsidRPr="00C80045">
        <w:rPr>
          <w:iCs/>
          <w:sz w:val="22"/>
        </w:rPr>
        <w:t xml:space="preserve"> zbog resursa kojim</w:t>
      </w:r>
      <w:r>
        <w:rPr>
          <w:iCs/>
          <w:sz w:val="22"/>
        </w:rPr>
        <w:t>a</w:t>
      </w:r>
      <w:r w:rsidRPr="00C80045">
        <w:rPr>
          <w:iCs/>
          <w:sz w:val="22"/>
        </w:rPr>
        <w:t xml:space="preserve"> upravlja. </w:t>
      </w:r>
      <w:r>
        <w:rPr>
          <w:iCs/>
          <w:sz w:val="22"/>
        </w:rPr>
        <w:t>Ponajviše je usmjerena</w:t>
      </w:r>
      <w:r w:rsidRPr="00C80045">
        <w:rPr>
          <w:iCs/>
          <w:sz w:val="22"/>
        </w:rPr>
        <w:t xml:space="preserve"> na domaće tržište</w:t>
      </w:r>
      <w:r>
        <w:rPr>
          <w:iCs/>
          <w:sz w:val="22"/>
        </w:rPr>
        <w:t xml:space="preserve"> pa</w:t>
      </w:r>
      <w:r w:rsidRPr="00C80045">
        <w:rPr>
          <w:iCs/>
          <w:sz w:val="22"/>
        </w:rPr>
        <w:t xml:space="preserve"> su uspješna borba sa snažnom konkurencijom uvoznih </w:t>
      </w:r>
      <w:r>
        <w:rPr>
          <w:iCs/>
          <w:sz w:val="22"/>
        </w:rPr>
        <w:t>proizvoda i pokušaj zamjene</w:t>
      </w:r>
      <w:r w:rsidRPr="00C80045">
        <w:rPr>
          <w:iCs/>
          <w:sz w:val="22"/>
        </w:rPr>
        <w:t xml:space="preserve"> uvoznih proizvoda domaćima jedni od glavnih izazova s kojima se ova djelatnost suočava, ali i jedni od glavnih elemenata rasta te djelatnosti. </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Velika prilika za ovu industrijsku djelatnost nalazi se u proizvodnji ekološke i</w:t>
      </w:r>
      <w:r>
        <w:rPr>
          <w:iCs/>
          <w:sz w:val="22"/>
        </w:rPr>
        <w:t xml:space="preserve"> zdrave hrane za koju, s obzirom na raspoloživost</w:t>
      </w:r>
      <w:r w:rsidRPr="00C80045">
        <w:rPr>
          <w:iCs/>
          <w:sz w:val="22"/>
        </w:rPr>
        <w:t xml:space="preserve"> prirodnih res</w:t>
      </w:r>
      <w:r>
        <w:rPr>
          <w:iCs/>
          <w:sz w:val="22"/>
        </w:rPr>
        <w:t>ursa, postoje sve pretpostavke</w:t>
      </w:r>
      <w:r w:rsidRPr="00C80045">
        <w:rPr>
          <w:iCs/>
          <w:sz w:val="22"/>
        </w:rPr>
        <w:t xml:space="preserve">. Idealno tržište za takav tip proizvoda upravo je sektor turizma koji se u velikoj mjeri zasniva </w:t>
      </w:r>
      <w:r>
        <w:rPr>
          <w:iCs/>
          <w:sz w:val="22"/>
        </w:rPr>
        <w:t xml:space="preserve">isključivo </w:t>
      </w:r>
      <w:r w:rsidRPr="00C80045">
        <w:rPr>
          <w:iCs/>
          <w:sz w:val="22"/>
        </w:rPr>
        <w:t>na prirodnim ljepotama.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Slično kao i prehrambena industrija, i proiz</w:t>
      </w:r>
      <w:r>
        <w:rPr>
          <w:iCs/>
          <w:sz w:val="22"/>
        </w:rPr>
        <w:t>vodnja namještaja svoj položaj</w:t>
      </w:r>
      <w:r w:rsidRPr="00C80045">
        <w:rPr>
          <w:iCs/>
          <w:sz w:val="22"/>
        </w:rPr>
        <w:t xml:space="preserve"> važne industrijske djelatnosti temelji na dostatnoj raspoloživosti i visokoj kvaliteti prirodnih resursa. Za razliku od prehrambene, djelatnost proizvodnje namještaja još uvijek nije u dovoljnoj mjeri iskoristila specifičnu konkurent</w:t>
      </w:r>
      <w:r>
        <w:rPr>
          <w:iCs/>
          <w:sz w:val="22"/>
        </w:rPr>
        <w:t>sk</w:t>
      </w:r>
      <w:r w:rsidRPr="00C80045">
        <w:rPr>
          <w:iCs/>
          <w:sz w:val="22"/>
        </w:rPr>
        <w:t>u prednost u kvalitetnoj sirovinskoj bazi te joj predstoji repozicioniranje u globaln</w:t>
      </w:r>
      <w:r>
        <w:rPr>
          <w:iCs/>
          <w:sz w:val="22"/>
        </w:rPr>
        <w:t>om vrijednosnom lancu s mjesta</w:t>
      </w:r>
      <w:r w:rsidRPr="00C80045">
        <w:rPr>
          <w:iCs/>
          <w:sz w:val="22"/>
        </w:rPr>
        <w:t xml:space="preserve"> proizvođača poluproizvoda i proizvoda niske dodane vrijednosti u isporučitelj</w:t>
      </w:r>
      <w:r>
        <w:rPr>
          <w:iCs/>
          <w:sz w:val="22"/>
        </w:rPr>
        <w:t>a vrhunski dizajniranog krajnjeg</w:t>
      </w:r>
      <w:r w:rsidRPr="00C80045">
        <w:rPr>
          <w:iCs/>
          <w:sz w:val="22"/>
        </w:rPr>
        <w:t xml:space="preserve"> proizvoda visoke dodane vrijednosti.  </w:t>
      </w:r>
    </w:p>
    <w:p w:rsidR="00C923F3" w:rsidRPr="00C80045" w:rsidRDefault="00C923F3" w:rsidP="00C923F3">
      <w:pPr>
        <w:rPr>
          <w:iCs/>
          <w:sz w:val="22"/>
        </w:rPr>
      </w:pPr>
    </w:p>
    <w:p w:rsidR="00C923F3" w:rsidRPr="00424064" w:rsidRDefault="00C923F3" w:rsidP="00C923F3">
      <w:pPr>
        <w:numPr>
          <w:ilvl w:val="0"/>
          <w:numId w:val="217"/>
        </w:numPr>
        <w:rPr>
          <w:iCs/>
          <w:sz w:val="22"/>
        </w:rPr>
      </w:pPr>
      <w:r w:rsidRPr="00C80045">
        <w:rPr>
          <w:iCs/>
          <w:sz w:val="22"/>
        </w:rPr>
        <w:lastRenderedPageBreak/>
        <w:t>Uz na</w:t>
      </w:r>
      <w:r>
        <w:rPr>
          <w:iCs/>
          <w:sz w:val="22"/>
        </w:rPr>
        <w:t>vedene industrijske djelatnosti,</w:t>
      </w:r>
      <w:r w:rsidRPr="00C80045">
        <w:rPr>
          <w:iCs/>
          <w:sz w:val="22"/>
        </w:rPr>
        <w:t xml:space="preserve"> i industrijske poddjelatnosti koje su </w:t>
      </w:r>
      <w:r>
        <w:rPr>
          <w:iCs/>
          <w:sz w:val="22"/>
        </w:rPr>
        <w:t>prema modelu</w:t>
      </w:r>
      <w:r w:rsidRPr="00C80045">
        <w:rPr>
          <w:iCs/>
          <w:sz w:val="22"/>
        </w:rPr>
        <w:t xml:space="preserve"> raspoređene u skup</w:t>
      </w:r>
      <w:r>
        <w:rPr>
          <w:iCs/>
          <w:sz w:val="22"/>
        </w:rPr>
        <w:t>ine „pokretači“ i „čuvari“ imat</w:t>
      </w:r>
      <w:r w:rsidRPr="00C80045">
        <w:rPr>
          <w:iCs/>
          <w:sz w:val="22"/>
        </w:rPr>
        <w:t xml:space="preserve"> će značajan doprinos u promjeni negativnih industrijskih trendova. </w:t>
      </w:r>
    </w:p>
    <w:p w:rsidR="00C923F3" w:rsidRDefault="00C923F3" w:rsidP="00C923F3"/>
    <w:p w:rsidR="0050036B" w:rsidRPr="004E6412" w:rsidRDefault="00C923F3" w:rsidP="00C923F3">
      <w:pPr>
        <w:numPr>
          <w:ilvl w:val="0"/>
          <w:numId w:val="245"/>
        </w:numPr>
        <w:rPr>
          <w:iCs/>
          <w:sz w:val="22"/>
        </w:rPr>
      </w:pPr>
      <w:r>
        <w:rPr>
          <w:iCs/>
          <w:sz w:val="22"/>
        </w:rPr>
        <w:t>„</w:t>
      </w:r>
      <w:r w:rsidRPr="007B7788">
        <w:rPr>
          <w:iCs/>
          <w:sz w:val="22"/>
        </w:rPr>
        <w:t>Pokretači</w:t>
      </w:r>
      <w:r>
        <w:rPr>
          <w:iCs/>
          <w:sz w:val="22"/>
        </w:rPr>
        <w:t>“ su industrijske poddjelatnosti</w:t>
      </w:r>
      <w:r w:rsidRPr="007B7788">
        <w:rPr>
          <w:iCs/>
          <w:sz w:val="22"/>
        </w:rPr>
        <w:t xml:space="preserve"> koje u prvom redu ostvaruju značajnu razinu izvoza. </w:t>
      </w:r>
      <w:r>
        <w:rPr>
          <w:iCs/>
          <w:sz w:val="22"/>
        </w:rPr>
        <w:t>Mjerama koje će se prvenstveno usmjeriti</w:t>
      </w:r>
      <w:r w:rsidRPr="007B7788">
        <w:rPr>
          <w:iCs/>
          <w:sz w:val="22"/>
        </w:rPr>
        <w:t xml:space="preserve"> na </w:t>
      </w:r>
      <w:r>
        <w:rPr>
          <w:iCs/>
          <w:sz w:val="22"/>
        </w:rPr>
        <w:t>„</w:t>
      </w:r>
      <w:r w:rsidRPr="007B7788">
        <w:rPr>
          <w:iCs/>
          <w:sz w:val="22"/>
        </w:rPr>
        <w:t>pokretače</w:t>
      </w:r>
      <w:r>
        <w:rPr>
          <w:iCs/>
          <w:sz w:val="22"/>
        </w:rPr>
        <w:t>“</w:t>
      </w:r>
      <w:r w:rsidRPr="007B7788">
        <w:rPr>
          <w:iCs/>
          <w:sz w:val="22"/>
        </w:rPr>
        <w:t xml:space="preserve"> postići će se pozitivni utjecaji i na strukturu industrije. Domaća industrija proizvodit će proizvode veće dodane vrijednosti što će rezultirati i povoljnijom strukturom izvoza, odnosno postići će se veća konkurentnost i na inozemnim tržištima što je od iznimne važnosti u uvjetima globalizacije.</w:t>
      </w:r>
    </w:p>
    <w:p w:rsidR="0050036B" w:rsidRPr="004E6412" w:rsidRDefault="0050036B" w:rsidP="0050036B">
      <w:pPr>
        <w:rPr>
          <w:iCs/>
          <w:sz w:val="22"/>
          <w:highlight w:val="yellow"/>
        </w:rPr>
      </w:pPr>
    </w:p>
    <w:p w:rsidR="0050036B" w:rsidRPr="004E6412" w:rsidRDefault="0050036B" w:rsidP="0050036B">
      <w:pPr>
        <w:rPr>
          <w:iCs/>
          <w:sz w:val="22"/>
          <w:highlight w:val="yellow"/>
        </w:rPr>
      </w:pPr>
    </w:p>
    <w:p w:rsidR="0050036B" w:rsidRPr="007D0CFD" w:rsidRDefault="0050036B" w:rsidP="007D0CFD">
      <w:pPr>
        <w:pStyle w:val="Heading5"/>
        <w:rPr>
          <w:rStyle w:val="IntenseEmphasis"/>
          <w:b/>
          <w:bCs w:val="0"/>
          <w:iCs w:val="0"/>
          <w:color w:val="548DD4" w:themeColor="text2" w:themeTint="99"/>
          <w:sz w:val="20"/>
        </w:rPr>
      </w:pPr>
      <w:bookmarkStart w:id="1125" w:name="_Toc377635317"/>
      <w:r w:rsidRPr="007D0CFD">
        <w:rPr>
          <w:rStyle w:val="IntenseEmphasis"/>
          <w:b/>
          <w:bCs w:val="0"/>
          <w:iCs w:val="0"/>
          <w:color w:val="548DD4" w:themeColor="text2" w:themeTint="99"/>
          <w:sz w:val="20"/>
        </w:rPr>
        <w:t>Tablica 116.  Sažeti prikaz ključnih pokazatelja industrije 2012. godine</w:t>
      </w:r>
      <w:bookmarkEnd w:id="1125"/>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978"/>
        <w:gridCol w:w="2182"/>
        <w:gridCol w:w="1984"/>
        <w:gridCol w:w="1984"/>
      </w:tblGrid>
      <w:tr w:rsidR="0050036B" w:rsidRPr="004E6412" w:rsidTr="00B31D5A">
        <w:trPr>
          <w:trHeight w:val="1066"/>
        </w:trPr>
        <w:tc>
          <w:tcPr>
            <w:tcW w:w="1631" w:type="pct"/>
            <w:shd w:val="clear" w:color="auto" w:fill="D9D9D9" w:themeFill="background1" w:themeFillShade="D9"/>
            <w:vAlign w:val="center"/>
          </w:tcPr>
          <w:p w:rsidR="0050036B" w:rsidRPr="004E6412" w:rsidRDefault="0050036B" w:rsidP="00907034">
            <w:pPr>
              <w:spacing w:line="240" w:lineRule="auto"/>
              <w:jc w:val="left"/>
              <w:rPr>
                <w:iCs/>
                <w:sz w:val="22"/>
              </w:rPr>
            </w:pPr>
          </w:p>
        </w:tc>
        <w:tc>
          <w:tcPr>
            <w:tcW w:w="1195"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C Prerađivačka industrija</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F Građevinarstvo</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J I</w:t>
            </w:r>
            <w:r w:rsidRPr="004E6412">
              <w:rPr>
                <w:sz w:val="22"/>
              </w:rPr>
              <w:t>n</w:t>
            </w:r>
            <w:r w:rsidRPr="004E6412">
              <w:rPr>
                <w:iCs/>
                <w:sz w:val="22"/>
              </w:rPr>
              <w:t>formacije i komunikacije</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iCs/>
                <w:sz w:val="22"/>
              </w:rPr>
              <w:t>Indeks fizičkog obujma</w:t>
            </w:r>
            <w:r w:rsidRPr="004E6412">
              <w:rPr>
                <w:iCs/>
                <w:sz w:val="22"/>
                <w:vertAlign w:val="superscript"/>
              </w:rPr>
              <w:footnoteReference w:id="24"/>
            </w:r>
            <w:r w:rsidRPr="004E6412">
              <w:rPr>
                <w:sz w:val="22"/>
              </w:rPr>
              <w:t xml:space="preserve"> (referentna godina = 2008.)</w:t>
            </w:r>
          </w:p>
        </w:tc>
        <w:tc>
          <w:tcPr>
            <w:tcW w:w="1195" w:type="pct"/>
            <w:vAlign w:val="center"/>
          </w:tcPr>
          <w:p w:rsidR="0050036B" w:rsidRPr="004E6412" w:rsidRDefault="0050036B" w:rsidP="00907034">
            <w:pPr>
              <w:spacing w:line="240" w:lineRule="auto"/>
              <w:jc w:val="center"/>
              <w:rPr>
                <w:sz w:val="22"/>
              </w:rPr>
            </w:pPr>
            <w:r w:rsidRPr="004E6412">
              <w:rPr>
                <w:sz w:val="22"/>
              </w:rPr>
              <w:t>82,718</w:t>
            </w:r>
          </w:p>
        </w:tc>
        <w:tc>
          <w:tcPr>
            <w:tcW w:w="1087" w:type="pct"/>
            <w:vAlign w:val="center"/>
          </w:tcPr>
          <w:p w:rsidR="0050036B" w:rsidRPr="004E6412" w:rsidRDefault="0050036B" w:rsidP="00907034">
            <w:pPr>
              <w:spacing w:line="240" w:lineRule="auto"/>
              <w:jc w:val="center"/>
              <w:rPr>
                <w:sz w:val="22"/>
              </w:rPr>
            </w:pPr>
            <w:r w:rsidRPr="004E6412">
              <w:rPr>
                <w:sz w:val="22"/>
              </w:rPr>
              <w:t>88,90</w:t>
            </w:r>
          </w:p>
        </w:tc>
        <w:tc>
          <w:tcPr>
            <w:tcW w:w="1087" w:type="pct"/>
            <w:vAlign w:val="center"/>
          </w:tcPr>
          <w:p w:rsidR="0050036B" w:rsidRPr="004E6412" w:rsidRDefault="0050036B" w:rsidP="00907034">
            <w:pPr>
              <w:spacing w:line="240" w:lineRule="auto"/>
              <w:jc w:val="center"/>
              <w:rPr>
                <w:sz w:val="22"/>
              </w:rPr>
            </w:pPr>
            <w:r w:rsidRPr="004E6412">
              <w:rPr>
                <w:sz w:val="22"/>
              </w:rPr>
              <w:t>-</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BDV (HRK)</w:t>
            </w:r>
          </w:p>
        </w:tc>
        <w:tc>
          <w:tcPr>
            <w:tcW w:w="1195" w:type="pct"/>
            <w:vAlign w:val="center"/>
          </w:tcPr>
          <w:p w:rsidR="0050036B" w:rsidRPr="004E6412" w:rsidRDefault="0050036B" w:rsidP="00907034">
            <w:pPr>
              <w:spacing w:line="240" w:lineRule="auto"/>
              <w:jc w:val="center"/>
              <w:rPr>
                <w:sz w:val="22"/>
              </w:rPr>
            </w:pPr>
            <w:r w:rsidRPr="004E6412">
              <w:rPr>
                <w:sz w:val="22"/>
              </w:rPr>
              <w:t>45.755.161.993</w:t>
            </w:r>
          </w:p>
        </w:tc>
        <w:tc>
          <w:tcPr>
            <w:tcW w:w="1087" w:type="pct"/>
            <w:vAlign w:val="center"/>
          </w:tcPr>
          <w:p w:rsidR="0050036B" w:rsidRPr="004E6412" w:rsidRDefault="0050036B" w:rsidP="00907034">
            <w:pPr>
              <w:spacing w:line="240" w:lineRule="auto"/>
              <w:jc w:val="center"/>
              <w:rPr>
                <w:sz w:val="22"/>
              </w:rPr>
            </w:pPr>
            <w:r w:rsidRPr="004E6412">
              <w:rPr>
                <w:sz w:val="22"/>
              </w:rPr>
              <w:t>9.435.312.455</w:t>
            </w:r>
          </w:p>
        </w:tc>
        <w:tc>
          <w:tcPr>
            <w:tcW w:w="1087" w:type="pct"/>
            <w:vAlign w:val="center"/>
          </w:tcPr>
          <w:p w:rsidR="0050036B" w:rsidRPr="004E6412" w:rsidRDefault="0050036B" w:rsidP="00907034">
            <w:pPr>
              <w:spacing w:line="240" w:lineRule="auto"/>
              <w:jc w:val="center"/>
              <w:rPr>
                <w:sz w:val="22"/>
              </w:rPr>
            </w:pPr>
            <w:r w:rsidRPr="004E6412">
              <w:rPr>
                <w:sz w:val="22"/>
              </w:rPr>
              <w:t>11.220.989.131</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zaposlenih</w:t>
            </w:r>
          </w:p>
        </w:tc>
        <w:tc>
          <w:tcPr>
            <w:tcW w:w="1195" w:type="pct"/>
            <w:vAlign w:val="center"/>
          </w:tcPr>
          <w:p w:rsidR="0050036B" w:rsidRPr="004E6412" w:rsidRDefault="0050036B" w:rsidP="00907034">
            <w:pPr>
              <w:spacing w:line="240" w:lineRule="auto"/>
              <w:jc w:val="center"/>
              <w:rPr>
                <w:sz w:val="22"/>
              </w:rPr>
            </w:pPr>
            <w:r w:rsidRPr="004E6412">
              <w:rPr>
                <w:sz w:val="22"/>
              </w:rPr>
              <w:t>224.441</w:t>
            </w:r>
          </w:p>
        </w:tc>
        <w:tc>
          <w:tcPr>
            <w:tcW w:w="1087" w:type="pct"/>
            <w:vAlign w:val="center"/>
          </w:tcPr>
          <w:p w:rsidR="0050036B" w:rsidRPr="004E6412" w:rsidRDefault="0050036B" w:rsidP="00907034">
            <w:pPr>
              <w:spacing w:line="240" w:lineRule="auto"/>
              <w:jc w:val="center"/>
              <w:rPr>
                <w:sz w:val="22"/>
              </w:rPr>
            </w:pPr>
            <w:r w:rsidRPr="004E6412">
              <w:rPr>
                <w:sz w:val="22"/>
              </w:rPr>
              <w:t>79.926</w:t>
            </w:r>
          </w:p>
        </w:tc>
        <w:tc>
          <w:tcPr>
            <w:tcW w:w="1087" w:type="pct"/>
            <w:vAlign w:val="center"/>
          </w:tcPr>
          <w:p w:rsidR="0050036B" w:rsidRPr="004E6412" w:rsidRDefault="0050036B" w:rsidP="00907034">
            <w:pPr>
              <w:spacing w:line="240" w:lineRule="auto"/>
              <w:jc w:val="center"/>
              <w:rPr>
                <w:sz w:val="22"/>
              </w:rPr>
            </w:pPr>
            <w:r w:rsidRPr="004E6412">
              <w:rPr>
                <w:sz w:val="22"/>
              </w:rPr>
              <w:t>31.388</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Produktivnost rada (HRK)</w:t>
            </w:r>
          </w:p>
        </w:tc>
        <w:tc>
          <w:tcPr>
            <w:tcW w:w="1195" w:type="pct"/>
            <w:vAlign w:val="center"/>
          </w:tcPr>
          <w:p w:rsidR="0050036B" w:rsidRPr="004E6412" w:rsidRDefault="0050036B" w:rsidP="00907034">
            <w:pPr>
              <w:spacing w:line="240" w:lineRule="auto"/>
              <w:jc w:val="center"/>
              <w:rPr>
                <w:sz w:val="22"/>
              </w:rPr>
            </w:pPr>
            <w:r w:rsidRPr="004E6412">
              <w:rPr>
                <w:sz w:val="22"/>
              </w:rPr>
              <w:t>203.863</w:t>
            </w:r>
          </w:p>
        </w:tc>
        <w:tc>
          <w:tcPr>
            <w:tcW w:w="1087" w:type="pct"/>
            <w:vAlign w:val="center"/>
          </w:tcPr>
          <w:p w:rsidR="0050036B" w:rsidRPr="004E6412" w:rsidRDefault="0050036B" w:rsidP="00907034">
            <w:pPr>
              <w:spacing w:line="240" w:lineRule="auto"/>
              <w:jc w:val="center"/>
              <w:rPr>
                <w:sz w:val="22"/>
              </w:rPr>
            </w:pPr>
            <w:r w:rsidRPr="004E6412">
              <w:rPr>
                <w:sz w:val="22"/>
              </w:rPr>
              <w:t>118.051</w:t>
            </w:r>
          </w:p>
        </w:tc>
        <w:tc>
          <w:tcPr>
            <w:tcW w:w="1087" w:type="pct"/>
            <w:vAlign w:val="center"/>
          </w:tcPr>
          <w:p w:rsidR="0050036B" w:rsidRPr="004E6412" w:rsidRDefault="0050036B" w:rsidP="00907034">
            <w:pPr>
              <w:spacing w:line="240" w:lineRule="auto"/>
              <w:jc w:val="center"/>
              <w:rPr>
                <w:sz w:val="22"/>
              </w:rPr>
            </w:pPr>
            <w:r w:rsidRPr="004E6412">
              <w:rPr>
                <w:sz w:val="22"/>
              </w:rPr>
              <w:t>357.493</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Izvoz (HRK)</w:t>
            </w:r>
          </w:p>
        </w:tc>
        <w:tc>
          <w:tcPr>
            <w:tcW w:w="1195" w:type="pct"/>
            <w:vAlign w:val="center"/>
          </w:tcPr>
          <w:p w:rsidR="0050036B" w:rsidRPr="004E6412" w:rsidRDefault="0050036B" w:rsidP="00907034">
            <w:pPr>
              <w:spacing w:line="240" w:lineRule="auto"/>
              <w:jc w:val="center"/>
              <w:rPr>
                <w:sz w:val="22"/>
              </w:rPr>
            </w:pPr>
            <w:r w:rsidRPr="004E6412">
              <w:rPr>
                <w:sz w:val="22"/>
              </w:rPr>
              <w:t>57.170.125.386</w:t>
            </w:r>
          </w:p>
        </w:tc>
        <w:tc>
          <w:tcPr>
            <w:tcW w:w="1087" w:type="pct"/>
            <w:vAlign w:val="center"/>
          </w:tcPr>
          <w:p w:rsidR="0050036B" w:rsidRPr="004E6412" w:rsidRDefault="0050036B" w:rsidP="00907034">
            <w:pPr>
              <w:spacing w:line="240" w:lineRule="auto"/>
              <w:jc w:val="center"/>
              <w:rPr>
                <w:sz w:val="22"/>
              </w:rPr>
            </w:pPr>
            <w:r w:rsidRPr="004E6412">
              <w:rPr>
                <w:sz w:val="22"/>
              </w:rPr>
              <w:t>1.414.581.699</w:t>
            </w:r>
          </w:p>
        </w:tc>
        <w:tc>
          <w:tcPr>
            <w:tcW w:w="1087" w:type="pct"/>
            <w:vAlign w:val="center"/>
          </w:tcPr>
          <w:p w:rsidR="0050036B" w:rsidRPr="004E6412" w:rsidRDefault="0050036B" w:rsidP="00907034">
            <w:pPr>
              <w:spacing w:line="240" w:lineRule="auto"/>
              <w:jc w:val="center"/>
              <w:rPr>
                <w:sz w:val="22"/>
              </w:rPr>
            </w:pPr>
            <w:r w:rsidRPr="004E6412">
              <w:rPr>
                <w:sz w:val="22"/>
              </w:rPr>
              <w:t>2.609.884.414</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Investicije u fiksni kapital</w:t>
            </w:r>
            <w:r w:rsidRPr="004E6412">
              <w:rPr>
                <w:rStyle w:val="FootnoteReference"/>
                <w:sz w:val="22"/>
              </w:rPr>
              <w:footnoteReference w:id="25"/>
            </w:r>
            <w:r w:rsidRPr="004E6412">
              <w:rPr>
                <w:sz w:val="22"/>
              </w:rPr>
              <w:t xml:space="preserve"> (HRK)</w:t>
            </w:r>
          </w:p>
        </w:tc>
        <w:tc>
          <w:tcPr>
            <w:tcW w:w="1195" w:type="pct"/>
            <w:vAlign w:val="center"/>
          </w:tcPr>
          <w:p w:rsidR="0050036B" w:rsidRPr="004E6412" w:rsidRDefault="0050036B" w:rsidP="00907034">
            <w:pPr>
              <w:spacing w:line="240" w:lineRule="auto"/>
              <w:jc w:val="center"/>
              <w:rPr>
                <w:sz w:val="22"/>
              </w:rPr>
            </w:pPr>
            <w:r w:rsidRPr="004E6412">
              <w:rPr>
                <w:sz w:val="22"/>
              </w:rPr>
              <w:t>5.529.032.000</w:t>
            </w:r>
          </w:p>
        </w:tc>
        <w:tc>
          <w:tcPr>
            <w:tcW w:w="1087" w:type="pct"/>
            <w:vAlign w:val="center"/>
          </w:tcPr>
          <w:p w:rsidR="0050036B" w:rsidRPr="004E6412" w:rsidRDefault="0050036B" w:rsidP="00907034">
            <w:pPr>
              <w:spacing w:line="240" w:lineRule="auto"/>
              <w:jc w:val="center"/>
              <w:rPr>
                <w:sz w:val="22"/>
              </w:rPr>
            </w:pPr>
            <w:r w:rsidRPr="004E6412">
              <w:rPr>
                <w:sz w:val="22"/>
              </w:rPr>
              <w:t>5.237.150.000</w:t>
            </w:r>
          </w:p>
        </w:tc>
        <w:tc>
          <w:tcPr>
            <w:tcW w:w="1087" w:type="pct"/>
            <w:vAlign w:val="center"/>
          </w:tcPr>
          <w:p w:rsidR="0050036B" w:rsidRPr="004E6412" w:rsidRDefault="0050036B" w:rsidP="00907034">
            <w:pPr>
              <w:spacing w:line="240" w:lineRule="auto"/>
              <w:jc w:val="center"/>
              <w:rPr>
                <w:sz w:val="22"/>
              </w:rPr>
            </w:pPr>
            <w:r w:rsidRPr="004E6412">
              <w:rPr>
                <w:sz w:val="22"/>
              </w:rPr>
              <w:t>2.404.945.000</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Rashodi za istraživanje i razvoj u BDP-u (%)</w:t>
            </w:r>
            <w:r w:rsidRPr="004E6412">
              <w:rPr>
                <w:rStyle w:val="FootnoteReference"/>
                <w:sz w:val="22"/>
              </w:rPr>
              <w:footnoteReference w:id="26"/>
            </w:r>
          </w:p>
        </w:tc>
        <w:tc>
          <w:tcPr>
            <w:tcW w:w="3369" w:type="pct"/>
            <w:gridSpan w:val="3"/>
            <w:vAlign w:val="center"/>
          </w:tcPr>
          <w:p w:rsidR="0050036B" w:rsidRPr="004E6412" w:rsidRDefault="0050036B" w:rsidP="00907034">
            <w:pPr>
              <w:spacing w:line="240" w:lineRule="auto"/>
              <w:jc w:val="center"/>
              <w:rPr>
                <w:sz w:val="22"/>
              </w:rPr>
            </w:pPr>
            <w:r w:rsidRPr="004E6412">
              <w:rPr>
                <w:sz w:val="22"/>
              </w:rPr>
              <w:t>0,75</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visokoobrazovane radne snage  (udio visokoobrazovane radne snage u ukupnom broju zaposlenih)</w:t>
            </w:r>
            <w:r w:rsidRPr="004E6412">
              <w:rPr>
                <w:rStyle w:val="FootnoteReference"/>
                <w:sz w:val="22"/>
              </w:rPr>
              <w:footnoteReference w:id="27"/>
            </w:r>
          </w:p>
        </w:tc>
        <w:tc>
          <w:tcPr>
            <w:tcW w:w="1195" w:type="pct"/>
            <w:vAlign w:val="center"/>
          </w:tcPr>
          <w:p w:rsidR="0050036B" w:rsidRPr="004E6412" w:rsidRDefault="0050036B" w:rsidP="00907034">
            <w:pPr>
              <w:spacing w:line="240" w:lineRule="auto"/>
              <w:jc w:val="center"/>
              <w:rPr>
                <w:sz w:val="22"/>
              </w:rPr>
            </w:pPr>
            <w:r w:rsidRPr="004E6412">
              <w:rPr>
                <w:sz w:val="22"/>
              </w:rPr>
              <w:t>18.976 (9,48%)</w:t>
            </w:r>
          </w:p>
        </w:tc>
        <w:tc>
          <w:tcPr>
            <w:tcW w:w="1087" w:type="pct"/>
            <w:vAlign w:val="center"/>
          </w:tcPr>
          <w:p w:rsidR="0050036B" w:rsidRPr="004E6412" w:rsidRDefault="0050036B" w:rsidP="00907034">
            <w:pPr>
              <w:spacing w:line="240" w:lineRule="auto"/>
              <w:jc w:val="center"/>
              <w:rPr>
                <w:sz w:val="22"/>
              </w:rPr>
            </w:pPr>
            <w:r w:rsidRPr="004E6412">
              <w:rPr>
                <w:sz w:val="22"/>
              </w:rPr>
              <w:t>5.238 (7,48%)</w:t>
            </w:r>
          </w:p>
        </w:tc>
        <w:tc>
          <w:tcPr>
            <w:tcW w:w="1087" w:type="pct"/>
            <w:vAlign w:val="center"/>
          </w:tcPr>
          <w:p w:rsidR="0050036B" w:rsidRPr="004E6412" w:rsidRDefault="0050036B" w:rsidP="00907034">
            <w:pPr>
              <w:spacing w:line="240" w:lineRule="auto"/>
              <w:jc w:val="center"/>
              <w:rPr>
                <w:sz w:val="22"/>
              </w:rPr>
            </w:pPr>
            <w:r w:rsidRPr="004E6412">
              <w:rPr>
                <w:sz w:val="22"/>
              </w:rPr>
              <w:t>11.621 (39,58%)</w:t>
            </w:r>
          </w:p>
        </w:tc>
      </w:tr>
    </w:tbl>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6" w:name="_Toc378069160"/>
      <w:r w:rsidRPr="004E6412">
        <w:t>Strateški ciljevi industrije za razdoblje 2014.-2020.</w:t>
      </w:r>
      <w:bookmarkEnd w:id="1126"/>
    </w:p>
    <w:p w:rsidR="0050036B" w:rsidRPr="004E6412" w:rsidRDefault="0050036B" w:rsidP="0050036B"/>
    <w:p w:rsidR="0050036B" w:rsidRPr="004E6412" w:rsidRDefault="0050036B" w:rsidP="0050036B"/>
    <w:p w:rsidR="00C923F3" w:rsidRPr="00DF681C" w:rsidRDefault="00C923F3" w:rsidP="00C923F3">
      <w:pPr>
        <w:numPr>
          <w:ilvl w:val="0"/>
          <w:numId w:val="258"/>
        </w:numPr>
        <w:rPr>
          <w:sz w:val="22"/>
        </w:rPr>
      </w:pPr>
      <w:r w:rsidRPr="00DF681C">
        <w:rPr>
          <w:sz w:val="22"/>
        </w:rPr>
        <w:t>Strateško pitanje razvoja industr</w:t>
      </w:r>
      <w:r>
        <w:rPr>
          <w:sz w:val="22"/>
        </w:rPr>
        <w:t xml:space="preserve">ije glasi: „Je li </w:t>
      </w:r>
      <w:r w:rsidRPr="00DF681C">
        <w:rPr>
          <w:sz w:val="22"/>
        </w:rPr>
        <w:t>moguće napraviti veliki skok u razvoju i pri tome, figurativno rečeno, ne upasti u ponor koji bi u konkretnom</w:t>
      </w:r>
      <w:r>
        <w:rPr>
          <w:sz w:val="22"/>
        </w:rPr>
        <w:t>e</w:t>
      </w:r>
      <w:r w:rsidRPr="00DF681C">
        <w:rPr>
          <w:sz w:val="22"/>
        </w:rPr>
        <w:t xml:space="preserve"> slučaju značio daljnje nazadovanje industrije</w:t>
      </w:r>
      <w:r>
        <w:rPr>
          <w:sz w:val="22"/>
        </w:rPr>
        <w:t xml:space="preserve">?“ </w:t>
      </w:r>
      <w:r w:rsidRPr="00DF681C">
        <w:rPr>
          <w:sz w:val="22"/>
        </w:rPr>
        <w:t>Proces priprema za „novi skok“</w:t>
      </w:r>
      <w:r>
        <w:rPr>
          <w:sz w:val="22"/>
        </w:rPr>
        <w:t xml:space="preserve"> </w:t>
      </w:r>
      <w:r w:rsidRPr="00DF681C">
        <w:rPr>
          <w:sz w:val="22"/>
        </w:rPr>
        <w:t xml:space="preserve">u tom </w:t>
      </w:r>
      <w:r>
        <w:rPr>
          <w:sz w:val="22"/>
        </w:rPr>
        <w:t xml:space="preserve">bi slučaju trajao </w:t>
      </w:r>
      <w:r w:rsidRPr="00DF681C">
        <w:rPr>
          <w:sz w:val="22"/>
        </w:rPr>
        <w:t xml:space="preserve">iznimno dugo i vjerojatno se nikada ne bi </w:t>
      </w:r>
      <w:r>
        <w:rPr>
          <w:sz w:val="22"/>
        </w:rPr>
        <w:t xml:space="preserve">ni </w:t>
      </w:r>
      <w:r w:rsidRPr="00DF681C">
        <w:rPr>
          <w:sz w:val="22"/>
        </w:rPr>
        <w:t>dogodio. Rizik od pogrešnog</w:t>
      </w:r>
      <w:r>
        <w:rPr>
          <w:sz w:val="22"/>
        </w:rPr>
        <w:t>a</w:t>
      </w:r>
      <w:r w:rsidRPr="00DF681C">
        <w:rPr>
          <w:sz w:val="22"/>
        </w:rPr>
        <w:t xml:space="preserve"> koraka je velik, ali postavlja se pitanje realnosti alternativnog</w:t>
      </w:r>
      <w:r>
        <w:rPr>
          <w:sz w:val="22"/>
        </w:rPr>
        <w:t>a</w:t>
      </w:r>
      <w:r w:rsidRPr="00DF681C">
        <w:rPr>
          <w:sz w:val="22"/>
        </w:rPr>
        <w:t xml:space="preserve"> pravca </w:t>
      </w:r>
      <w:r>
        <w:rPr>
          <w:sz w:val="22"/>
        </w:rPr>
        <w:t>(spore i neusmjerene promjene)</w:t>
      </w:r>
      <w:r w:rsidRPr="00DF681C">
        <w:rPr>
          <w:sz w:val="22"/>
        </w:rPr>
        <w:t xml:space="preserve"> koji bi značio siguran gubitak utrke na globalnoj razini konkurentnosti i razvoja </w:t>
      </w:r>
      <w:r>
        <w:rPr>
          <w:sz w:val="22"/>
        </w:rPr>
        <w:t xml:space="preserve">države. Nerazvijenije države, </w:t>
      </w:r>
      <w:r w:rsidRPr="00DF681C">
        <w:rPr>
          <w:sz w:val="22"/>
        </w:rPr>
        <w:t>s potencijalom u prirodnim resursima koji im omogućavaju postizanje konkurentne prednosti u pripadajućim područjima, moraju se odlučiti na ozbilja</w:t>
      </w:r>
      <w:r>
        <w:rPr>
          <w:sz w:val="22"/>
        </w:rPr>
        <w:t>n i hrabar iskorak jer samo na taj način mogu srednjoročno doseći</w:t>
      </w:r>
      <w:r w:rsidRPr="00DF681C">
        <w:rPr>
          <w:sz w:val="22"/>
        </w:rPr>
        <w:t xml:space="preserve"> razinu razvoja bogatijih zemalja. </w:t>
      </w:r>
    </w:p>
    <w:p w:rsidR="00C923F3" w:rsidRPr="00DF681C" w:rsidRDefault="00C923F3" w:rsidP="00C923F3">
      <w:pPr>
        <w:rPr>
          <w:sz w:val="22"/>
        </w:rPr>
      </w:pPr>
    </w:p>
    <w:p w:rsidR="0050036B" w:rsidRDefault="00C923F3" w:rsidP="00C923F3">
      <w:pPr>
        <w:numPr>
          <w:ilvl w:val="0"/>
          <w:numId w:val="258"/>
        </w:numPr>
        <w:rPr>
          <w:sz w:val="22"/>
        </w:rPr>
      </w:pPr>
      <w:r>
        <w:rPr>
          <w:sz w:val="22"/>
        </w:rPr>
        <w:t>Položaj hrvatske industrije u</w:t>
      </w:r>
      <w:r w:rsidRPr="00DF681C">
        <w:rPr>
          <w:sz w:val="22"/>
        </w:rPr>
        <w:t xml:space="preserve"> globalnom</w:t>
      </w:r>
      <w:r>
        <w:rPr>
          <w:sz w:val="22"/>
        </w:rPr>
        <w:t xml:space="preserve">e vrijednosnome lancu </w:t>
      </w:r>
      <w:r w:rsidRPr="00F92DFD">
        <w:rPr>
          <w:sz w:val="22"/>
        </w:rPr>
        <w:t>prevladava na</w:t>
      </w:r>
      <w:r w:rsidRPr="00DF681C">
        <w:rPr>
          <w:sz w:val="22"/>
        </w:rPr>
        <w:t xml:space="preserve"> proizvodnim aktivnostima niske razine dodane vrijednosti. Ključni razlozi za tako „lošu“ poziciju su: niska razi</w:t>
      </w:r>
      <w:r>
        <w:rPr>
          <w:sz w:val="22"/>
        </w:rPr>
        <w:t>na opremljenosti rada kapitalom,</w:t>
      </w:r>
      <w:r w:rsidRPr="00DF681C">
        <w:rPr>
          <w:sz w:val="22"/>
        </w:rPr>
        <w:t xml:space="preserve"> niska razina udjela visokoobrazovane radne snage u ukupnom</w:t>
      </w:r>
      <w:r>
        <w:rPr>
          <w:sz w:val="22"/>
        </w:rPr>
        <w:t>e</w:t>
      </w:r>
      <w:r w:rsidRPr="00DF681C">
        <w:rPr>
          <w:sz w:val="22"/>
        </w:rPr>
        <w:t xml:space="preserve"> broju zaposlenih te izrazito niska razina ulaganja u inovacije i razvoj novih proizvoda i usluga. Kako je strateška pozici</w:t>
      </w:r>
      <w:r>
        <w:rPr>
          <w:sz w:val="22"/>
        </w:rPr>
        <w:t>ja razvijenih zemalja prvenstveno</w:t>
      </w:r>
      <w:r w:rsidRPr="00DF681C">
        <w:rPr>
          <w:sz w:val="22"/>
        </w:rPr>
        <w:t xml:space="preserve"> usmjerena na one razine vrijednosnog</w:t>
      </w:r>
      <w:r>
        <w:rPr>
          <w:sz w:val="22"/>
        </w:rPr>
        <w:t>a</w:t>
      </w:r>
      <w:r w:rsidRPr="00DF681C">
        <w:rPr>
          <w:sz w:val="22"/>
        </w:rPr>
        <w:t xml:space="preserve"> lanca gdje se ostvaruje visoka razina dodane vrijednosti</w:t>
      </w:r>
      <w:r>
        <w:rPr>
          <w:sz w:val="22"/>
        </w:rPr>
        <w:t>,</w:t>
      </w:r>
      <w:r w:rsidRPr="00DF681C">
        <w:rPr>
          <w:sz w:val="22"/>
        </w:rPr>
        <w:t xml:space="preserve"> jasno je da se razvoj industrije mora usmjeravati prema onim podr</w:t>
      </w:r>
      <w:r>
        <w:rPr>
          <w:sz w:val="22"/>
        </w:rPr>
        <w:t>učjima gdje realno postoji moguć</w:t>
      </w:r>
      <w:r w:rsidRPr="00DF681C">
        <w:rPr>
          <w:sz w:val="22"/>
        </w:rPr>
        <w:t>nost za strateško pozicioniranje na višim razinama dodane vrijednosti. Na razini nacionalne ekonomije to znači da država mora odrediti svoje strateške industrije za koj</w:t>
      </w:r>
      <w:r>
        <w:rPr>
          <w:sz w:val="22"/>
        </w:rPr>
        <w:t>e postoje realne pretpostavke ostvarivanja</w:t>
      </w:r>
      <w:r w:rsidRPr="00DF681C">
        <w:rPr>
          <w:sz w:val="22"/>
        </w:rPr>
        <w:t xml:space="preserve"> globalne konkurentnosti. Pretpostavke za postizanje konkurentnosti su </w:t>
      </w:r>
      <w:r>
        <w:rPr>
          <w:sz w:val="22"/>
        </w:rPr>
        <w:t xml:space="preserve">posjedovanje </w:t>
      </w:r>
      <w:r w:rsidRPr="00DF681C">
        <w:rPr>
          <w:sz w:val="22"/>
        </w:rPr>
        <w:t>prirodni</w:t>
      </w:r>
      <w:r>
        <w:rPr>
          <w:sz w:val="22"/>
        </w:rPr>
        <w:t xml:space="preserve">h i </w:t>
      </w:r>
      <w:r w:rsidRPr="00DF681C">
        <w:rPr>
          <w:sz w:val="22"/>
        </w:rPr>
        <w:t>ljudski</w:t>
      </w:r>
      <w:r>
        <w:rPr>
          <w:sz w:val="22"/>
        </w:rPr>
        <w:t>h resursa</w:t>
      </w:r>
      <w:r w:rsidRPr="00DF681C">
        <w:rPr>
          <w:sz w:val="22"/>
        </w:rPr>
        <w:t>, tradici</w:t>
      </w:r>
      <w:r>
        <w:rPr>
          <w:sz w:val="22"/>
        </w:rPr>
        <w:t>je i iskustva</w:t>
      </w:r>
      <w:r w:rsidRPr="00DF681C">
        <w:rPr>
          <w:sz w:val="22"/>
        </w:rPr>
        <w:t xml:space="preserve">, </w:t>
      </w:r>
      <w:r>
        <w:rPr>
          <w:sz w:val="22"/>
        </w:rPr>
        <w:t xml:space="preserve">učinkovita </w:t>
      </w:r>
      <w:r w:rsidRPr="00DF681C">
        <w:rPr>
          <w:sz w:val="22"/>
        </w:rPr>
        <w:t xml:space="preserve">javna uprava, </w:t>
      </w:r>
      <w:r>
        <w:rPr>
          <w:sz w:val="22"/>
        </w:rPr>
        <w:t>razvijeno poduzetništvo i drugo</w:t>
      </w:r>
      <w:r w:rsidRPr="00DF681C">
        <w:rPr>
          <w:sz w:val="22"/>
        </w:rPr>
        <w:t>. Kroz model vrednovanja i rangiranja industrijskih poddjelatnosti (djelatnosti) definirane su one industrije za koje se smatra da mogu biti konkurentne na globalnom</w:t>
      </w:r>
      <w:r>
        <w:rPr>
          <w:sz w:val="22"/>
        </w:rPr>
        <w:t>e</w:t>
      </w:r>
      <w:r w:rsidRPr="00DF681C">
        <w:rPr>
          <w:sz w:val="22"/>
        </w:rPr>
        <w:t xml:space="preserve"> tržištu.</w:t>
      </w:r>
    </w:p>
    <w:p w:rsidR="00C923F3" w:rsidRPr="004E6412" w:rsidRDefault="00C923F3" w:rsidP="00C923F3">
      <w:pPr>
        <w:ind w:left="720"/>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50036B" w:rsidRPr="004E6412" w:rsidRDefault="0050036B" w:rsidP="0050036B">
      <w:pPr>
        <w:rPr>
          <w:sz w:val="22"/>
        </w:rPr>
      </w:pPr>
    </w:p>
    <w:p w:rsidR="0050036B" w:rsidRPr="004E6412" w:rsidRDefault="0050036B" w:rsidP="0050036B">
      <w:pPr>
        <w:pStyle w:val="Subtitle"/>
        <w:rPr>
          <w:lang w:val="hr-HR"/>
        </w:rPr>
      </w:pPr>
      <w:bookmarkStart w:id="1127" w:name="_Toc377635350"/>
      <w:r w:rsidRPr="004E6412">
        <w:rPr>
          <w:lang w:val="hr-HR"/>
        </w:rPr>
        <w:t>Slika 26. Lanac vrijednosti – strateški ciljevi hrvatske industrije</w:t>
      </w:r>
      <w:bookmarkEnd w:id="1127"/>
    </w:p>
    <w:p w:rsidR="0050036B" w:rsidRPr="004E6412" w:rsidRDefault="00294426" w:rsidP="0050036B">
      <w:pPr>
        <w:rPr>
          <w:sz w:val="22"/>
        </w:rPr>
      </w:pPr>
      <w:r>
        <w:rPr>
          <w:noProof/>
          <w:sz w:val="22"/>
          <w:lang w:eastAsia="hr-HR"/>
        </w:rPr>
        <mc:AlternateContent>
          <mc:Choice Requires="wpg">
            <w:drawing>
              <wp:anchor distT="0" distB="0" distL="114300" distR="114300" simplePos="0" relativeHeight="251683328" behindDoc="0" locked="0" layoutInCell="1" allowOverlap="1">
                <wp:simplePos x="0" y="0"/>
                <wp:positionH relativeFrom="column">
                  <wp:posOffset>-354330</wp:posOffset>
                </wp:positionH>
                <wp:positionV relativeFrom="paragraph">
                  <wp:posOffset>84455</wp:posOffset>
                </wp:positionV>
                <wp:extent cx="6045835" cy="4074160"/>
                <wp:effectExtent l="2540" t="29210" r="0" b="1905"/>
                <wp:wrapNone/>
                <wp:docPr id="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4074160"/>
                          <a:chOff x="859" y="2132"/>
                          <a:chExt cx="9521" cy="6416"/>
                        </a:xfrm>
                      </wpg:grpSpPr>
                      <wpg:grpSp>
                        <wpg:cNvPr id="50" name="Group 94"/>
                        <wpg:cNvGrpSpPr>
                          <a:grpSpLocks/>
                        </wpg:cNvGrpSpPr>
                        <wpg:grpSpPr bwMode="auto">
                          <a:xfrm>
                            <a:off x="859" y="2132"/>
                            <a:ext cx="9521" cy="6416"/>
                            <a:chOff x="734" y="2321"/>
                            <a:chExt cx="8943" cy="6168"/>
                          </a:xfrm>
                        </wpg:grpSpPr>
                        <wps:wsp>
                          <wps:cNvPr id="51" name="AutoShape 24"/>
                          <wps:cNvCnPr/>
                          <wps:spPr bwMode="auto">
                            <a:xfrm flipV="1">
                              <a:off x="1311" y="2321"/>
                              <a:ext cx="0" cy="460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 name="Group 96"/>
                          <wpg:cNvGrpSpPr>
                            <a:grpSpLocks/>
                          </wpg:cNvGrpSpPr>
                          <wpg:grpSpPr bwMode="auto">
                            <a:xfrm>
                              <a:off x="734" y="2761"/>
                              <a:ext cx="8943" cy="5728"/>
                              <a:chOff x="734" y="2761"/>
                              <a:chExt cx="8943" cy="5728"/>
                            </a:xfrm>
                          </wpg:grpSpPr>
                          <wps:wsp>
                            <wps:cNvPr id="53" name="Arc 97"/>
                            <wps:cNvSpPr>
                              <a:spLocks/>
                            </wps:cNvSpPr>
                            <wps:spPr bwMode="auto">
                              <a:xfrm rot="9262598">
                                <a:off x="2614" y="2761"/>
                                <a:ext cx="4375" cy="3241"/>
                              </a:xfrm>
                              <a:custGeom>
                                <a:avLst/>
                                <a:gdLst>
                                  <a:gd name="G0" fmla="+- 17322 0 0"/>
                                  <a:gd name="G1" fmla="+- 21600 0 0"/>
                                  <a:gd name="G2" fmla="+- 21600 0 0"/>
                                  <a:gd name="T0" fmla="*/ 0 w 38922"/>
                                  <a:gd name="T1" fmla="*/ 8696 h 27067"/>
                                  <a:gd name="T2" fmla="*/ 38219 w 38922"/>
                                  <a:gd name="T3" fmla="*/ 27067 h 27067"/>
                                  <a:gd name="T4" fmla="*/ 17322 w 38922"/>
                                  <a:gd name="T5" fmla="*/ 21600 h 27067"/>
                                </a:gdLst>
                                <a:ahLst/>
                                <a:cxnLst>
                                  <a:cxn ang="0">
                                    <a:pos x="T0" y="T1"/>
                                  </a:cxn>
                                  <a:cxn ang="0">
                                    <a:pos x="T2" y="T3"/>
                                  </a:cxn>
                                  <a:cxn ang="0">
                                    <a:pos x="T4" y="T5"/>
                                  </a:cxn>
                                </a:cxnLst>
                                <a:rect l="0" t="0" r="r" b="b"/>
                                <a:pathLst>
                                  <a:path w="38922" h="27067" fill="none" extrusionOk="0">
                                    <a:moveTo>
                                      <a:pt x="0" y="8696"/>
                                    </a:moveTo>
                                    <a:cubicBezTo>
                                      <a:pt x="4076" y="3224"/>
                                      <a:pt x="10498" y="-1"/>
                                      <a:pt x="17322" y="0"/>
                                    </a:cubicBezTo>
                                    <a:cubicBezTo>
                                      <a:pt x="29251" y="0"/>
                                      <a:pt x="38922" y="9670"/>
                                      <a:pt x="38922" y="21600"/>
                                    </a:cubicBezTo>
                                    <a:cubicBezTo>
                                      <a:pt x="38922" y="23444"/>
                                      <a:pt x="38685" y="25282"/>
                                      <a:pt x="38218" y="27066"/>
                                    </a:cubicBezTo>
                                  </a:path>
                                  <a:path w="38922" h="27067" stroke="0" extrusionOk="0">
                                    <a:moveTo>
                                      <a:pt x="0" y="8696"/>
                                    </a:moveTo>
                                    <a:cubicBezTo>
                                      <a:pt x="4076" y="3224"/>
                                      <a:pt x="10498" y="-1"/>
                                      <a:pt x="17322" y="0"/>
                                    </a:cubicBezTo>
                                    <a:cubicBezTo>
                                      <a:pt x="29251" y="0"/>
                                      <a:pt x="38922" y="9670"/>
                                      <a:pt x="38922" y="21600"/>
                                    </a:cubicBezTo>
                                    <a:cubicBezTo>
                                      <a:pt x="38922" y="23444"/>
                                      <a:pt x="38685" y="25282"/>
                                      <a:pt x="38218" y="27066"/>
                                    </a:cubicBezTo>
                                    <a:lnTo>
                                      <a:pt x="17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6"/>
                            <wps:cNvCnPr/>
                            <wps:spPr bwMode="auto">
                              <a:xfrm>
                                <a:off x="1311" y="6929"/>
                                <a:ext cx="623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4"/>
                            <wps:cNvCnPr/>
                            <wps:spPr bwMode="auto">
                              <a:xfrm>
                                <a:off x="1311" y="6577"/>
                                <a:ext cx="6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5"/>
                            <wps:cNvSpPr txBox="1">
                              <a:spLocks noChangeArrowheads="1"/>
                            </wps:cNvSpPr>
                            <wps:spPr bwMode="auto">
                              <a:xfrm>
                                <a:off x="734" y="2822"/>
                                <a:ext cx="473" cy="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jc w:val="center"/>
                                    <w:rPr>
                                      <w:b/>
                                      <w:sz w:val="20"/>
                                      <w:szCs w:val="20"/>
                                    </w:rPr>
                                  </w:pPr>
                                  <w:r w:rsidRPr="00E2469F">
                                    <w:rPr>
                                      <w:b/>
                                      <w:sz w:val="20"/>
                                      <w:szCs w:val="20"/>
                                    </w:rPr>
                                    <w:t>Dodana ekonomska vrijednost</w:t>
                                  </w:r>
                                </w:p>
                              </w:txbxContent>
                            </wps:txbx>
                            <wps:bodyPr rot="0" vert="vert270" wrap="square" lIns="91440" tIns="45720" rIns="91440" bIns="45720" anchor="t" anchorCtr="0" upright="1">
                              <a:noAutofit/>
                            </wps:bodyPr>
                          </wps:wsp>
                          <wps:wsp>
                            <wps:cNvPr id="57" name="Text Box 101"/>
                            <wps:cNvSpPr txBox="1">
                              <a:spLocks noChangeArrowheads="1"/>
                            </wps:cNvSpPr>
                            <wps:spPr bwMode="auto">
                              <a:xfrm>
                                <a:off x="1311"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spacing w:line="240" w:lineRule="auto"/>
                                    <w:jc w:val="center"/>
                                    <w:rPr>
                                      <w:sz w:val="20"/>
                                      <w:szCs w:val="20"/>
                                    </w:rPr>
                                  </w:pPr>
                                  <w:r>
                                    <w:rPr>
                                      <w:sz w:val="20"/>
                                      <w:szCs w:val="20"/>
                                    </w:rPr>
                                    <w:t>Pred-</w:t>
                                  </w:r>
                                  <w:r w:rsidRPr="00167887">
                                    <w:rPr>
                                      <w:sz w:val="20"/>
                                      <w:szCs w:val="20"/>
                                    </w:rPr>
                                    <w:t>proizvodne</w:t>
                                  </w:r>
                                </w:p>
                                <w:p w:rsidR="00683AF5" w:rsidRPr="00167887" w:rsidRDefault="00683AF5"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59" name="Text Box 102"/>
                            <wps:cNvSpPr txBox="1">
                              <a:spLocks noChangeArrowheads="1"/>
                            </wps:cNvSpPr>
                            <wps:spPr bwMode="auto">
                              <a:xfrm>
                                <a:off x="3269" y="705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spacing w:line="240" w:lineRule="auto"/>
                                    <w:jc w:val="center"/>
                                    <w:rPr>
                                      <w:sz w:val="20"/>
                                      <w:szCs w:val="20"/>
                                    </w:rPr>
                                  </w:pPr>
                                  <w:r>
                                    <w:rPr>
                                      <w:sz w:val="20"/>
                                      <w:szCs w:val="20"/>
                                    </w:rPr>
                                    <w:t>P</w:t>
                                  </w:r>
                                  <w:r w:rsidRPr="00167887">
                                    <w:rPr>
                                      <w:sz w:val="20"/>
                                      <w:szCs w:val="20"/>
                                    </w:rPr>
                                    <w:t>roizvodne</w:t>
                                  </w:r>
                                </w:p>
                                <w:p w:rsidR="00683AF5" w:rsidRPr="00167887" w:rsidRDefault="00683AF5" w:rsidP="0050036B">
                                  <w:pPr>
                                    <w:jc w:val="center"/>
                                    <w:rPr>
                                      <w:sz w:val="20"/>
                                      <w:szCs w:val="20"/>
                                    </w:rPr>
                                  </w:pPr>
                                  <w:r>
                                    <w:rPr>
                                      <w:sz w:val="20"/>
                                      <w:szCs w:val="20"/>
                                    </w:rPr>
                                    <w:t>materijalne</w:t>
                                  </w:r>
                                </w:p>
                              </w:txbxContent>
                            </wps:txbx>
                            <wps:bodyPr rot="0" vert="horz" wrap="square" lIns="91440" tIns="45720" rIns="91440" bIns="45720" anchor="t" anchorCtr="0" upright="1">
                              <a:noAutofit/>
                            </wps:bodyPr>
                          </wps:wsp>
                          <wps:wsp>
                            <wps:cNvPr id="60" name="Text Box 103"/>
                            <wps:cNvSpPr txBox="1">
                              <a:spLocks noChangeArrowheads="1"/>
                            </wps:cNvSpPr>
                            <wps:spPr bwMode="auto">
                              <a:xfrm>
                                <a:off x="5530" y="7110"/>
                                <a:ext cx="21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Default="00683AF5" w:rsidP="0050036B">
                                  <w:pPr>
                                    <w:jc w:val="center"/>
                                    <w:rPr>
                                      <w:sz w:val="20"/>
                                      <w:szCs w:val="20"/>
                                    </w:rPr>
                                  </w:pPr>
                                  <w:r>
                                    <w:rPr>
                                      <w:sz w:val="20"/>
                                      <w:szCs w:val="20"/>
                                    </w:rPr>
                                    <w:t>Post-proizvodne</w:t>
                                  </w:r>
                                </w:p>
                                <w:p w:rsidR="00683AF5" w:rsidRPr="00167887" w:rsidRDefault="00683AF5" w:rsidP="0050036B">
                                  <w:pPr>
                                    <w:spacing w:line="240" w:lineRule="auto"/>
                                    <w:jc w:val="center"/>
                                    <w:rPr>
                                      <w:sz w:val="20"/>
                                      <w:szCs w:val="20"/>
                                    </w:rPr>
                                  </w:pPr>
                                  <w:r>
                                    <w:rPr>
                                      <w:sz w:val="20"/>
                                      <w:szCs w:val="20"/>
                                    </w:rPr>
                                    <w:t>nematerijalne</w:t>
                                  </w:r>
                                </w:p>
                              </w:txbxContent>
                            </wps:txbx>
                            <wps:bodyPr rot="0" vert="horz" wrap="square" lIns="91440" tIns="45720" rIns="91440" bIns="45720" anchor="t" anchorCtr="0" upright="1">
                              <a:noAutofit/>
                            </wps:bodyPr>
                          </wps:wsp>
                          <wps:wsp>
                            <wps:cNvPr id="61" name="Text Box 39"/>
                            <wps:cNvSpPr txBox="1">
                              <a:spLocks noChangeArrowheads="1"/>
                            </wps:cNvSpPr>
                            <wps:spPr bwMode="auto">
                              <a:xfrm>
                                <a:off x="7697" y="6426"/>
                                <a:ext cx="198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rPr>
                                      <w:sz w:val="20"/>
                                      <w:szCs w:val="20"/>
                                    </w:rPr>
                                  </w:pPr>
                                  <w:r>
                                    <w:rPr>
                                      <w:sz w:val="20"/>
                                      <w:szCs w:val="20"/>
                                    </w:rPr>
                                    <w:t>B</w:t>
                                  </w:r>
                                  <w:r w:rsidRPr="00E2469F">
                                    <w:rPr>
                                      <w:sz w:val="20"/>
                                      <w:szCs w:val="20"/>
                                    </w:rPr>
                                    <w:t>azna cijena</w:t>
                                  </w:r>
                                </w:p>
                              </w:txbxContent>
                            </wps:txbx>
                            <wps:bodyPr rot="0" vert="horz" wrap="square" lIns="91440" tIns="45720" rIns="91440" bIns="45720" anchor="t" anchorCtr="0" upright="1">
                              <a:noAutofit/>
                            </wps:bodyPr>
                          </wps:wsp>
                          <wps:wsp>
                            <wps:cNvPr id="62" name="Text Box 105"/>
                            <wps:cNvSpPr txBox="1">
                              <a:spLocks noChangeArrowheads="1"/>
                            </wps:cNvSpPr>
                            <wps:spPr bwMode="auto">
                              <a:xfrm>
                                <a:off x="2531" y="7865"/>
                                <a:ext cx="402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AF5" w:rsidRPr="00E2469F" w:rsidRDefault="00683AF5" w:rsidP="0050036B">
                                  <w:pPr>
                                    <w:spacing w:line="240" w:lineRule="auto"/>
                                    <w:jc w:val="center"/>
                                    <w:rPr>
                                      <w:b/>
                                      <w:sz w:val="20"/>
                                      <w:szCs w:val="20"/>
                                    </w:rPr>
                                  </w:pPr>
                                  <w:r w:rsidRPr="00E2469F">
                                    <w:rPr>
                                      <w:b/>
                                      <w:sz w:val="20"/>
                                      <w:szCs w:val="20"/>
                                    </w:rPr>
                                    <w:t xml:space="preserve">Aktivnosti koje dodaju vrijednost </w:t>
                                  </w:r>
                                </w:p>
                              </w:txbxContent>
                            </wps:txbx>
                            <wps:bodyPr rot="0" vert="horz" wrap="square" lIns="91440" tIns="45720" rIns="91440" bIns="45720" anchor="t" anchorCtr="0" upright="1">
                              <a:noAutofit/>
                            </wps:bodyPr>
                          </wps:wsp>
                          <wps:wsp>
                            <wps:cNvPr id="63" name="Oval 106"/>
                            <wps:cNvSpPr>
                              <a:spLocks noChangeArrowheads="1"/>
                            </wps:cNvSpPr>
                            <wps:spPr bwMode="auto">
                              <a:xfrm>
                                <a:off x="3698" y="5712"/>
                                <a:ext cx="1832" cy="714"/>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Proizvodnja</w:t>
                                  </w:r>
                                </w:p>
                              </w:txbxContent>
                            </wps:txbx>
                            <wps:bodyPr rot="0" vert="horz" wrap="square" lIns="91440" tIns="45720" rIns="91440" bIns="45720" anchor="t" anchorCtr="0" upright="1">
                              <a:noAutofit/>
                            </wps:bodyPr>
                          </wps:wsp>
                          <wps:wsp>
                            <wps:cNvPr id="128" name="Oval 107"/>
                            <wps:cNvSpPr>
                              <a:spLocks noChangeArrowheads="1"/>
                            </wps:cNvSpPr>
                            <wps:spPr bwMode="auto">
                              <a:xfrm>
                                <a:off x="1994" y="5080"/>
                                <a:ext cx="1842" cy="770"/>
                              </a:xfrm>
                              <a:prstGeom prst="ellipse">
                                <a:avLst/>
                              </a:prstGeom>
                              <a:solidFill>
                                <a:srgbClr val="FFFFFF"/>
                              </a:solidFill>
                              <a:ln w="9525">
                                <a:solidFill>
                                  <a:srgbClr val="000000"/>
                                </a:solidFill>
                                <a:round/>
                                <a:headEnd/>
                                <a:tailEnd/>
                              </a:ln>
                            </wps:spPr>
                            <wps:txbx>
                              <w:txbxContent>
                                <w:p w:rsidR="00683AF5" w:rsidRPr="00725772" w:rsidRDefault="00683AF5" w:rsidP="0050036B">
                                  <w:pPr>
                                    <w:spacing w:line="240" w:lineRule="auto"/>
                                    <w:jc w:val="center"/>
                                    <w:rPr>
                                      <w:sz w:val="18"/>
                                      <w:szCs w:val="18"/>
                                    </w:rPr>
                                  </w:pPr>
                                  <w:r w:rsidRPr="00725772">
                                    <w:rPr>
                                      <w:sz w:val="18"/>
                                      <w:szCs w:val="18"/>
                                    </w:rPr>
                                    <w:t>Logistika nabave</w:t>
                                  </w:r>
                                </w:p>
                              </w:txbxContent>
                            </wps:txbx>
                            <wps:bodyPr rot="0" vert="horz" wrap="square" lIns="91440" tIns="45720" rIns="91440" bIns="45720" anchor="t" anchorCtr="0" upright="1">
                              <a:noAutofit/>
                            </wps:bodyPr>
                          </wps:wsp>
                          <wps:wsp>
                            <wps:cNvPr id="129" name="Oval 108"/>
                            <wps:cNvSpPr>
                              <a:spLocks noChangeArrowheads="1"/>
                            </wps:cNvSpPr>
                            <wps:spPr bwMode="auto">
                              <a:xfrm>
                                <a:off x="1582" y="4205"/>
                                <a:ext cx="1877"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Dizajn</w:t>
                                  </w:r>
                                </w:p>
                              </w:txbxContent>
                            </wps:txbx>
                            <wps:bodyPr rot="0" vert="horz" wrap="square" lIns="91440" tIns="45720" rIns="91440" bIns="45720" anchor="t" anchorCtr="0" upright="1">
                              <a:noAutofit/>
                            </wps:bodyPr>
                          </wps:wsp>
                          <wps:wsp>
                            <wps:cNvPr id="130" name="Oval 109"/>
                            <wps:cNvSpPr>
                              <a:spLocks noChangeArrowheads="1"/>
                            </wps:cNvSpPr>
                            <wps:spPr bwMode="auto">
                              <a:xfrm>
                                <a:off x="1392" y="3272"/>
                                <a:ext cx="1877" cy="749"/>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Istraživanje i razvoj</w:t>
                                  </w:r>
                                </w:p>
                              </w:txbxContent>
                            </wps:txbx>
                            <wps:bodyPr rot="0" vert="horz" wrap="square" lIns="91440" tIns="45720" rIns="91440" bIns="45720" anchor="t" anchorCtr="0" upright="1">
                              <a:noAutofit/>
                            </wps:bodyPr>
                          </wps:wsp>
                          <wps:wsp>
                            <wps:cNvPr id="131" name="Oval 110"/>
                            <wps:cNvSpPr>
                              <a:spLocks noChangeArrowheads="1"/>
                            </wps:cNvSpPr>
                            <wps:spPr bwMode="auto">
                              <a:xfrm>
                                <a:off x="5417" y="5184"/>
                                <a:ext cx="1911"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spacing w:line="240" w:lineRule="auto"/>
                                    <w:jc w:val="center"/>
                                    <w:rPr>
                                      <w:sz w:val="18"/>
                                      <w:szCs w:val="18"/>
                                    </w:rPr>
                                  </w:pPr>
                                  <w:r w:rsidRPr="00725772">
                                    <w:rPr>
                                      <w:sz w:val="18"/>
                                      <w:szCs w:val="18"/>
                                    </w:rPr>
                                    <w:t>Logistika distribucije</w:t>
                                  </w:r>
                                </w:p>
                              </w:txbxContent>
                            </wps:txbx>
                            <wps:bodyPr rot="0" vert="horz" wrap="square" lIns="91440" tIns="45720" rIns="91440" bIns="45720" anchor="t" anchorCtr="0" upright="1">
                              <a:noAutofit/>
                            </wps:bodyPr>
                          </wps:wsp>
                          <wps:wsp>
                            <wps:cNvPr id="132" name="Oval 111"/>
                            <wps:cNvSpPr>
                              <a:spLocks noChangeArrowheads="1"/>
                            </wps:cNvSpPr>
                            <wps:spPr bwMode="auto">
                              <a:xfrm>
                                <a:off x="6189" y="4285"/>
                                <a:ext cx="1829" cy="733"/>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Marketing</w:t>
                                  </w:r>
                                </w:p>
                              </w:txbxContent>
                            </wps:txbx>
                            <wps:bodyPr rot="0" vert="horz" wrap="square" lIns="91440" tIns="45720" rIns="91440" bIns="45720" anchor="t" anchorCtr="0" upright="1">
                              <a:noAutofit/>
                            </wps:bodyPr>
                          </wps:wsp>
                          <wps:wsp>
                            <wps:cNvPr id="133" name="Oval 112"/>
                            <wps:cNvSpPr>
                              <a:spLocks noChangeArrowheads="1"/>
                            </wps:cNvSpPr>
                            <wps:spPr bwMode="auto">
                              <a:xfrm>
                                <a:off x="6328" y="3272"/>
                                <a:ext cx="1844" cy="749"/>
                              </a:xfrm>
                              <a:prstGeom prst="ellipse">
                                <a:avLst/>
                              </a:prstGeom>
                              <a:solidFill>
                                <a:srgbClr val="FFFFFF"/>
                              </a:solidFill>
                              <a:ln w="9525">
                                <a:solidFill>
                                  <a:srgbClr val="000000"/>
                                </a:solidFill>
                                <a:round/>
                                <a:headEnd/>
                                <a:tailEnd/>
                              </a:ln>
                            </wps:spPr>
                            <wps:txbx>
                              <w:txbxContent>
                                <w:p w:rsidR="00683AF5" w:rsidRPr="00725772" w:rsidRDefault="00683AF5" w:rsidP="0050036B">
                                  <w:pPr>
                                    <w:jc w:val="center"/>
                                    <w:rPr>
                                      <w:sz w:val="18"/>
                                      <w:szCs w:val="18"/>
                                    </w:rPr>
                                  </w:pPr>
                                  <w:r w:rsidRPr="00725772">
                                    <w:rPr>
                                      <w:sz w:val="18"/>
                                      <w:szCs w:val="18"/>
                                    </w:rPr>
                                    <w:t>Postprodajne usluge</w:t>
                                  </w:r>
                                </w:p>
                              </w:txbxContent>
                            </wps:txbx>
                            <wps:bodyPr rot="0" vert="horz" wrap="square" lIns="91440" tIns="45720" rIns="91440" bIns="45720" anchor="t" anchorCtr="0" upright="1">
                              <a:noAutofit/>
                            </wps:bodyPr>
                          </wps:wsp>
                        </wpg:grpSp>
                      </wpg:grpSp>
                      <wps:wsp>
                        <wps:cNvPr id="134" name="AutoShape 113"/>
                        <wps:cNvSpPr>
                          <a:spLocks noChangeArrowheads="1"/>
                        </wps:cNvSpPr>
                        <wps:spPr bwMode="auto">
                          <a:xfrm rot="2731824">
                            <a:off x="3945" y="2849"/>
                            <a:ext cx="2542" cy="2577"/>
                          </a:xfrm>
                          <a:custGeom>
                            <a:avLst/>
                            <a:gdLst>
                              <a:gd name="G0" fmla="+- 13238 0 0"/>
                              <a:gd name="G1" fmla="+- 17937 0 0"/>
                              <a:gd name="G2" fmla="+- 5562 0 0"/>
                              <a:gd name="G3" fmla="*/ 13238 1 2"/>
                              <a:gd name="G4" fmla="+- G3 10800 0"/>
                              <a:gd name="G5" fmla="+- 21600 13238 17937"/>
                              <a:gd name="G6" fmla="+- 17937 5562 0"/>
                              <a:gd name="G7" fmla="*/ G6 1 2"/>
                              <a:gd name="G8" fmla="*/ 17937 2 1"/>
                              <a:gd name="G9" fmla="+- G8 0 21600"/>
                              <a:gd name="G10" fmla="+- G5 0 G4"/>
                              <a:gd name="G11" fmla="+- 13238 0 G4"/>
                              <a:gd name="G12" fmla="*/ G2 G10 G11"/>
                              <a:gd name="T0" fmla="*/ 17419 w 21600"/>
                              <a:gd name="T1" fmla="*/ 0 h 21600"/>
                              <a:gd name="T2" fmla="*/ 13238 w 21600"/>
                              <a:gd name="T3" fmla="*/ 5562 h 21600"/>
                              <a:gd name="T4" fmla="*/ 5562 w 21600"/>
                              <a:gd name="T5" fmla="*/ 13238 h 21600"/>
                              <a:gd name="T6" fmla="*/ 0 w 21600"/>
                              <a:gd name="T7" fmla="*/ 17419 h 21600"/>
                              <a:gd name="T8" fmla="*/ 5562 w 21600"/>
                              <a:gd name="T9" fmla="*/ 21600 h 21600"/>
                              <a:gd name="T10" fmla="*/ 11750 w 21600"/>
                              <a:gd name="T11" fmla="*/ 17937 h 21600"/>
                              <a:gd name="T12" fmla="*/ 17937 w 21600"/>
                              <a:gd name="T13" fmla="*/ 11750 h 21600"/>
                              <a:gd name="T14" fmla="*/ 21600 w 21600"/>
                              <a:gd name="T15" fmla="*/ 5562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7419" y="0"/>
                                </a:moveTo>
                                <a:lnTo>
                                  <a:pt x="13238" y="5562"/>
                                </a:lnTo>
                                <a:lnTo>
                                  <a:pt x="16901" y="5562"/>
                                </a:lnTo>
                                <a:lnTo>
                                  <a:pt x="16901" y="16901"/>
                                </a:lnTo>
                                <a:lnTo>
                                  <a:pt x="5562" y="16901"/>
                                </a:lnTo>
                                <a:lnTo>
                                  <a:pt x="5562" y="13238"/>
                                </a:lnTo>
                                <a:lnTo>
                                  <a:pt x="0" y="17419"/>
                                </a:lnTo>
                                <a:lnTo>
                                  <a:pt x="5562" y="21600"/>
                                </a:lnTo>
                                <a:lnTo>
                                  <a:pt x="5562" y="17937"/>
                                </a:lnTo>
                                <a:lnTo>
                                  <a:pt x="17937" y="17937"/>
                                </a:lnTo>
                                <a:lnTo>
                                  <a:pt x="17937" y="5562"/>
                                </a:lnTo>
                                <a:lnTo>
                                  <a:pt x="21600" y="5562"/>
                                </a:ln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19" style="position:absolute;left:0;text-align:left;margin-left:-27.9pt;margin-top:6.65pt;width:476.05pt;height:320.8pt;z-index:251683328" coordorigin="859,2132" coordsize="952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">
                <v:group id="Group 94" o:spid="_x0000_s1120" style="position:absolute;left:859;top:2132;width:9521;height:6416" coordorigin="734,2321" coordsize="8943,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24" o:spid="_x0000_s1121" type="#_x0000_t32" style="position:absolute;left:1311;top:2321;width:0;height:4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rQcUAAADbAAAADwAAAGRycy9kb3ducmV2LnhtbESPQWvCQBSE70L/w/IKvekmAaVE12CV&#10;lhaK0Kj3Z/aZhGbfptk1Rn99Vyj0OMzMN8wiG0wjeupcbVlBPIlAEBdW11wq2O9ex88gnEfW2Fgm&#10;BVdykC0fRgtMtb3wF/W5L0WAsEtRQeV9m0rpiooMuoltiYN3sp1BH2RXSt3hJcBNI5MomkmDNYeF&#10;CltaV1R852ejwOU3fzjK/vPn3CQf283+bXp9SZR6ehxWcxCeBv8f/mu/awXTGO5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rQcUAAADbAAAADwAAAAAAAAAA&#10;AAAAAAChAgAAZHJzL2Rvd25yZXYueG1sUEsFBgAAAAAEAAQA+QAAAJMDAAAAAA==&#10;" strokeweight="2.25pt">
                    <v:stroke endarrow="block"/>
                  </v:shape>
                  <v:group id="Group 96" o:spid="_x0000_s1122" style="position:absolute;left:734;top:2761;width:8943;height:5728" coordorigin="734,2761" coordsize="8943,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rc 97" o:spid="_x0000_s1123" style="position:absolute;left:2614;top:2761;width:4375;height:3241;rotation:10117227fd;visibility:visible;mso-wrap-style:square;v-text-anchor:top" coordsize="38922,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HgcIA&#10;AADbAAAADwAAAGRycy9kb3ducmV2LnhtbESPzWrDMBCE74G+g9hCbonc/NG6kU1pKeRW4oSeF2tr&#10;mVorIym28/ZVINDjMDPfMPtysp0YyIfWsYKnZQaCuHa65UbB+fS5eAYRIrLGzjEpuFKAsniY7THX&#10;buQjDVVsRIJwyFGBibHPpQy1IYth6Xri5P04bzEm6RupPY4Jbju5yrKdtNhyWjDY07uh+re6WAXj&#10;WX9n3tt28/Jx4MFthqvZfSk1f5zeXkFEmuJ/+N4+aAXbNdy+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eBwgAAANsAAAAPAAAAAAAAAAAAAAAAAJgCAABkcnMvZG93&#10;bnJldi54bWxQSwUGAAAAAAQABAD1AAAAhwMAAAAA&#10;" path="m,8696nfc4076,3224,10498,-1,17322,,29251,,38922,9670,38922,21600v,1844,-237,3682,-704,5466em,8696nsc4076,3224,10498,-1,17322,,29251,,38922,9670,38922,21600v,1844,-237,3682,-704,5466l17322,21600,,8696xe" filled="f">
                      <v:path arrowok="t" o:extrusionok="f" o:connecttype="custom" o:connectlocs="0,1041;4296,3241;1947,2586" o:connectangles="0,0,0"/>
                    </v:shape>
                    <v:shape id="AutoShape 26" o:spid="_x0000_s1124" type="#_x0000_t32" style="position:absolute;left:1311;top:6929;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QSfGAAAA2wAAAA8AAAAAAAAA&#10;AAAAAAAAoQIAAGRycy9kb3ducmV2LnhtbFBLBQYAAAAABAAEAPkAAACUAwAAAAA=&#10;" strokeweight="2.25pt"/>
                    <v:shape id="AutoShape 34" o:spid="_x0000_s1125" type="#_x0000_t32" style="position:absolute;left:1311;top:6577;width:6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Text Box 35" o:spid="_x0000_s1126" type="#_x0000_t202" style="position:absolute;left:734;top:2822;width:473;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34MMA&#10;AADbAAAADwAAAGRycy9kb3ducmV2LnhtbESPQWvCQBSE74X+h+UVvNWNiqFEV7EFQRAENfT8yD6z&#10;0ezbkF1j9Ne7QqHHYWa+YebL3taio9ZXjhWMhgkI4sLpiksF+XH9+QXCB2SNtWNScCcPy8X72xwz&#10;7W68p+4QShEh7DNUYEJoMil9YciiH7qGOHon11oMUbal1C3eItzWcpwkqbRYcVww2NCPoeJyuFoF&#10;XfLIiwk6ud2d0/yyMuPvbver1OCjX81ABOrDf/ivvdEKpi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34MMAAADbAAAADwAAAAAAAAAAAAAAAACYAgAAZHJzL2Rv&#10;d25yZXYueG1sUEsFBgAAAAAEAAQA9QAAAIgDAAAAAA==&#10;" stroked="f">
                      <v:textbox style="layout-flow:vertical;mso-layout-flow-alt:bottom-to-top">
                        <w:txbxContent>
                          <w:p w:rsidR="00683AF5" w:rsidRPr="00E2469F" w:rsidRDefault="00683AF5" w:rsidP="0050036B">
                            <w:pPr>
                              <w:jc w:val="center"/>
                              <w:rPr>
                                <w:b/>
                                <w:sz w:val="20"/>
                                <w:szCs w:val="20"/>
                              </w:rPr>
                            </w:pPr>
                            <w:r w:rsidRPr="00E2469F">
                              <w:rPr>
                                <w:b/>
                                <w:sz w:val="20"/>
                                <w:szCs w:val="20"/>
                              </w:rPr>
                              <w:t>Dodana ekonomska vrijednost</w:t>
                            </w:r>
                          </w:p>
                        </w:txbxContent>
                      </v:textbox>
                    </v:shape>
                    <v:shape id="Text Box 101" o:spid="_x0000_s1127" type="#_x0000_t202" style="position:absolute;left:1311;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683AF5" w:rsidRDefault="00683AF5" w:rsidP="0050036B">
                            <w:pPr>
                              <w:spacing w:line="240" w:lineRule="auto"/>
                              <w:jc w:val="center"/>
                              <w:rPr>
                                <w:sz w:val="20"/>
                                <w:szCs w:val="20"/>
                              </w:rPr>
                            </w:pPr>
                            <w:r>
                              <w:rPr>
                                <w:sz w:val="20"/>
                                <w:szCs w:val="20"/>
                              </w:rPr>
                              <w:t>Pred-</w:t>
                            </w:r>
                            <w:r w:rsidRPr="00167887">
                              <w:rPr>
                                <w:sz w:val="20"/>
                                <w:szCs w:val="20"/>
                              </w:rPr>
                              <w:t>proizvodne</w:t>
                            </w:r>
                          </w:p>
                          <w:p w:rsidR="00683AF5" w:rsidRPr="00167887" w:rsidRDefault="00683AF5" w:rsidP="0050036B">
                            <w:pPr>
                              <w:spacing w:line="240" w:lineRule="auto"/>
                              <w:jc w:val="center"/>
                              <w:rPr>
                                <w:sz w:val="20"/>
                                <w:szCs w:val="20"/>
                              </w:rPr>
                            </w:pPr>
                            <w:r>
                              <w:rPr>
                                <w:sz w:val="20"/>
                                <w:szCs w:val="20"/>
                              </w:rPr>
                              <w:t>nematerijalne</w:t>
                            </w:r>
                          </w:p>
                        </w:txbxContent>
                      </v:textbox>
                    </v:shape>
                    <v:shape id="Text Box 102" o:spid="_x0000_s1128" type="#_x0000_t202" style="position:absolute;left:3269;top:705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83AF5" w:rsidRDefault="00683AF5" w:rsidP="0050036B">
                            <w:pPr>
                              <w:spacing w:line="240" w:lineRule="auto"/>
                              <w:jc w:val="center"/>
                              <w:rPr>
                                <w:sz w:val="20"/>
                                <w:szCs w:val="20"/>
                              </w:rPr>
                            </w:pPr>
                            <w:r>
                              <w:rPr>
                                <w:sz w:val="20"/>
                                <w:szCs w:val="20"/>
                              </w:rPr>
                              <w:t>P</w:t>
                            </w:r>
                            <w:r w:rsidRPr="00167887">
                              <w:rPr>
                                <w:sz w:val="20"/>
                                <w:szCs w:val="20"/>
                              </w:rPr>
                              <w:t>roizvodne</w:t>
                            </w:r>
                          </w:p>
                          <w:p w:rsidR="00683AF5" w:rsidRPr="00167887" w:rsidRDefault="00683AF5" w:rsidP="0050036B">
                            <w:pPr>
                              <w:jc w:val="center"/>
                              <w:rPr>
                                <w:sz w:val="20"/>
                                <w:szCs w:val="20"/>
                              </w:rPr>
                            </w:pPr>
                            <w:r>
                              <w:rPr>
                                <w:sz w:val="20"/>
                                <w:szCs w:val="20"/>
                              </w:rPr>
                              <w:t>materijalne</w:t>
                            </w:r>
                          </w:p>
                        </w:txbxContent>
                      </v:textbox>
                    </v:shape>
                    <v:shape id="Text Box 103" o:spid="_x0000_s1129" type="#_x0000_t202" style="position:absolute;left:5530;top:7110;width:21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683AF5" w:rsidRDefault="00683AF5" w:rsidP="0050036B">
                            <w:pPr>
                              <w:jc w:val="center"/>
                              <w:rPr>
                                <w:sz w:val="20"/>
                                <w:szCs w:val="20"/>
                              </w:rPr>
                            </w:pPr>
                            <w:r>
                              <w:rPr>
                                <w:sz w:val="20"/>
                                <w:szCs w:val="20"/>
                              </w:rPr>
                              <w:t>Post-proizvodne</w:t>
                            </w:r>
                          </w:p>
                          <w:p w:rsidR="00683AF5" w:rsidRPr="00167887" w:rsidRDefault="00683AF5" w:rsidP="0050036B">
                            <w:pPr>
                              <w:spacing w:line="240" w:lineRule="auto"/>
                              <w:jc w:val="center"/>
                              <w:rPr>
                                <w:sz w:val="20"/>
                                <w:szCs w:val="20"/>
                              </w:rPr>
                            </w:pPr>
                            <w:r>
                              <w:rPr>
                                <w:sz w:val="20"/>
                                <w:szCs w:val="20"/>
                              </w:rPr>
                              <w:t>nematerijalne</w:t>
                            </w:r>
                          </w:p>
                        </w:txbxContent>
                      </v:textbox>
                    </v:shape>
                    <v:shape id="Text Box 39" o:spid="_x0000_s1130" type="#_x0000_t202" style="position:absolute;left:7697;top:6426;width:19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83AF5" w:rsidRPr="00E2469F" w:rsidRDefault="00683AF5" w:rsidP="0050036B">
                            <w:pPr>
                              <w:rPr>
                                <w:sz w:val="20"/>
                                <w:szCs w:val="20"/>
                              </w:rPr>
                            </w:pPr>
                            <w:r>
                              <w:rPr>
                                <w:sz w:val="20"/>
                                <w:szCs w:val="20"/>
                              </w:rPr>
                              <w:t>B</w:t>
                            </w:r>
                            <w:r w:rsidRPr="00E2469F">
                              <w:rPr>
                                <w:sz w:val="20"/>
                                <w:szCs w:val="20"/>
                              </w:rPr>
                              <w:t>azna cijena</w:t>
                            </w:r>
                          </w:p>
                        </w:txbxContent>
                      </v:textbox>
                    </v:shape>
                    <v:shape id="Text Box 105" o:spid="_x0000_s1131" type="#_x0000_t202" style="position:absolute;left:2531;top:7865;width:402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683AF5" w:rsidRPr="00E2469F" w:rsidRDefault="00683AF5" w:rsidP="0050036B">
                            <w:pPr>
                              <w:spacing w:line="240" w:lineRule="auto"/>
                              <w:jc w:val="center"/>
                              <w:rPr>
                                <w:b/>
                                <w:sz w:val="20"/>
                                <w:szCs w:val="20"/>
                              </w:rPr>
                            </w:pPr>
                            <w:r w:rsidRPr="00E2469F">
                              <w:rPr>
                                <w:b/>
                                <w:sz w:val="20"/>
                                <w:szCs w:val="20"/>
                              </w:rPr>
                              <w:t xml:space="preserve">Aktivnosti koje dodaju vrijednost </w:t>
                            </w:r>
                          </w:p>
                        </w:txbxContent>
                      </v:textbox>
                    </v:shape>
                    <v:oval id="Oval 106" o:spid="_x0000_s1132" style="position:absolute;left:3698;top:5712;width:183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rsidR="00683AF5" w:rsidRPr="00725772" w:rsidRDefault="00683AF5" w:rsidP="0050036B">
                            <w:pPr>
                              <w:jc w:val="center"/>
                              <w:rPr>
                                <w:sz w:val="18"/>
                                <w:szCs w:val="18"/>
                              </w:rPr>
                            </w:pPr>
                            <w:r w:rsidRPr="00725772">
                              <w:rPr>
                                <w:sz w:val="18"/>
                                <w:szCs w:val="18"/>
                              </w:rPr>
                              <w:t>Proizvodnja</w:t>
                            </w:r>
                          </w:p>
                        </w:txbxContent>
                      </v:textbox>
                    </v:oval>
                    <v:oval id="Oval 107" o:spid="_x0000_s1133" style="position:absolute;left:1994;top:5080;width:184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textbox>
                        <w:txbxContent>
                          <w:p w:rsidR="00683AF5" w:rsidRPr="00725772" w:rsidRDefault="00683AF5" w:rsidP="0050036B">
                            <w:pPr>
                              <w:spacing w:line="240" w:lineRule="auto"/>
                              <w:jc w:val="center"/>
                              <w:rPr>
                                <w:sz w:val="18"/>
                                <w:szCs w:val="18"/>
                              </w:rPr>
                            </w:pPr>
                            <w:r w:rsidRPr="00725772">
                              <w:rPr>
                                <w:sz w:val="18"/>
                                <w:szCs w:val="18"/>
                              </w:rPr>
                              <w:t>Logistika nabave</w:t>
                            </w:r>
                          </w:p>
                        </w:txbxContent>
                      </v:textbox>
                    </v:oval>
                    <v:oval id="Oval 108" o:spid="_x0000_s1134" style="position:absolute;left:1582;top:4205;width:187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683AF5" w:rsidRPr="00725772" w:rsidRDefault="00683AF5" w:rsidP="0050036B">
                            <w:pPr>
                              <w:jc w:val="center"/>
                              <w:rPr>
                                <w:sz w:val="18"/>
                                <w:szCs w:val="18"/>
                              </w:rPr>
                            </w:pPr>
                            <w:r w:rsidRPr="00725772">
                              <w:rPr>
                                <w:sz w:val="18"/>
                                <w:szCs w:val="18"/>
                              </w:rPr>
                              <w:t>Dizajn</w:t>
                            </w:r>
                          </w:p>
                        </w:txbxContent>
                      </v:textbox>
                    </v:oval>
                    <v:oval id="Oval 109" o:spid="_x0000_s1135" style="position:absolute;left:1392;top:3272;width:187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textbox>
                        <w:txbxContent>
                          <w:p w:rsidR="00683AF5" w:rsidRPr="00725772" w:rsidRDefault="00683AF5" w:rsidP="0050036B">
                            <w:pPr>
                              <w:jc w:val="center"/>
                              <w:rPr>
                                <w:sz w:val="18"/>
                                <w:szCs w:val="18"/>
                              </w:rPr>
                            </w:pPr>
                            <w:r w:rsidRPr="00725772">
                              <w:rPr>
                                <w:sz w:val="18"/>
                                <w:szCs w:val="18"/>
                              </w:rPr>
                              <w:t>Istraživanje i razvoj</w:t>
                            </w:r>
                          </w:p>
                        </w:txbxContent>
                      </v:textbox>
                    </v:oval>
                    <v:oval id="Oval 110" o:spid="_x0000_s1136" style="position:absolute;left:5417;top:5184;width:191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683AF5" w:rsidRPr="00725772" w:rsidRDefault="00683AF5" w:rsidP="0050036B">
                            <w:pPr>
                              <w:spacing w:line="240" w:lineRule="auto"/>
                              <w:jc w:val="center"/>
                              <w:rPr>
                                <w:sz w:val="18"/>
                                <w:szCs w:val="18"/>
                              </w:rPr>
                            </w:pPr>
                            <w:r w:rsidRPr="00725772">
                              <w:rPr>
                                <w:sz w:val="18"/>
                                <w:szCs w:val="18"/>
                              </w:rPr>
                              <w:t>Logistika distribucije</w:t>
                            </w:r>
                          </w:p>
                        </w:txbxContent>
                      </v:textbox>
                    </v:oval>
                    <v:oval id="Oval 111" o:spid="_x0000_s1137" style="position:absolute;left:6189;top:4285;width:182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683AF5" w:rsidRPr="00725772" w:rsidRDefault="00683AF5" w:rsidP="0050036B">
                            <w:pPr>
                              <w:jc w:val="center"/>
                              <w:rPr>
                                <w:sz w:val="18"/>
                                <w:szCs w:val="18"/>
                              </w:rPr>
                            </w:pPr>
                            <w:r w:rsidRPr="00725772">
                              <w:rPr>
                                <w:sz w:val="18"/>
                                <w:szCs w:val="18"/>
                              </w:rPr>
                              <w:t>Marketing</w:t>
                            </w:r>
                          </w:p>
                        </w:txbxContent>
                      </v:textbox>
                    </v:oval>
                    <v:oval id="Oval 112" o:spid="_x0000_s1138" style="position:absolute;left:6328;top:3272;width:184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textbox>
                        <w:txbxContent>
                          <w:p w:rsidR="00683AF5" w:rsidRPr="00725772" w:rsidRDefault="00683AF5" w:rsidP="0050036B">
                            <w:pPr>
                              <w:jc w:val="center"/>
                              <w:rPr>
                                <w:sz w:val="18"/>
                                <w:szCs w:val="18"/>
                              </w:rPr>
                            </w:pPr>
                            <w:r w:rsidRPr="00725772">
                              <w:rPr>
                                <w:sz w:val="18"/>
                                <w:szCs w:val="18"/>
                              </w:rPr>
                              <w:t>Postprodajne usluge</w:t>
                            </w:r>
                          </w:p>
                        </w:txbxContent>
                      </v:textbox>
                    </v:oval>
                  </v:group>
                </v:group>
                <v:shape id="AutoShape 113" o:spid="_x0000_s1139" style="position:absolute;left:3945;top:2849;width:2542;height:2577;rotation:29838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qLMQA&#10;AADcAAAADwAAAGRycy9kb3ducmV2LnhtbERPyW7CMBC9V+IfrEHiVhwWdUkxCFCpeuilhMJ1FE+T&#10;iHhs2W4I/fq6UqXe5umts1j1phUd+dBYVjAZZyCIS6sbrhQcit3tA4gQkTW2lknBlQKsloObBeba&#10;Xvidun2sRArhkKOCOkaXSxnKmgyGsXXEifu03mBM0FdSe7ykcNPKaZbdSYMNp4YaHW1rKs/7L6Pg&#10;Q3Yb/Vb4R79z3/b4cn9wxelZqdGwXz+BiNTHf/Gf+1Wn+bM5/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KizEAAAA3AAAAA8AAAAAAAAAAAAAAAAAmAIAAGRycy9k&#10;b3ducmV2LnhtbFBLBQYAAAAABAAEAPUAAACJAwAAAAA=&#10;" path="m17419,l13238,5562r3663,l16901,16901r-11339,l5562,13238,,17419r5562,4181l5562,17937r12375,l17937,5562r3663,l17419,xe" fillcolor="#c0504d [3205]" strokecolor="#f2f2f2 [3041]" strokeweight="3pt">
                  <v:stroke joinstyle="miter"/>
                  <v:shadow on="t" color="#622423 [1605]" opacity=".5" offset="1pt"/>
                  <v:path o:connecttype="custom" o:connectlocs="2050,0;1558,664;655,1579;0,2078;655,2577;1383,2140;2111,1402;2542,664" o:connectangles="270,180,270,180,90,90,0,0" textboxrect="688,16898,17938,17937"/>
                </v:shape>
              </v:group>
            </w:pict>
          </mc:Fallback>
        </mc:AlternateConten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C923F3" w:rsidRDefault="0050036B" w:rsidP="00FF7EFD">
      <w:pPr>
        <w:pStyle w:val="ListParagraph"/>
        <w:numPr>
          <w:ilvl w:val="0"/>
          <w:numId w:val="259"/>
        </w:numPr>
        <w:rPr>
          <w:rFonts w:ascii="Times New Roman" w:hAnsi="Times New Roman"/>
          <w:b/>
          <w:bCs/>
        </w:rPr>
      </w:pPr>
      <w:r w:rsidRPr="00C923F3">
        <w:rPr>
          <w:rFonts w:ascii="Times New Roman" w:hAnsi="Times New Roman"/>
        </w:rPr>
        <w:t xml:space="preserve">Uvažavajući navedeno, osnovni (glavni) cilj hrvatske industrije za razdoblje 2014. – 2020. je: </w:t>
      </w:r>
      <w:r w:rsidR="00FF7EFD" w:rsidRPr="00C923F3">
        <w:rPr>
          <w:rFonts w:ascii="Times New Roman" w:hAnsi="Times New Roman"/>
          <w:b/>
          <w:bCs/>
        </w:rPr>
        <w:t>Repozicioniranje identificiranih strateških djelatnosti na globalnom lancu vrijednosti prema  razvoju aktivnosti koje stvaraju dodanu vrijednost.</w:t>
      </w:r>
    </w:p>
    <w:p w:rsidR="0050036B" w:rsidRPr="004E6412" w:rsidRDefault="0050036B" w:rsidP="0050036B"/>
    <w:p w:rsidR="00A27012" w:rsidRPr="00DF681C" w:rsidRDefault="00A27012" w:rsidP="00A27012">
      <w:pPr>
        <w:numPr>
          <w:ilvl w:val="0"/>
          <w:numId w:val="243"/>
        </w:numPr>
        <w:spacing w:after="120"/>
        <w:rPr>
          <w:sz w:val="22"/>
        </w:rPr>
      </w:pPr>
      <w:r w:rsidRPr="00DF681C">
        <w:rPr>
          <w:sz w:val="22"/>
        </w:rPr>
        <w:t>Pored osnovnog</w:t>
      </w:r>
      <w:r>
        <w:rPr>
          <w:sz w:val="22"/>
        </w:rPr>
        <w:t>a</w:t>
      </w:r>
      <w:r w:rsidRPr="00DF681C">
        <w:rPr>
          <w:sz w:val="22"/>
        </w:rPr>
        <w:t>, definirani su i drugi ciljevi hrvatske industrije, a to su:</w:t>
      </w:r>
    </w:p>
    <w:p w:rsidR="00A27012" w:rsidRPr="00042E6A" w:rsidRDefault="00A27012" w:rsidP="00A27012">
      <w:pPr>
        <w:numPr>
          <w:ilvl w:val="0"/>
          <w:numId w:val="225"/>
        </w:numPr>
        <w:rPr>
          <w:sz w:val="22"/>
        </w:rPr>
      </w:pPr>
      <w:r w:rsidRPr="00042E6A">
        <w:rPr>
          <w:sz w:val="22"/>
        </w:rPr>
        <w:t>Rast obujma industrijske proizvodnje</w:t>
      </w:r>
      <w:r>
        <w:rPr>
          <w:sz w:val="22"/>
        </w:rPr>
        <w:t xml:space="preserve"> po prosječnoj godišnjoj stopi od 2,85%;</w:t>
      </w:r>
    </w:p>
    <w:p w:rsidR="00A27012" w:rsidRPr="00042E6A" w:rsidRDefault="00A27012" w:rsidP="00A27012">
      <w:pPr>
        <w:numPr>
          <w:ilvl w:val="0"/>
          <w:numId w:val="225"/>
        </w:numPr>
        <w:rPr>
          <w:sz w:val="22"/>
        </w:rPr>
      </w:pPr>
      <w:r>
        <w:rPr>
          <w:sz w:val="22"/>
        </w:rPr>
        <w:t xml:space="preserve">Rast broja novozaposlenih za </w:t>
      </w:r>
      <w:r w:rsidRPr="0085211B">
        <w:rPr>
          <w:sz w:val="22"/>
        </w:rPr>
        <w:t>85.619</w:t>
      </w:r>
      <w:r>
        <w:rPr>
          <w:sz w:val="22"/>
        </w:rPr>
        <w:t xml:space="preserve"> do kraja 2020. godine, od čega minimalno 30% visokoobrazovanih;</w:t>
      </w:r>
    </w:p>
    <w:p w:rsidR="00A27012" w:rsidRPr="00042E6A" w:rsidRDefault="00A27012" w:rsidP="00A27012">
      <w:pPr>
        <w:numPr>
          <w:ilvl w:val="0"/>
          <w:numId w:val="225"/>
        </w:numPr>
        <w:rPr>
          <w:sz w:val="22"/>
        </w:rPr>
      </w:pPr>
      <w:r w:rsidRPr="00042E6A">
        <w:rPr>
          <w:sz w:val="22"/>
        </w:rPr>
        <w:t>Rast produktivnosti radne snage</w:t>
      </w:r>
      <w:r>
        <w:rPr>
          <w:sz w:val="22"/>
        </w:rPr>
        <w:t xml:space="preserve"> za 68,9% u razdoblju 2014. – 2020.;</w:t>
      </w:r>
    </w:p>
    <w:p w:rsidR="00A27012" w:rsidRPr="00042E6A" w:rsidRDefault="00A27012" w:rsidP="00A27012">
      <w:pPr>
        <w:numPr>
          <w:ilvl w:val="0"/>
          <w:numId w:val="225"/>
        </w:numPr>
        <w:rPr>
          <w:sz w:val="22"/>
        </w:rPr>
      </w:pPr>
      <w:r>
        <w:rPr>
          <w:sz w:val="22"/>
        </w:rPr>
        <w:t>Povećanje</w:t>
      </w:r>
      <w:r w:rsidRPr="00042E6A">
        <w:rPr>
          <w:sz w:val="22"/>
        </w:rPr>
        <w:t xml:space="preserve"> izvoza </w:t>
      </w:r>
      <w:r>
        <w:rPr>
          <w:sz w:val="22"/>
        </w:rPr>
        <w:t xml:space="preserve">u razdoblju 2014. – 2020. za 30% </w:t>
      </w:r>
      <w:r w:rsidRPr="00042E6A">
        <w:rPr>
          <w:sz w:val="22"/>
        </w:rPr>
        <w:t>i promjena strukture izvoza</w:t>
      </w:r>
      <w:r>
        <w:rPr>
          <w:sz w:val="22"/>
        </w:rPr>
        <w:t xml:space="preserve"> u korist izvoza proizvoda visoke dodane vrijednosti.</w:t>
      </w:r>
    </w:p>
    <w:p w:rsidR="00A27012" w:rsidRDefault="00A27012" w:rsidP="00A27012">
      <w:pPr>
        <w:rPr>
          <w:sz w:val="22"/>
        </w:rPr>
      </w:pPr>
    </w:p>
    <w:p w:rsidR="00A27012" w:rsidRDefault="00A27012" w:rsidP="00A27012">
      <w:pPr>
        <w:numPr>
          <w:ilvl w:val="0"/>
          <w:numId w:val="243"/>
        </w:numPr>
        <w:rPr>
          <w:sz w:val="22"/>
        </w:rPr>
      </w:pPr>
      <w:r>
        <w:rPr>
          <w:sz w:val="22"/>
        </w:rPr>
        <w:t>U dijelu pod nazivom „</w:t>
      </w:r>
      <w:r w:rsidRPr="00042E6A">
        <w:rPr>
          <w:sz w:val="22"/>
        </w:rPr>
        <w:t>Analiza scenarija razvoja industrije za razdoblje 2014.</w:t>
      </w:r>
      <w:r>
        <w:rPr>
          <w:sz w:val="22"/>
        </w:rPr>
        <w:t xml:space="preserve"> – </w:t>
      </w:r>
      <w:r w:rsidRPr="00042E6A">
        <w:rPr>
          <w:sz w:val="22"/>
        </w:rPr>
        <w:t>2020.</w:t>
      </w:r>
      <w:r>
        <w:rPr>
          <w:sz w:val="22"/>
        </w:rPr>
        <w:t>“, moguće je vidjeti projekciju kretanja pokazatelja po godinama za svaki od definiranih ciljeva za razdoblje 2014. – 2020.</w:t>
      </w:r>
    </w:p>
    <w:p w:rsidR="0050036B" w:rsidRPr="004E6412" w:rsidRDefault="0050036B" w:rsidP="00A27012">
      <w:pPr>
        <w:ind w:left="720"/>
        <w:rPr>
          <w:sz w:val="22"/>
        </w:rPr>
      </w:pPr>
    </w:p>
    <w:p w:rsidR="0050036B" w:rsidRPr="004E6412" w:rsidRDefault="0050036B" w:rsidP="0050036B">
      <w:pPr>
        <w:rPr>
          <w:sz w:val="22"/>
        </w:rPr>
      </w:pPr>
    </w:p>
    <w:p w:rsidR="0050036B" w:rsidRPr="004E6412" w:rsidRDefault="0050036B" w:rsidP="0050036B">
      <w:pPr>
        <w:rPr>
          <w:sz w:val="22"/>
        </w:rPr>
        <w:sectPr w:rsidR="0050036B" w:rsidRPr="004E6412" w:rsidSect="00B31D5A">
          <w:footerReference w:type="default" r:id="rId59"/>
          <w:pgSz w:w="11906" w:h="16838"/>
          <w:pgMar w:top="1417" w:right="1417" w:bottom="1417" w:left="1417" w:header="708" w:footer="708" w:gutter="0"/>
          <w:cols w:space="708"/>
          <w:docGrid w:linePitch="360"/>
        </w:sectPr>
      </w:pPr>
    </w:p>
    <w:p w:rsidR="0050036B" w:rsidRPr="004E6412" w:rsidRDefault="0050036B" w:rsidP="0050036B"/>
    <w:p w:rsidR="0050036B" w:rsidRPr="007D0CFD" w:rsidRDefault="0050036B" w:rsidP="007D0CFD">
      <w:pPr>
        <w:pStyle w:val="Heading5"/>
        <w:rPr>
          <w:rStyle w:val="IntenseEmphasis"/>
          <w:b/>
          <w:bCs w:val="0"/>
          <w:iCs w:val="0"/>
          <w:color w:val="548DD4" w:themeColor="text2" w:themeTint="99"/>
          <w:sz w:val="20"/>
        </w:rPr>
      </w:pPr>
      <w:bookmarkStart w:id="1128" w:name="_Toc377635318"/>
      <w:r w:rsidRPr="007D0CFD">
        <w:rPr>
          <w:rStyle w:val="IntenseEmphasis"/>
          <w:b/>
          <w:bCs w:val="0"/>
          <w:iCs w:val="0"/>
          <w:color w:val="548DD4" w:themeColor="text2" w:themeTint="99"/>
          <w:sz w:val="20"/>
        </w:rPr>
        <w:t>Tablica 117. Usporedni prikaz odabranih pokazatelja u 2012. i 2020. godini</w:t>
      </w:r>
      <w:bookmarkEnd w:id="1128"/>
      <w:r w:rsidRPr="007D0CFD">
        <w:rPr>
          <w:rStyle w:val="IntenseEmphasis"/>
          <w:b/>
          <w:bCs w:val="0"/>
          <w:iCs w:val="0"/>
          <w:color w:val="548DD4" w:themeColor="text2" w:themeTint="99"/>
          <w:sz w:val="20"/>
        </w:rPr>
        <w:t xml:space="preserve"> </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616"/>
        <w:gridCol w:w="1397"/>
        <w:gridCol w:w="1378"/>
        <w:gridCol w:w="1398"/>
        <w:gridCol w:w="1504"/>
        <w:gridCol w:w="1395"/>
        <w:gridCol w:w="1398"/>
        <w:gridCol w:w="1395"/>
        <w:gridCol w:w="1288"/>
        <w:gridCol w:w="1291"/>
      </w:tblGrid>
      <w:tr w:rsidR="0050036B" w:rsidRPr="004E6412" w:rsidTr="00B31D5A">
        <w:trPr>
          <w:trHeight w:val="1066"/>
        </w:trPr>
        <w:tc>
          <w:tcPr>
            <w:tcW w:w="575" w:type="pct"/>
            <w:vMerge w:val="restart"/>
            <w:tcBorders>
              <w:top w:val="single" w:sz="12" w:space="0" w:color="auto"/>
              <w:left w:val="single" w:sz="12" w:space="0" w:color="auto"/>
              <w:right w:val="single" w:sz="6" w:space="0" w:color="auto"/>
            </w:tcBorders>
            <w:vAlign w:val="center"/>
          </w:tcPr>
          <w:p w:rsidR="0050036B" w:rsidRPr="004E6412" w:rsidRDefault="0050036B" w:rsidP="00EC02B1">
            <w:pPr>
              <w:spacing w:line="240" w:lineRule="auto"/>
              <w:rPr>
                <w:sz w:val="20"/>
                <w:szCs w:val="20"/>
              </w:rPr>
            </w:pPr>
          </w:p>
        </w:tc>
        <w:tc>
          <w:tcPr>
            <w:tcW w:w="497"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0"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535" w:type="pct"/>
            <w:tcBorders>
              <w:top w:val="single" w:sz="12"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6"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496"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79">
                <v:shape id="_x0000_i1028" type="#_x0000_t75" style="width:20pt;height:13.6pt" o:ole="">
                  <v:imagedata r:id="rId60" o:title=""/>
                </v:shape>
                <o:OLEObject Type="Embed" ProgID="Equation.3" ShapeID="_x0000_i1028" DrawAspect="Content" ObjectID="_1546162791" r:id="rId61"/>
              </w:object>
            </w:r>
          </w:p>
        </w:tc>
        <w:tc>
          <w:tcPr>
            <w:tcW w:w="458"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60">
                <v:shape id="_x0000_i1029" type="#_x0000_t75" style="width:20pt;height:13.6pt" o:ole="">
                  <v:imagedata r:id="rId62" o:title=""/>
                </v:shape>
                <o:OLEObject Type="Embed" ProgID="Equation.3" ShapeID="_x0000_i1029" DrawAspect="Content" ObjectID="_1546162792" r:id="rId63"/>
              </w:object>
            </w:r>
          </w:p>
        </w:tc>
        <w:tc>
          <w:tcPr>
            <w:tcW w:w="459" w:type="pct"/>
            <w:tcBorders>
              <w:top w:val="single" w:sz="12" w:space="0" w:color="auto"/>
              <w:left w:val="single" w:sz="6" w:space="0" w:color="auto"/>
              <w:bottom w:val="single" w:sz="12" w:space="0" w:color="auto"/>
              <w:right w:val="single" w:sz="12" w:space="0" w:color="auto"/>
            </w:tcBorders>
          </w:tcPr>
          <w:p w:rsidR="0050036B" w:rsidRPr="004E6412" w:rsidRDefault="0050036B" w:rsidP="00EC02B1">
            <w:pPr>
              <w:spacing w:line="240" w:lineRule="auto"/>
              <w:rPr>
                <w:sz w:val="20"/>
                <w:szCs w:val="20"/>
              </w:rPr>
            </w:pPr>
            <w:r w:rsidRPr="004E6412">
              <w:rPr>
                <w:sz w:val="20"/>
                <w:szCs w:val="20"/>
              </w:rPr>
              <w:object w:dxaOrig="360" w:dyaOrig="279">
                <v:shape id="_x0000_i1030" type="#_x0000_t75" style="width:18.4pt;height:13.6pt" o:ole="">
                  <v:imagedata r:id="rId64" o:title=""/>
                </v:shape>
                <o:OLEObject Type="Embed" ProgID="Equation.3" ShapeID="_x0000_i1030" DrawAspect="Content" ObjectID="_1546162793" r:id="rId65"/>
              </w:object>
            </w:r>
          </w:p>
        </w:tc>
      </w:tr>
      <w:tr w:rsidR="0050036B" w:rsidRPr="004E6412" w:rsidTr="00B31D5A">
        <w:trPr>
          <w:trHeight w:val="253"/>
        </w:trPr>
        <w:tc>
          <w:tcPr>
            <w:tcW w:w="575" w:type="pct"/>
            <w:vMerge/>
            <w:tcBorders>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p>
        </w:tc>
        <w:tc>
          <w:tcPr>
            <w:tcW w:w="1484" w:type="pct"/>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2012.</w:t>
            </w:r>
          </w:p>
        </w:tc>
        <w:tc>
          <w:tcPr>
            <w:tcW w:w="1528" w:type="pct"/>
            <w:gridSpan w:val="3"/>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2020.</w:t>
            </w:r>
          </w:p>
        </w:tc>
        <w:tc>
          <w:tcPr>
            <w:tcW w:w="1413" w:type="pct"/>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50036B" w:rsidRPr="004E6412" w:rsidRDefault="0050036B" w:rsidP="00EC02B1">
            <w:pPr>
              <w:spacing w:line="240" w:lineRule="auto"/>
              <w:rPr>
                <w:b/>
                <w:sz w:val="20"/>
                <w:szCs w:val="20"/>
              </w:rPr>
            </w:pP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Indeks fizičkog obujma (bazna godina 2008.)</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82,718</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100,679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BDV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bookmarkStart w:id="1129" w:name="OLE_LINK1"/>
            <w:r w:rsidRPr="004E6412">
              <w:rPr>
                <w:sz w:val="20"/>
                <w:szCs w:val="20"/>
              </w:rPr>
              <w:t>45.755.161.993</w:t>
            </w:r>
            <w:bookmarkEnd w:id="1129"/>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9.435.312.455</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11.220.989.131</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109.593.585.703</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14.480.068.611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17.482.090.957</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63.838.423.710</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5.044.756.156</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6.261.101.826</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zaposlenih</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224.441</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79.926</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31.388</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297.178</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85.674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38.522</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72.737</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5.748</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7.134</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Produktivnost rada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203.863</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118.051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357.493</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368.781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169.014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453.821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164.918</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50.963</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96.328</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Izvoz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57.170.125.386</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1.414.581.699</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2.609.884.414</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64.158.062.359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1.966.795.178</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3.295.242.579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6.987.936.973</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552.213.479</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685.358.165</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Rashodi za istraživanje i razvoj u BDP-u (%)</w:t>
            </w:r>
          </w:p>
        </w:tc>
        <w:tc>
          <w:tcPr>
            <w:tcW w:w="1484"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0,75</w:t>
            </w:r>
          </w:p>
        </w:tc>
        <w:tc>
          <w:tcPr>
            <w:tcW w:w="1528" w:type="pct"/>
            <w:gridSpan w:val="3"/>
            <w:tcBorders>
              <w:top w:val="single" w:sz="6" w:space="0" w:color="auto"/>
              <w:left w:val="single" w:sz="12"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1,4</w:t>
            </w:r>
          </w:p>
        </w:tc>
        <w:tc>
          <w:tcPr>
            <w:tcW w:w="1413"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0,65</w:t>
            </w:r>
          </w:p>
        </w:tc>
      </w:tr>
      <w:tr w:rsidR="0050036B" w:rsidRPr="004E6412" w:rsidTr="00B31D5A">
        <w:trPr>
          <w:trHeight w:val="510"/>
        </w:trPr>
        <w:tc>
          <w:tcPr>
            <w:tcW w:w="57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visokoobrazovane radne snage  u ukupnom broju zaposlenih</w:t>
            </w:r>
          </w:p>
        </w:tc>
        <w:tc>
          <w:tcPr>
            <w:tcW w:w="497"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18.976 </w:t>
            </w:r>
          </w:p>
        </w:tc>
        <w:tc>
          <w:tcPr>
            <w:tcW w:w="490"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5.238 </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11.621 </w:t>
            </w:r>
          </w:p>
        </w:tc>
        <w:tc>
          <w:tcPr>
            <w:tcW w:w="53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40.797</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6.962</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13.761</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21.821</w:t>
            </w:r>
          </w:p>
        </w:tc>
        <w:tc>
          <w:tcPr>
            <w:tcW w:w="458"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1.724</w:t>
            </w:r>
          </w:p>
        </w:tc>
        <w:tc>
          <w:tcPr>
            <w:tcW w:w="459"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2.140</w:t>
            </w:r>
          </w:p>
        </w:tc>
      </w:tr>
    </w:tbl>
    <w:p w:rsidR="0050036B" w:rsidRPr="004E6412" w:rsidRDefault="0050036B" w:rsidP="0050036B"/>
    <w:p w:rsidR="0050036B" w:rsidRPr="004E6412" w:rsidRDefault="0050036B" w:rsidP="0050036B"/>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Heading2"/>
      </w:pPr>
      <w:bookmarkStart w:id="1130" w:name="_Toc378069161"/>
      <w:r w:rsidRPr="004E6412">
        <w:lastRenderedPageBreak/>
        <w:t>Ovisnost (povezanost) industrijske strategije i drugih strateških dokumenata</w:t>
      </w:r>
      <w:bookmarkEnd w:id="1130"/>
    </w:p>
    <w:p w:rsidR="0050036B" w:rsidRPr="004E6412" w:rsidRDefault="0050036B" w:rsidP="0050036B"/>
    <w:p w:rsidR="0050036B" w:rsidRPr="004E6412" w:rsidRDefault="0050036B" w:rsidP="0050036B"/>
    <w:p w:rsidR="00A27012" w:rsidRDefault="0050036B" w:rsidP="00A27012">
      <w:pPr>
        <w:numPr>
          <w:ilvl w:val="0"/>
          <w:numId w:val="226"/>
        </w:numPr>
        <w:rPr>
          <w:sz w:val="22"/>
        </w:rPr>
      </w:pPr>
      <w:r w:rsidRPr="004E6412">
        <w:rPr>
          <w:sz w:val="22"/>
        </w:rPr>
        <w:t xml:space="preserve">Kao što je prikazano na Slici 1 </w:t>
      </w:r>
      <w:r w:rsidRPr="004E6412">
        <w:rPr>
          <w:sz w:val="22"/>
          <w:highlight w:val="yellow"/>
        </w:rPr>
        <w:t xml:space="preserve">(str. </w:t>
      </w:r>
      <w:r w:rsidR="00EC02B1">
        <w:rPr>
          <w:sz w:val="22"/>
          <w:highlight w:val="yellow"/>
        </w:rPr>
        <w:t>14</w:t>
      </w:r>
      <w:r w:rsidRPr="004E6412">
        <w:rPr>
          <w:sz w:val="22"/>
          <w:highlight w:val="yellow"/>
        </w:rPr>
        <w:t>)</w:t>
      </w:r>
      <w:r w:rsidRPr="004E6412">
        <w:rPr>
          <w:sz w:val="22"/>
        </w:rPr>
        <w:t xml:space="preserve">, </w:t>
      </w:r>
      <w:r w:rsidR="00A27012">
        <w:rPr>
          <w:sz w:val="22"/>
        </w:rPr>
        <w:t>I</w:t>
      </w:r>
      <w:r w:rsidR="00A27012" w:rsidRPr="004217CD">
        <w:rPr>
          <w:sz w:val="22"/>
        </w:rPr>
        <w:t>ndustrijska strategij</w:t>
      </w:r>
      <w:r w:rsidR="00A27012">
        <w:rPr>
          <w:sz w:val="22"/>
        </w:rPr>
        <w:t>a predstavlja „jedan od jednakih“ strateških dokumenata</w:t>
      </w:r>
      <w:r w:rsidR="00A27012" w:rsidRPr="004217CD">
        <w:rPr>
          <w:sz w:val="22"/>
        </w:rPr>
        <w:t xml:space="preserve"> koji bi</w:t>
      </w:r>
      <w:r w:rsidR="00A27012">
        <w:rPr>
          <w:sz w:val="22"/>
        </w:rPr>
        <w:t xml:space="preserve"> trebali</w:t>
      </w:r>
      <w:r w:rsidR="00A27012" w:rsidRPr="004217CD">
        <w:rPr>
          <w:sz w:val="22"/>
        </w:rPr>
        <w:t xml:space="preserve"> </w:t>
      </w:r>
      <w:r w:rsidR="00A27012">
        <w:rPr>
          <w:sz w:val="22"/>
        </w:rPr>
        <w:t>pridonijeti</w:t>
      </w:r>
      <w:r w:rsidR="00A27012" w:rsidRPr="004217CD">
        <w:rPr>
          <w:sz w:val="22"/>
        </w:rPr>
        <w:t xml:space="preserve"> stvaranju gospodarske strategije. Za razliku od nekih funkcijskih ili specijalističkih strategija</w:t>
      </w:r>
      <w:r w:rsidR="00A27012">
        <w:rPr>
          <w:sz w:val="22"/>
        </w:rPr>
        <w:t xml:space="preserve">, Industrijska strategija </w:t>
      </w:r>
      <w:r w:rsidR="00A27012" w:rsidRPr="004217CD">
        <w:rPr>
          <w:sz w:val="22"/>
        </w:rPr>
        <w:t xml:space="preserve">u značajnoj </w:t>
      </w:r>
      <w:r w:rsidR="00A27012">
        <w:rPr>
          <w:sz w:val="22"/>
        </w:rPr>
        <w:t xml:space="preserve">je </w:t>
      </w:r>
      <w:r w:rsidR="00A27012" w:rsidRPr="004217CD">
        <w:rPr>
          <w:sz w:val="22"/>
        </w:rPr>
        <w:t xml:space="preserve">mjeri povezana pa čak i ovisna o drugim strateškim dokumentima. </w:t>
      </w:r>
      <w:r w:rsidR="00A27012">
        <w:rPr>
          <w:sz w:val="22"/>
        </w:rPr>
        <w:t>Utvrđivanje</w:t>
      </w:r>
      <w:r w:rsidR="00A27012" w:rsidRPr="004217CD">
        <w:rPr>
          <w:sz w:val="22"/>
        </w:rPr>
        <w:t xml:space="preserve"> spomenute povezanosti ili ovisnosti </w:t>
      </w:r>
      <w:r w:rsidR="00A27012">
        <w:rPr>
          <w:sz w:val="22"/>
        </w:rPr>
        <w:t>osobito je važno u procesu provedbe</w:t>
      </w:r>
      <w:r w:rsidR="00A27012" w:rsidRPr="004217CD">
        <w:rPr>
          <w:sz w:val="22"/>
        </w:rPr>
        <w:t xml:space="preserve"> gdje je jedan od temeljnih izazova jasno definiranje odgovornosti i ovlaštenja za određene faze procesa. </w:t>
      </w:r>
    </w:p>
    <w:p w:rsidR="00A27012" w:rsidRDefault="00A27012" w:rsidP="00A27012">
      <w:pPr>
        <w:rPr>
          <w:sz w:val="22"/>
        </w:rPr>
      </w:pPr>
    </w:p>
    <w:p w:rsidR="00A27012" w:rsidRDefault="00A27012" w:rsidP="00A27012">
      <w:pPr>
        <w:numPr>
          <w:ilvl w:val="0"/>
          <w:numId w:val="226"/>
        </w:numPr>
        <w:rPr>
          <w:sz w:val="22"/>
        </w:rPr>
      </w:pPr>
      <w:r>
        <w:rPr>
          <w:sz w:val="22"/>
        </w:rPr>
        <w:t>Proces izrade Industrijske strategije složeniji je i zbog činjenice što su u samom trenutku</w:t>
      </w:r>
      <w:r w:rsidRPr="004217CD">
        <w:rPr>
          <w:sz w:val="22"/>
        </w:rPr>
        <w:t xml:space="preserve"> izrade određeni dokumenti već usvojeni, neki su</w:t>
      </w:r>
      <w:r>
        <w:rPr>
          <w:sz w:val="22"/>
        </w:rPr>
        <w:t xml:space="preserve"> u procesu usvajanja, a neki će se usvojiti tek nakon službenog usvajanja I</w:t>
      </w:r>
      <w:r w:rsidRPr="004217CD">
        <w:rPr>
          <w:sz w:val="22"/>
        </w:rPr>
        <w:t>ndustrijske strategije. Navedeno će dovesti do nužnih prilagodbi određenog</w:t>
      </w:r>
      <w:r>
        <w:rPr>
          <w:sz w:val="22"/>
        </w:rPr>
        <w:t>a</w:t>
      </w:r>
      <w:r w:rsidRPr="004217CD">
        <w:rPr>
          <w:sz w:val="22"/>
        </w:rPr>
        <w:t xml:space="preserve"> broja strateških dokumenata c</w:t>
      </w:r>
      <w:r>
        <w:rPr>
          <w:sz w:val="22"/>
        </w:rPr>
        <w:t>iljevima i operativnim mjerama I</w:t>
      </w:r>
      <w:r w:rsidRPr="004217CD">
        <w:rPr>
          <w:sz w:val="22"/>
        </w:rPr>
        <w:t>ndustrijske strategije kako bi se stvorili pr</w:t>
      </w:r>
      <w:r>
        <w:rPr>
          <w:sz w:val="22"/>
        </w:rPr>
        <w:t>eduvjeti za njezinu provedbu</w:t>
      </w:r>
      <w:r w:rsidRPr="004217CD">
        <w:rPr>
          <w:sz w:val="22"/>
        </w:rPr>
        <w:t>.</w:t>
      </w:r>
    </w:p>
    <w:p w:rsidR="00A27012" w:rsidRPr="004217CD" w:rsidRDefault="00A27012" w:rsidP="00A27012">
      <w:pPr>
        <w:rPr>
          <w:sz w:val="22"/>
        </w:rPr>
      </w:pPr>
    </w:p>
    <w:p w:rsidR="00A27012" w:rsidRPr="004217CD" w:rsidRDefault="00A27012" w:rsidP="00A27012">
      <w:pPr>
        <w:numPr>
          <w:ilvl w:val="0"/>
          <w:numId w:val="227"/>
        </w:numPr>
        <w:rPr>
          <w:sz w:val="22"/>
        </w:rPr>
      </w:pPr>
      <w:r>
        <w:rPr>
          <w:sz w:val="22"/>
        </w:rPr>
        <w:t>Industrija ovisi</w:t>
      </w:r>
      <w:r w:rsidRPr="004217CD">
        <w:rPr>
          <w:sz w:val="22"/>
        </w:rPr>
        <w:t xml:space="preserve"> o velikom broju čimbenika iz makro okruženja koji izravno utječu na konkurentnost i sposobnost stvaranja nove vrijednosti </w:t>
      </w:r>
      <w:r>
        <w:rPr>
          <w:sz w:val="22"/>
        </w:rPr>
        <w:t>–</w:t>
      </w:r>
      <w:r w:rsidRPr="004217CD">
        <w:rPr>
          <w:sz w:val="22"/>
        </w:rPr>
        <w:t xml:space="preserve"> od kvalitete i dostupnosti osnovnih proizvodnih resursa pa s</w:t>
      </w:r>
      <w:r>
        <w:rPr>
          <w:sz w:val="22"/>
        </w:rPr>
        <w:t>ve do ljudskog kapitala. Nadalje</w:t>
      </w:r>
      <w:r w:rsidRPr="004217CD">
        <w:rPr>
          <w:sz w:val="22"/>
        </w:rPr>
        <w:t>, strategije razvoja određenih sektora (turizam, poljoprivre</w:t>
      </w:r>
      <w:r>
        <w:rPr>
          <w:sz w:val="22"/>
        </w:rPr>
        <w:t>da, prijevoz i logistika) izravno</w:t>
      </w:r>
      <w:r w:rsidRPr="004217CD">
        <w:rPr>
          <w:sz w:val="22"/>
        </w:rPr>
        <w:t xml:space="preserve"> </w:t>
      </w:r>
      <w:r>
        <w:rPr>
          <w:sz w:val="22"/>
        </w:rPr>
        <w:t>utječu</w:t>
      </w:r>
      <w:r w:rsidRPr="004217CD">
        <w:rPr>
          <w:sz w:val="22"/>
        </w:rPr>
        <w:t xml:space="preserve"> na projekciju kretanja ključnih industrijskih pokazatelja pa je n</w:t>
      </w:r>
      <w:r>
        <w:rPr>
          <w:sz w:val="22"/>
        </w:rPr>
        <w:t>emoguće</w:t>
      </w:r>
      <w:r w:rsidRPr="004217CD">
        <w:rPr>
          <w:sz w:val="22"/>
        </w:rPr>
        <w:t xml:space="preserve"> definirati ciljeve razvoja industrije bez prethodnog</w:t>
      </w:r>
      <w:r>
        <w:rPr>
          <w:sz w:val="22"/>
        </w:rPr>
        <w:t>a</w:t>
      </w:r>
      <w:r w:rsidRPr="004217CD">
        <w:rPr>
          <w:sz w:val="22"/>
        </w:rPr>
        <w:t xml:space="preserve"> analiziranja ključnih strateških dokumenata koji </w:t>
      </w:r>
      <w:r>
        <w:rPr>
          <w:sz w:val="22"/>
        </w:rPr>
        <w:t>na nju izravno utječu</w:t>
      </w:r>
      <w:r w:rsidRPr="004217CD">
        <w:rPr>
          <w:sz w:val="22"/>
        </w:rPr>
        <w:t>. S ciljem pribavljanja kvalitetnih ulaznih p</w:t>
      </w:r>
      <w:r>
        <w:rPr>
          <w:sz w:val="22"/>
        </w:rPr>
        <w:t>arametara za proces izrade I</w:t>
      </w:r>
      <w:r w:rsidRPr="004217CD">
        <w:rPr>
          <w:sz w:val="22"/>
        </w:rPr>
        <w:t>ndustrijske strategije, analizirani su sljedeći dokumenti:</w:t>
      </w:r>
    </w:p>
    <w:p w:rsidR="00A27012" w:rsidRPr="004217CD" w:rsidRDefault="00A27012" w:rsidP="00A27012">
      <w:pPr>
        <w:numPr>
          <w:ilvl w:val="0"/>
          <w:numId w:val="228"/>
        </w:numPr>
        <w:rPr>
          <w:sz w:val="22"/>
        </w:rPr>
      </w:pPr>
      <w:r w:rsidRPr="004217CD">
        <w:rPr>
          <w:sz w:val="22"/>
        </w:rPr>
        <w:t xml:space="preserve">Energetska strategija </w:t>
      </w:r>
      <w:r>
        <w:rPr>
          <w:sz w:val="22"/>
        </w:rPr>
        <w:t>Republike Hrvatske,</w:t>
      </w:r>
    </w:p>
    <w:p w:rsidR="00A27012" w:rsidRPr="004217CD" w:rsidRDefault="00A27012" w:rsidP="00A27012">
      <w:pPr>
        <w:numPr>
          <w:ilvl w:val="0"/>
          <w:numId w:val="228"/>
        </w:numPr>
        <w:rPr>
          <w:sz w:val="22"/>
        </w:rPr>
      </w:pPr>
      <w:r w:rsidRPr="004217CD">
        <w:rPr>
          <w:sz w:val="22"/>
        </w:rPr>
        <w:t>Strategija gosp</w:t>
      </w:r>
      <w:r>
        <w:rPr>
          <w:sz w:val="22"/>
        </w:rPr>
        <w:t>o</w:t>
      </w:r>
      <w:r w:rsidRPr="004217CD">
        <w:rPr>
          <w:sz w:val="22"/>
        </w:rPr>
        <w:t xml:space="preserve">darenja mineralnim sirovinama </w:t>
      </w:r>
      <w:r>
        <w:rPr>
          <w:sz w:val="22"/>
        </w:rPr>
        <w:t>Republike Hrvatske</w:t>
      </w:r>
      <w:r w:rsidRPr="004217CD" w:rsidDel="00C42C1E">
        <w:rPr>
          <w:sz w:val="22"/>
        </w:rPr>
        <w:t xml:space="preserve"> </w:t>
      </w:r>
      <w:r w:rsidRPr="004217CD">
        <w:rPr>
          <w:sz w:val="22"/>
        </w:rPr>
        <w:t>(izrađena 2008.)</w:t>
      </w:r>
      <w:r>
        <w:rPr>
          <w:sz w:val="22"/>
        </w:rPr>
        <w:t>,</w:t>
      </w:r>
    </w:p>
    <w:p w:rsidR="00A27012" w:rsidRPr="004217CD" w:rsidRDefault="00A27012" w:rsidP="00A27012">
      <w:pPr>
        <w:numPr>
          <w:ilvl w:val="0"/>
          <w:numId w:val="228"/>
        </w:numPr>
        <w:rPr>
          <w:sz w:val="22"/>
        </w:rPr>
      </w:pPr>
      <w:r w:rsidRPr="004217CD">
        <w:rPr>
          <w:sz w:val="22"/>
        </w:rPr>
        <w:t xml:space="preserve">Strategija razvoja turizma </w:t>
      </w:r>
      <w:r>
        <w:rPr>
          <w:sz w:val="22"/>
        </w:rPr>
        <w:t>Republike Hrvatske</w:t>
      </w:r>
      <w:r w:rsidRPr="004217CD">
        <w:rPr>
          <w:sz w:val="22"/>
        </w:rPr>
        <w:t xml:space="preserve"> do 2020.</w:t>
      </w:r>
      <w:r>
        <w:rPr>
          <w:sz w:val="22"/>
        </w:rPr>
        <w:t>,</w:t>
      </w:r>
    </w:p>
    <w:p w:rsidR="00A27012" w:rsidRPr="004217CD" w:rsidRDefault="00A27012" w:rsidP="00A27012">
      <w:pPr>
        <w:numPr>
          <w:ilvl w:val="0"/>
          <w:numId w:val="228"/>
        </w:numPr>
        <w:rPr>
          <w:sz w:val="22"/>
        </w:rPr>
      </w:pPr>
      <w:r w:rsidRPr="004217CD">
        <w:rPr>
          <w:sz w:val="22"/>
        </w:rPr>
        <w:t xml:space="preserve">Strategija razvoja klastera u </w:t>
      </w:r>
      <w:r>
        <w:rPr>
          <w:sz w:val="22"/>
        </w:rPr>
        <w:t>Republici Hrvatskoj</w:t>
      </w:r>
      <w:r w:rsidRPr="004217CD">
        <w:rPr>
          <w:sz w:val="22"/>
        </w:rPr>
        <w:t xml:space="preserve"> 2011</w:t>
      </w:r>
      <w:r>
        <w:rPr>
          <w:sz w:val="22"/>
        </w:rPr>
        <w:t>.</w:t>
      </w:r>
      <w:r w:rsidRPr="004217CD">
        <w:rPr>
          <w:sz w:val="22"/>
        </w:rPr>
        <w:t xml:space="preserve"> – 2020.</w:t>
      </w:r>
      <w:r>
        <w:rPr>
          <w:sz w:val="22"/>
        </w:rPr>
        <w:t>,</w:t>
      </w:r>
    </w:p>
    <w:p w:rsidR="00A27012" w:rsidRPr="004217CD" w:rsidRDefault="00A27012" w:rsidP="00A27012">
      <w:pPr>
        <w:numPr>
          <w:ilvl w:val="0"/>
          <w:numId w:val="228"/>
        </w:numPr>
        <w:rPr>
          <w:sz w:val="22"/>
        </w:rPr>
      </w:pPr>
      <w:r w:rsidRPr="004217CD">
        <w:rPr>
          <w:sz w:val="22"/>
        </w:rPr>
        <w:t xml:space="preserve">Inovacijska strategija </w:t>
      </w:r>
      <w:r>
        <w:rPr>
          <w:sz w:val="22"/>
        </w:rPr>
        <w:t>Republike Hrvatske za razdoblje</w:t>
      </w:r>
      <w:r w:rsidRPr="004217CD">
        <w:rPr>
          <w:sz w:val="22"/>
        </w:rPr>
        <w:t xml:space="preserve"> 2014</w:t>
      </w:r>
      <w:r>
        <w:rPr>
          <w:sz w:val="22"/>
        </w:rPr>
        <w:t>.</w:t>
      </w:r>
      <w:r w:rsidRPr="004217CD">
        <w:rPr>
          <w:sz w:val="22"/>
        </w:rPr>
        <w:t xml:space="preserve"> – 2020. ( prijedlog)</w:t>
      </w:r>
    </w:p>
    <w:p w:rsidR="00A27012" w:rsidRPr="004217CD" w:rsidRDefault="00A27012" w:rsidP="00A27012">
      <w:pPr>
        <w:numPr>
          <w:ilvl w:val="0"/>
          <w:numId w:val="228"/>
        </w:numPr>
        <w:rPr>
          <w:sz w:val="22"/>
        </w:rPr>
      </w:pPr>
      <w:r w:rsidRPr="004217CD">
        <w:rPr>
          <w:sz w:val="22"/>
        </w:rPr>
        <w:t>Strategija</w:t>
      </w:r>
      <w:r>
        <w:rPr>
          <w:sz w:val="22"/>
        </w:rPr>
        <w:t xml:space="preserve"> poticanja investicija za razdoblje</w:t>
      </w:r>
      <w:r w:rsidRPr="004217CD">
        <w:rPr>
          <w:sz w:val="22"/>
        </w:rPr>
        <w:t xml:space="preserve"> 2014</w:t>
      </w:r>
      <w:r>
        <w:rPr>
          <w:sz w:val="22"/>
        </w:rPr>
        <w:t>.</w:t>
      </w:r>
      <w:r w:rsidRPr="004217CD">
        <w:rPr>
          <w:sz w:val="22"/>
        </w:rPr>
        <w:t xml:space="preserve"> – 2020. (prijedlog)</w:t>
      </w:r>
      <w:r>
        <w:rPr>
          <w:sz w:val="22"/>
        </w:rPr>
        <w:t>,</w:t>
      </w:r>
    </w:p>
    <w:p w:rsidR="00A27012" w:rsidRPr="004217CD" w:rsidRDefault="00A27012" w:rsidP="00A27012">
      <w:pPr>
        <w:numPr>
          <w:ilvl w:val="0"/>
          <w:numId w:val="228"/>
        </w:numPr>
        <w:rPr>
          <w:sz w:val="22"/>
        </w:rPr>
      </w:pPr>
      <w:r w:rsidRPr="004217CD">
        <w:rPr>
          <w:sz w:val="22"/>
        </w:rPr>
        <w:t>Strategija obrazovanja, znanosti i tehnologije (prijedlog)</w:t>
      </w:r>
      <w:r>
        <w:rPr>
          <w:sz w:val="22"/>
        </w:rPr>
        <w:t>,</w:t>
      </w:r>
    </w:p>
    <w:p w:rsidR="00A27012" w:rsidRDefault="00A27012" w:rsidP="00A27012">
      <w:pPr>
        <w:numPr>
          <w:ilvl w:val="0"/>
          <w:numId w:val="228"/>
        </w:numPr>
        <w:rPr>
          <w:sz w:val="22"/>
        </w:rPr>
      </w:pPr>
      <w:r w:rsidRPr="004217CD">
        <w:rPr>
          <w:sz w:val="22"/>
        </w:rPr>
        <w:t>Strat</w:t>
      </w:r>
      <w:r>
        <w:rPr>
          <w:sz w:val="22"/>
        </w:rPr>
        <w:t>e</w:t>
      </w:r>
      <w:r w:rsidRPr="004217CD">
        <w:rPr>
          <w:sz w:val="22"/>
        </w:rPr>
        <w:t xml:space="preserve">gija razvoja poduzetništva u </w:t>
      </w:r>
      <w:r>
        <w:rPr>
          <w:sz w:val="22"/>
        </w:rPr>
        <w:t>Republici Hrvatskoj</w:t>
      </w:r>
      <w:r w:rsidRPr="004217CD">
        <w:rPr>
          <w:sz w:val="22"/>
        </w:rPr>
        <w:t xml:space="preserve"> 2013</w:t>
      </w:r>
      <w:r>
        <w:rPr>
          <w:sz w:val="22"/>
        </w:rPr>
        <w:t>.</w:t>
      </w:r>
      <w:r w:rsidRPr="004217CD">
        <w:rPr>
          <w:sz w:val="22"/>
        </w:rPr>
        <w:t xml:space="preserve"> – 2020.</w:t>
      </w:r>
    </w:p>
    <w:p w:rsidR="00A27012" w:rsidRPr="004217CD" w:rsidRDefault="00A27012" w:rsidP="00A27012">
      <w:pPr>
        <w:numPr>
          <w:ilvl w:val="0"/>
          <w:numId w:val="228"/>
        </w:numPr>
        <w:rPr>
          <w:sz w:val="22"/>
        </w:rPr>
      </w:pPr>
      <w:r>
        <w:rPr>
          <w:sz w:val="22"/>
        </w:rPr>
        <w:t>Nacionalna strategija razvoja zdravstva 2012. – 2020.</w:t>
      </w:r>
    </w:p>
    <w:p w:rsidR="00A27012" w:rsidRDefault="00A27012" w:rsidP="00A27012">
      <w:pPr>
        <w:rPr>
          <w:sz w:val="22"/>
        </w:rPr>
      </w:pPr>
    </w:p>
    <w:p w:rsidR="00A27012" w:rsidRPr="004217CD" w:rsidRDefault="00A27012" w:rsidP="00A27012">
      <w:pPr>
        <w:numPr>
          <w:ilvl w:val="0"/>
          <w:numId w:val="229"/>
        </w:numPr>
        <w:rPr>
          <w:sz w:val="22"/>
        </w:rPr>
      </w:pPr>
      <w:r>
        <w:rPr>
          <w:sz w:val="22"/>
        </w:rPr>
        <w:t>Strateški doku</w:t>
      </w:r>
      <w:r w:rsidRPr="004217CD">
        <w:rPr>
          <w:sz w:val="22"/>
        </w:rPr>
        <w:t xml:space="preserve">menti koji nisu bili dostupni, a za koje </w:t>
      </w:r>
      <w:r>
        <w:rPr>
          <w:sz w:val="22"/>
        </w:rPr>
        <w:t>se smatra</w:t>
      </w:r>
      <w:r w:rsidRPr="004217CD">
        <w:rPr>
          <w:sz w:val="22"/>
        </w:rPr>
        <w:t xml:space="preserve"> da će imati utjecaj na razvoj industrije su:</w:t>
      </w:r>
    </w:p>
    <w:p w:rsidR="00A27012" w:rsidRPr="004217CD" w:rsidRDefault="00A27012" w:rsidP="00A27012">
      <w:pPr>
        <w:numPr>
          <w:ilvl w:val="0"/>
          <w:numId w:val="230"/>
        </w:numPr>
        <w:rPr>
          <w:sz w:val="22"/>
        </w:rPr>
      </w:pPr>
      <w:r w:rsidRPr="004217CD">
        <w:rPr>
          <w:sz w:val="22"/>
        </w:rPr>
        <w:t>Strategija prometnog razvitka</w:t>
      </w:r>
      <w:r>
        <w:rPr>
          <w:sz w:val="22"/>
        </w:rPr>
        <w:t>,</w:t>
      </w:r>
    </w:p>
    <w:p w:rsidR="00A27012" w:rsidRPr="004217CD" w:rsidRDefault="00A27012" w:rsidP="00A27012">
      <w:pPr>
        <w:numPr>
          <w:ilvl w:val="0"/>
          <w:numId w:val="230"/>
        </w:numPr>
        <w:rPr>
          <w:sz w:val="22"/>
        </w:rPr>
      </w:pPr>
      <w:r w:rsidRPr="004217CD">
        <w:rPr>
          <w:sz w:val="22"/>
        </w:rPr>
        <w:t>Strategija upravljanja prirodnim resursima (voda, šuma, poljoprivreda,</w:t>
      </w:r>
      <w:r>
        <w:rPr>
          <w:sz w:val="22"/>
        </w:rPr>
        <w:t xml:space="preserve"> itd.),</w:t>
      </w:r>
    </w:p>
    <w:p w:rsidR="00A27012" w:rsidRPr="004217CD" w:rsidRDefault="00A27012" w:rsidP="00A27012">
      <w:pPr>
        <w:numPr>
          <w:ilvl w:val="0"/>
          <w:numId w:val="230"/>
        </w:numPr>
        <w:rPr>
          <w:sz w:val="22"/>
        </w:rPr>
      </w:pPr>
      <w:r w:rsidRPr="004217CD">
        <w:rPr>
          <w:sz w:val="22"/>
        </w:rPr>
        <w:t>Reforma radnog zakonodavstva</w:t>
      </w:r>
      <w:r>
        <w:rPr>
          <w:sz w:val="22"/>
        </w:rPr>
        <w:t>,</w:t>
      </w:r>
      <w:r w:rsidRPr="004217CD">
        <w:rPr>
          <w:sz w:val="22"/>
        </w:rPr>
        <w:t xml:space="preserve"> </w:t>
      </w:r>
    </w:p>
    <w:p w:rsidR="00A27012" w:rsidRPr="004217CD" w:rsidRDefault="00A27012" w:rsidP="00A27012">
      <w:pPr>
        <w:numPr>
          <w:ilvl w:val="0"/>
          <w:numId w:val="230"/>
        </w:numPr>
        <w:rPr>
          <w:sz w:val="22"/>
        </w:rPr>
      </w:pPr>
      <w:r w:rsidRPr="004217CD">
        <w:rPr>
          <w:sz w:val="22"/>
        </w:rPr>
        <w:t>Zaštita okoliša</w:t>
      </w:r>
      <w:r>
        <w:rPr>
          <w:sz w:val="22"/>
        </w:rPr>
        <w:t>,</w:t>
      </w:r>
    </w:p>
    <w:p w:rsidR="00A27012" w:rsidRDefault="00A27012" w:rsidP="00A27012">
      <w:pPr>
        <w:numPr>
          <w:ilvl w:val="0"/>
          <w:numId w:val="230"/>
        </w:numPr>
        <w:rPr>
          <w:sz w:val="22"/>
        </w:rPr>
      </w:pPr>
      <w:r w:rsidRPr="004217CD">
        <w:rPr>
          <w:sz w:val="22"/>
        </w:rPr>
        <w:t>Strategija regionalnog razvoja.</w:t>
      </w:r>
    </w:p>
    <w:p w:rsidR="00A27012" w:rsidRPr="004217CD" w:rsidRDefault="00A27012" w:rsidP="00A27012">
      <w:pPr>
        <w:ind w:left="720"/>
        <w:rPr>
          <w:sz w:val="22"/>
        </w:rPr>
      </w:pPr>
    </w:p>
    <w:p w:rsidR="00A27012" w:rsidRDefault="00A27012" w:rsidP="00A27012">
      <w:pPr>
        <w:numPr>
          <w:ilvl w:val="0"/>
          <w:numId w:val="232"/>
        </w:numPr>
        <w:rPr>
          <w:sz w:val="22"/>
        </w:rPr>
      </w:pPr>
      <w:r w:rsidRPr="004217CD">
        <w:rPr>
          <w:sz w:val="22"/>
        </w:rPr>
        <w:t>Potrebno je naglasiti da</w:t>
      </w:r>
      <w:r>
        <w:rPr>
          <w:sz w:val="22"/>
        </w:rPr>
        <w:t>,</w:t>
      </w:r>
      <w:r w:rsidRPr="004217CD">
        <w:rPr>
          <w:sz w:val="22"/>
        </w:rPr>
        <w:t xml:space="preserve"> uz navedene strateške dokumente</w:t>
      </w:r>
      <w:r>
        <w:rPr>
          <w:sz w:val="22"/>
        </w:rPr>
        <w:t>,</w:t>
      </w:r>
      <w:r w:rsidRPr="004217CD">
        <w:rPr>
          <w:sz w:val="22"/>
        </w:rPr>
        <w:t xml:space="preserve"> postoji cijeli niz drugih propisa, uredbi i </w:t>
      </w:r>
      <w:r>
        <w:rPr>
          <w:sz w:val="22"/>
        </w:rPr>
        <w:t>pravilnika koji imaju poseban</w:t>
      </w:r>
      <w:r w:rsidRPr="004217CD">
        <w:rPr>
          <w:sz w:val="22"/>
        </w:rPr>
        <w:t xml:space="preserve"> utjecaj na određene industrijske djela</w:t>
      </w:r>
      <w:r>
        <w:rPr>
          <w:sz w:val="22"/>
        </w:rPr>
        <w:t>t</w:t>
      </w:r>
      <w:r w:rsidRPr="004217CD">
        <w:rPr>
          <w:sz w:val="22"/>
        </w:rPr>
        <w:t xml:space="preserve">nosti, </w:t>
      </w:r>
      <w:r>
        <w:rPr>
          <w:sz w:val="22"/>
        </w:rPr>
        <w:t>kako je navedeno u kvalitativnom dijelu analize industrije</w:t>
      </w:r>
      <w:r w:rsidRPr="004217CD">
        <w:rPr>
          <w:sz w:val="22"/>
        </w:rPr>
        <w:t xml:space="preserve">. </w:t>
      </w:r>
    </w:p>
    <w:p w:rsidR="00A27012" w:rsidRPr="004217CD" w:rsidRDefault="00A27012" w:rsidP="00A27012">
      <w:pPr>
        <w:rPr>
          <w:sz w:val="22"/>
        </w:rPr>
      </w:pPr>
    </w:p>
    <w:p w:rsidR="0050036B" w:rsidRPr="004E6412" w:rsidRDefault="00A27012" w:rsidP="00A27012">
      <w:pPr>
        <w:numPr>
          <w:ilvl w:val="0"/>
          <w:numId w:val="226"/>
        </w:numPr>
        <w:rPr>
          <w:sz w:val="22"/>
        </w:rPr>
      </w:pPr>
      <w:r>
        <w:rPr>
          <w:sz w:val="22"/>
        </w:rPr>
        <w:lastRenderedPageBreak/>
        <w:t>Uvažavajući činjenicu</w:t>
      </w:r>
      <w:r w:rsidRPr="004217CD">
        <w:rPr>
          <w:sz w:val="22"/>
        </w:rPr>
        <w:t xml:space="preserve"> da svaki od strateških dok</w:t>
      </w:r>
      <w:r>
        <w:rPr>
          <w:sz w:val="22"/>
        </w:rPr>
        <w:t>umenata ima određeni utjecaj na</w:t>
      </w:r>
      <w:r w:rsidRPr="004217CD">
        <w:rPr>
          <w:sz w:val="22"/>
        </w:rPr>
        <w:t xml:space="preserve"> industriju (makroekonomski uvjeti poslovanja, potražnja za industrijskim proizvodima,</w:t>
      </w:r>
      <w:r>
        <w:rPr>
          <w:sz w:val="22"/>
        </w:rPr>
        <w:t xml:space="preserve"> </w:t>
      </w:r>
      <w:r w:rsidRPr="00BD0ED9">
        <w:rPr>
          <w:i/>
          <w:sz w:val="22"/>
        </w:rPr>
        <w:t>inputi</w:t>
      </w:r>
      <w:r>
        <w:rPr>
          <w:sz w:val="22"/>
        </w:rPr>
        <w:t xml:space="preserve"> u proizvodnom</w:t>
      </w:r>
      <w:r w:rsidRPr="004217CD">
        <w:rPr>
          <w:sz w:val="22"/>
        </w:rPr>
        <w:t xml:space="preserve"> proces</w:t>
      </w:r>
      <w:r>
        <w:rPr>
          <w:sz w:val="22"/>
        </w:rPr>
        <w:t>u</w:t>
      </w:r>
      <w:r w:rsidRPr="004217CD">
        <w:rPr>
          <w:sz w:val="22"/>
        </w:rPr>
        <w:t xml:space="preserve">) </w:t>
      </w:r>
      <w:r>
        <w:rPr>
          <w:sz w:val="22"/>
        </w:rPr>
        <w:t>utvrđena su i područja koja u velikoj mjeri određuju njezinu konkurentsku sposobnost, a to su inovacije, investicije, poduzetništvo i obrazovanje. Osnovni strateški ciljevi svakoga od navedenih područja prikazani su u</w:t>
      </w:r>
      <w:r w:rsidR="0050036B" w:rsidRPr="004E6412">
        <w:rPr>
          <w:sz w:val="22"/>
        </w:rPr>
        <w:t xml:space="preserve"> </w:t>
      </w:r>
      <w:r>
        <w:rPr>
          <w:sz w:val="22"/>
        </w:rPr>
        <w:t>Tablici</w:t>
      </w:r>
      <w:r w:rsidR="00EC02B1" w:rsidRPr="00EC02B1">
        <w:rPr>
          <w:sz w:val="22"/>
        </w:rPr>
        <w:t xml:space="preserve"> 118</w:t>
      </w:r>
      <w:r w:rsidR="0050036B" w:rsidRPr="00EC02B1">
        <w:rPr>
          <w:sz w:val="22"/>
        </w:rPr>
        <w:t>.</w:t>
      </w:r>
      <w:r w:rsidR="0050036B" w:rsidRPr="004E6412">
        <w:rPr>
          <w:sz w:val="22"/>
        </w:rPr>
        <w:t xml:space="preserve">  </w:t>
      </w:r>
    </w:p>
    <w:p w:rsidR="0050036B" w:rsidRPr="004E6412" w:rsidRDefault="0050036B" w:rsidP="0050036B">
      <w:pPr>
        <w:rPr>
          <w:sz w:val="22"/>
        </w:rPr>
      </w:pPr>
    </w:p>
    <w:p w:rsidR="0050036B" w:rsidRPr="004E6412" w:rsidRDefault="0050036B" w:rsidP="0050036B">
      <w:pPr>
        <w:rPr>
          <w:sz w:val="22"/>
        </w:rPr>
      </w:pPr>
    </w:p>
    <w:p w:rsidR="0050036B" w:rsidRPr="007D0CFD" w:rsidRDefault="0050036B" w:rsidP="007D0CFD">
      <w:pPr>
        <w:pStyle w:val="Heading5"/>
        <w:rPr>
          <w:rStyle w:val="IntenseEmphasis"/>
          <w:b/>
          <w:bCs w:val="0"/>
          <w:iCs w:val="0"/>
          <w:color w:val="548DD4" w:themeColor="text2" w:themeTint="99"/>
          <w:sz w:val="20"/>
        </w:rPr>
      </w:pPr>
      <w:bookmarkStart w:id="1131" w:name="_Toc377635319"/>
      <w:r w:rsidRPr="007D0CFD">
        <w:rPr>
          <w:rStyle w:val="IntenseEmphasis"/>
          <w:b/>
          <w:bCs w:val="0"/>
          <w:iCs w:val="0"/>
          <w:color w:val="548DD4" w:themeColor="text2" w:themeTint="99"/>
          <w:sz w:val="20"/>
        </w:rPr>
        <w:t>Tablica 118. Strateški dokumenti u područjima koja izravno utječu na industriju</w:t>
      </w:r>
      <w:bookmarkEnd w:id="1131"/>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91"/>
        <w:gridCol w:w="4595"/>
      </w:tblGrid>
      <w:tr w:rsidR="0050036B" w:rsidRPr="004E6412" w:rsidTr="00B31D5A">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Inovacijska strategija Republike Hrvatske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GLAVNI STRATEŠKI CILJ</w:t>
            </w:r>
          </w:p>
          <w:p w:rsidR="0050036B" w:rsidRPr="004E6412" w:rsidRDefault="0050036B" w:rsidP="00B31D5A">
            <w:pPr>
              <w:ind w:left="360"/>
              <w:jc w:val="left"/>
              <w:rPr>
                <w:b/>
                <w:bCs/>
                <w:sz w:val="20"/>
                <w:szCs w:val="20"/>
              </w:rPr>
            </w:pPr>
            <w:r w:rsidRPr="004E6412">
              <w:rPr>
                <w:b/>
                <w:bCs/>
                <w:sz w:val="20"/>
                <w:szCs w:val="20"/>
              </w:rPr>
              <w:t>Povećanje društvene dobrobiti i konkurentnosti hrvatskog gospodarstva temeljeno na znanju, kreativnosti i inovacijama.</w:t>
            </w:r>
          </w:p>
          <w:p w:rsidR="0050036B" w:rsidRPr="004E6412" w:rsidRDefault="0050036B" w:rsidP="00B31D5A">
            <w:pPr>
              <w:ind w:left="360"/>
              <w:jc w:val="left"/>
              <w:rPr>
                <w:sz w:val="20"/>
                <w:szCs w:val="20"/>
              </w:rPr>
            </w:pPr>
          </w:p>
          <w:p w:rsidR="0050036B" w:rsidRPr="004E6412" w:rsidRDefault="0050036B" w:rsidP="0050036B">
            <w:pPr>
              <w:numPr>
                <w:ilvl w:val="0"/>
                <w:numId w:val="222"/>
              </w:numPr>
              <w:spacing w:line="240" w:lineRule="auto"/>
              <w:jc w:val="left"/>
              <w:rPr>
                <w:sz w:val="20"/>
                <w:szCs w:val="20"/>
              </w:rPr>
            </w:pPr>
            <w:r w:rsidRPr="004E6412">
              <w:rPr>
                <w:sz w:val="20"/>
                <w:szCs w:val="20"/>
              </w:rPr>
              <w:t>Povećanje inovacijske izvedbe Republike Hrvatske</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udjela ulaganja poslovnog sektora na 2/3 u ukupnim ulaganjima u istraživanje i razvoj  </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bazičnih i primijenjenih (industrijskih) istraživanja u znanstveno-istraživačkom sektoru namijenjenih jačanju konkurentnosti gospodarstva </w:t>
            </w:r>
          </w:p>
          <w:p w:rsidR="0050036B" w:rsidRPr="004E6412" w:rsidRDefault="0050036B" w:rsidP="0050036B">
            <w:pPr>
              <w:numPr>
                <w:ilvl w:val="0"/>
                <w:numId w:val="222"/>
              </w:numPr>
              <w:spacing w:line="240" w:lineRule="auto"/>
              <w:jc w:val="left"/>
              <w:rPr>
                <w:sz w:val="20"/>
                <w:szCs w:val="20"/>
              </w:rPr>
            </w:pPr>
            <w:r w:rsidRPr="004E6412">
              <w:rPr>
                <w:sz w:val="20"/>
                <w:szCs w:val="20"/>
              </w:rPr>
              <w:t>Jačanje ljudskih kapaciteta za istraživanje, tehnološki razvoj i inovacije</w: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294426" w:rsidP="00B31D5A">
            <w:pPr>
              <w:jc w:val="left"/>
              <w:rPr>
                <w:sz w:val="20"/>
                <w:szCs w:val="20"/>
              </w:rPr>
            </w:pPr>
            <w:r>
              <w:rPr>
                <w:noProof/>
                <w:sz w:val="20"/>
                <w:szCs w:val="20"/>
                <w:lang w:eastAsia="hr-HR"/>
              </w:rPr>
              <mc:AlternateContent>
                <mc:Choice Requires="wps">
                  <w:drawing>
                    <wp:anchor distT="0" distB="0" distL="114300" distR="114300" simplePos="0" relativeHeight="251681280" behindDoc="0" locked="0" layoutInCell="1" allowOverlap="1">
                      <wp:simplePos x="0" y="0"/>
                      <wp:positionH relativeFrom="column">
                        <wp:posOffset>102235</wp:posOffset>
                      </wp:positionH>
                      <wp:positionV relativeFrom="paragraph">
                        <wp:posOffset>123190</wp:posOffset>
                      </wp:positionV>
                      <wp:extent cx="5603875" cy="3270885"/>
                      <wp:effectExtent l="0" t="0" r="34925" b="62865"/>
                      <wp:wrapNone/>
                      <wp:docPr id="4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875" cy="327088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83AF5" w:rsidRPr="00665438" w:rsidRDefault="00683AF5" w:rsidP="0050036B">
                                  <w:pPr>
                                    <w:jc w:val="center"/>
                                    <w:rPr>
                                      <w:b/>
                                      <w:sz w:val="20"/>
                                      <w:szCs w:val="20"/>
                                    </w:rPr>
                                  </w:pPr>
                                  <w:r w:rsidRPr="00665438">
                                    <w:rPr>
                                      <w:b/>
                                      <w:sz w:val="20"/>
                                      <w:szCs w:val="20"/>
                                    </w:rPr>
                                    <w:t>Industrijska strategija Republike Hrvatske 2014.-2020.</w:t>
                                  </w:r>
                                </w:p>
                                <w:p w:rsidR="00683AF5" w:rsidRPr="00665438" w:rsidRDefault="00683AF5" w:rsidP="0050036B">
                                  <w:pPr>
                                    <w:jc w:val="center"/>
                                    <w:rPr>
                                      <w:b/>
                                      <w:sz w:val="20"/>
                                      <w:szCs w:val="20"/>
                                    </w:rPr>
                                  </w:pPr>
                                </w:p>
                                <w:p w:rsidR="00683AF5" w:rsidRPr="00665438" w:rsidRDefault="00683AF5" w:rsidP="0050036B">
                                  <w:pPr>
                                    <w:jc w:val="center"/>
                                    <w:rPr>
                                      <w:sz w:val="20"/>
                                      <w:szCs w:val="20"/>
                                    </w:rPr>
                                  </w:pPr>
                                  <w:r w:rsidRPr="00665438">
                                    <w:rPr>
                                      <w:sz w:val="20"/>
                                      <w:szCs w:val="20"/>
                                    </w:rPr>
                                    <w:t>GLAVNI STRATEŠKI CILJ</w:t>
                                  </w:r>
                                </w:p>
                                <w:p w:rsidR="00683AF5" w:rsidRPr="00FF7EFD" w:rsidRDefault="00683AF5" w:rsidP="00FF7EFD">
                                  <w:pPr>
                                    <w:jc w:val="center"/>
                                    <w:rPr>
                                      <w:b/>
                                      <w:bCs/>
                                      <w:i/>
                                      <w:sz w:val="20"/>
                                      <w:szCs w:val="20"/>
                                    </w:rPr>
                                  </w:pPr>
                                  <w:r w:rsidRPr="00FF7EFD">
                                    <w:rPr>
                                      <w:b/>
                                      <w:bCs/>
                                      <w:i/>
                                      <w:sz w:val="20"/>
                                      <w:szCs w:val="20"/>
                                    </w:rPr>
                                    <w:t>Repozicioniranje identificiranih strateških djelatnosti na globalnom lancu vrijednosti prema  razvoju aktivnosti koje stvaraju dodanu vrijednost.</w:t>
                                  </w:r>
                                </w:p>
                                <w:p w:rsidR="00683AF5" w:rsidRPr="00665438" w:rsidRDefault="00683AF5" w:rsidP="0050036B">
                                  <w:pPr>
                                    <w:jc w:val="center"/>
                                    <w:rPr>
                                      <w:b/>
                                      <w:sz w:val="20"/>
                                      <w:szCs w:val="20"/>
                                    </w:rPr>
                                  </w:pPr>
                                </w:p>
                                <w:p w:rsidR="00683AF5" w:rsidRPr="00297EC7" w:rsidRDefault="00683AF5" w:rsidP="0050036B">
                                  <w:pPr>
                                    <w:numPr>
                                      <w:ilvl w:val="0"/>
                                      <w:numId w:val="225"/>
                                    </w:numPr>
                                    <w:ind w:left="360"/>
                                    <w:rPr>
                                      <w:sz w:val="20"/>
                                      <w:szCs w:val="20"/>
                                    </w:rPr>
                                  </w:pPr>
                                  <w:r w:rsidRPr="00297EC7">
                                    <w:rPr>
                                      <w:sz w:val="20"/>
                                      <w:szCs w:val="20"/>
                                    </w:rPr>
                                    <w:t>Rast obujma industrijske proizvodnje po pros</w:t>
                                  </w:r>
                                  <w:r>
                                    <w:rPr>
                                      <w:sz w:val="20"/>
                                      <w:szCs w:val="20"/>
                                    </w:rPr>
                                    <w:t>ječnoj godišnjoj stopi od 2,85%</w:t>
                                  </w:r>
                                </w:p>
                                <w:p w:rsidR="00683AF5" w:rsidRPr="00297EC7" w:rsidRDefault="00683AF5" w:rsidP="0050036B">
                                  <w:pPr>
                                    <w:numPr>
                                      <w:ilvl w:val="0"/>
                                      <w:numId w:val="225"/>
                                    </w:numPr>
                                    <w:ind w:left="360"/>
                                    <w:rPr>
                                      <w:sz w:val="20"/>
                                      <w:szCs w:val="20"/>
                                    </w:rPr>
                                  </w:pPr>
                                  <w:r w:rsidRPr="00297EC7">
                                    <w:rPr>
                                      <w:sz w:val="20"/>
                                      <w:szCs w:val="20"/>
                                    </w:rPr>
                                    <w:t xml:space="preserve">Rast broja novozaposlenih za 85.619 do kraja 2020. godine, od čega </w:t>
                                  </w:r>
                                  <w:r>
                                    <w:rPr>
                                      <w:sz w:val="20"/>
                                      <w:szCs w:val="20"/>
                                    </w:rPr>
                                    <w:t>minimalno 30% visokoobrazovanih</w:t>
                                  </w:r>
                                </w:p>
                                <w:p w:rsidR="00683AF5" w:rsidRPr="00297EC7" w:rsidRDefault="00683AF5" w:rsidP="0050036B">
                                  <w:pPr>
                                    <w:numPr>
                                      <w:ilvl w:val="0"/>
                                      <w:numId w:val="225"/>
                                    </w:numPr>
                                    <w:ind w:left="360"/>
                                    <w:rPr>
                                      <w:sz w:val="20"/>
                                      <w:szCs w:val="20"/>
                                    </w:rPr>
                                  </w:pPr>
                                  <w:r w:rsidRPr="00297EC7">
                                    <w:rPr>
                                      <w:sz w:val="20"/>
                                      <w:szCs w:val="20"/>
                                    </w:rPr>
                                    <w:t>Rast produktivnosti radne snage za 68,9%</w:t>
                                  </w:r>
                                  <w:r>
                                    <w:rPr>
                                      <w:sz w:val="20"/>
                                      <w:szCs w:val="20"/>
                                    </w:rPr>
                                    <w:t xml:space="preserve"> u razdoblju</w:t>
                                  </w:r>
                                  <w:r w:rsidRPr="00297EC7">
                                    <w:rPr>
                                      <w:sz w:val="20"/>
                                      <w:szCs w:val="20"/>
                                    </w:rPr>
                                    <w:t xml:space="preserve"> 2014.</w:t>
                                  </w:r>
                                  <w:r>
                                    <w:rPr>
                                      <w:sz w:val="20"/>
                                      <w:szCs w:val="20"/>
                                    </w:rPr>
                                    <w:t>-2020.</w:t>
                                  </w:r>
                                </w:p>
                                <w:p w:rsidR="00683AF5" w:rsidRPr="00297EC7" w:rsidRDefault="00683AF5" w:rsidP="0050036B">
                                  <w:pPr>
                                    <w:numPr>
                                      <w:ilvl w:val="0"/>
                                      <w:numId w:val="225"/>
                                    </w:numPr>
                                    <w:ind w:left="360"/>
                                    <w:rPr>
                                      <w:sz w:val="20"/>
                                      <w:szCs w:val="20"/>
                                    </w:rPr>
                                  </w:pPr>
                                  <w:r w:rsidRPr="00297EC7">
                                    <w:rPr>
                                      <w:sz w:val="20"/>
                                      <w:szCs w:val="20"/>
                                    </w:rPr>
                                    <w:t>Povećanje izvoza u razdoblju 2014.-2020. za 30% i promjena strukture izvoza u korist izvoza proizvoda visoke dodane vrijednosti</w:t>
                                  </w:r>
                                </w:p>
                                <w:p w:rsidR="00683AF5" w:rsidRPr="00297EC7" w:rsidRDefault="00683AF5" w:rsidP="0050036B">
                                  <w:pPr>
                                    <w:ind w:left="720"/>
                                    <w:jc w:val="left"/>
                                    <w:rPr>
                                      <w:b/>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140" style="position:absolute;margin-left:8.05pt;margin-top:9.7pt;width:441.25pt;height:257.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" fillcolor="white [3201]" strokecolor="#666 [1936]" strokeweight="1pt">
                      <v:fill color2="#999 [1296]" focus="100%" type="gradient"/>
                      <v:shadow on="t" color="#7f7f7f [1601]" opacity=".5" offset="1pt"/>
                      <v:textbox inset="0,0,0,0">
                        <w:txbxContent>
                          <w:p w:rsidR="00683AF5" w:rsidRPr="00665438" w:rsidRDefault="00683AF5" w:rsidP="0050036B">
                            <w:pPr>
                              <w:jc w:val="center"/>
                              <w:rPr>
                                <w:b/>
                                <w:sz w:val="20"/>
                                <w:szCs w:val="20"/>
                              </w:rPr>
                            </w:pPr>
                            <w:r w:rsidRPr="00665438">
                              <w:rPr>
                                <w:b/>
                                <w:sz w:val="20"/>
                                <w:szCs w:val="20"/>
                              </w:rPr>
                              <w:t>Industrijska strategija Republike Hrvatske 2014.-2020.</w:t>
                            </w:r>
                          </w:p>
                          <w:p w:rsidR="00683AF5" w:rsidRPr="00665438" w:rsidRDefault="00683AF5" w:rsidP="0050036B">
                            <w:pPr>
                              <w:jc w:val="center"/>
                              <w:rPr>
                                <w:b/>
                                <w:sz w:val="20"/>
                                <w:szCs w:val="20"/>
                              </w:rPr>
                            </w:pPr>
                          </w:p>
                          <w:p w:rsidR="00683AF5" w:rsidRPr="00665438" w:rsidRDefault="00683AF5" w:rsidP="0050036B">
                            <w:pPr>
                              <w:jc w:val="center"/>
                              <w:rPr>
                                <w:sz w:val="20"/>
                                <w:szCs w:val="20"/>
                              </w:rPr>
                            </w:pPr>
                            <w:r w:rsidRPr="00665438">
                              <w:rPr>
                                <w:sz w:val="20"/>
                                <w:szCs w:val="20"/>
                              </w:rPr>
                              <w:t>GLAVNI STRATEŠKI CILJ</w:t>
                            </w:r>
                          </w:p>
                          <w:p w:rsidR="00683AF5" w:rsidRPr="00FF7EFD" w:rsidRDefault="00683AF5" w:rsidP="00FF7EFD">
                            <w:pPr>
                              <w:jc w:val="center"/>
                              <w:rPr>
                                <w:b/>
                                <w:bCs/>
                                <w:i/>
                                <w:sz w:val="20"/>
                                <w:szCs w:val="20"/>
                              </w:rPr>
                            </w:pPr>
                            <w:r w:rsidRPr="00FF7EFD">
                              <w:rPr>
                                <w:b/>
                                <w:bCs/>
                                <w:i/>
                                <w:sz w:val="20"/>
                                <w:szCs w:val="20"/>
                              </w:rPr>
                              <w:t>Repozicioniranje identificiranih strateških djelatnosti na globalnom lancu vrijednosti prema  razvoju aktivnosti koje stvaraju dodanu vrijednost.</w:t>
                            </w:r>
                          </w:p>
                          <w:p w:rsidR="00683AF5" w:rsidRPr="00665438" w:rsidRDefault="00683AF5" w:rsidP="0050036B">
                            <w:pPr>
                              <w:jc w:val="center"/>
                              <w:rPr>
                                <w:b/>
                                <w:sz w:val="20"/>
                                <w:szCs w:val="20"/>
                              </w:rPr>
                            </w:pPr>
                          </w:p>
                          <w:p w:rsidR="00683AF5" w:rsidRPr="00297EC7" w:rsidRDefault="00683AF5" w:rsidP="0050036B">
                            <w:pPr>
                              <w:numPr>
                                <w:ilvl w:val="0"/>
                                <w:numId w:val="225"/>
                              </w:numPr>
                              <w:ind w:left="360"/>
                              <w:rPr>
                                <w:sz w:val="20"/>
                                <w:szCs w:val="20"/>
                              </w:rPr>
                            </w:pPr>
                            <w:r w:rsidRPr="00297EC7">
                              <w:rPr>
                                <w:sz w:val="20"/>
                                <w:szCs w:val="20"/>
                              </w:rPr>
                              <w:t>Rast obujma industrijske proizvodnje po pros</w:t>
                            </w:r>
                            <w:r>
                              <w:rPr>
                                <w:sz w:val="20"/>
                                <w:szCs w:val="20"/>
                              </w:rPr>
                              <w:t>ječnoj godišnjoj stopi od 2,85%</w:t>
                            </w:r>
                          </w:p>
                          <w:p w:rsidR="00683AF5" w:rsidRPr="00297EC7" w:rsidRDefault="00683AF5" w:rsidP="0050036B">
                            <w:pPr>
                              <w:numPr>
                                <w:ilvl w:val="0"/>
                                <w:numId w:val="225"/>
                              </w:numPr>
                              <w:ind w:left="360"/>
                              <w:rPr>
                                <w:sz w:val="20"/>
                                <w:szCs w:val="20"/>
                              </w:rPr>
                            </w:pPr>
                            <w:r w:rsidRPr="00297EC7">
                              <w:rPr>
                                <w:sz w:val="20"/>
                                <w:szCs w:val="20"/>
                              </w:rPr>
                              <w:t xml:space="preserve">Rast broja novozaposlenih za 85.619 do kraja 2020. godine, od čega </w:t>
                            </w:r>
                            <w:r>
                              <w:rPr>
                                <w:sz w:val="20"/>
                                <w:szCs w:val="20"/>
                              </w:rPr>
                              <w:t>minimalno 30% visokoobrazovanih</w:t>
                            </w:r>
                          </w:p>
                          <w:p w:rsidR="00683AF5" w:rsidRPr="00297EC7" w:rsidRDefault="00683AF5" w:rsidP="0050036B">
                            <w:pPr>
                              <w:numPr>
                                <w:ilvl w:val="0"/>
                                <w:numId w:val="225"/>
                              </w:numPr>
                              <w:ind w:left="360"/>
                              <w:rPr>
                                <w:sz w:val="20"/>
                                <w:szCs w:val="20"/>
                              </w:rPr>
                            </w:pPr>
                            <w:r w:rsidRPr="00297EC7">
                              <w:rPr>
                                <w:sz w:val="20"/>
                                <w:szCs w:val="20"/>
                              </w:rPr>
                              <w:t>Rast produktivnosti radne snage za 68,9%</w:t>
                            </w:r>
                            <w:r>
                              <w:rPr>
                                <w:sz w:val="20"/>
                                <w:szCs w:val="20"/>
                              </w:rPr>
                              <w:t xml:space="preserve"> u razdoblju</w:t>
                            </w:r>
                            <w:r w:rsidRPr="00297EC7">
                              <w:rPr>
                                <w:sz w:val="20"/>
                                <w:szCs w:val="20"/>
                              </w:rPr>
                              <w:t xml:space="preserve"> 2014.</w:t>
                            </w:r>
                            <w:r>
                              <w:rPr>
                                <w:sz w:val="20"/>
                                <w:szCs w:val="20"/>
                              </w:rPr>
                              <w:t>-2020.</w:t>
                            </w:r>
                          </w:p>
                          <w:p w:rsidR="00683AF5" w:rsidRPr="00297EC7" w:rsidRDefault="00683AF5" w:rsidP="0050036B">
                            <w:pPr>
                              <w:numPr>
                                <w:ilvl w:val="0"/>
                                <w:numId w:val="225"/>
                              </w:numPr>
                              <w:ind w:left="360"/>
                              <w:rPr>
                                <w:sz w:val="20"/>
                                <w:szCs w:val="20"/>
                              </w:rPr>
                            </w:pPr>
                            <w:r w:rsidRPr="00297EC7">
                              <w:rPr>
                                <w:sz w:val="20"/>
                                <w:szCs w:val="20"/>
                              </w:rPr>
                              <w:t>Povećanje izvoza u razdoblju 2014.-2020. za 30% i promjena strukture izvoza u korist izvoza proizvoda visoke dodane vrijednosti</w:t>
                            </w:r>
                          </w:p>
                          <w:p w:rsidR="00683AF5" w:rsidRPr="00297EC7" w:rsidRDefault="00683AF5" w:rsidP="0050036B">
                            <w:pPr>
                              <w:ind w:left="720"/>
                              <w:jc w:val="left"/>
                              <w:rPr>
                                <w:b/>
                                <w:sz w:val="20"/>
                                <w:szCs w:val="20"/>
                              </w:rPr>
                            </w:pPr>
                          </w:p>
                        </w:txbxContent>
                      </v:textbox>
                    </v:oval>
                  </w:pict>
                </mc:Fallback>
              </mc:AlternateConten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tc>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Prijedlog strategije poticanja investicija u Republici Hrvatskoj za razdoblje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Pridonijeti ostvarivanju vizije i potaknuti gospodarski rast i konkurentnost RH kroz povećanje priljeva domaćih i stranih investicija</w:t>
            </w:r>
          </w:p>
          <w:p w:rsidR="0050036B" w:rsidRPr="004E6412" w:rsidRDefault="0050036B" w:rsidP="00B31D5A">
            <w:pPr>
              <w:ind w:left="360"/>
              <w:jc w:val="left"/>
              <w:rPr>
                <w:sz w:val="20"/>
                <w:szCs w:val="20"/>
              </w:rPr>
            </w:pP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Poboljšanje investicijske klime u RH mjereno rangiranjem RH u odnosu na druge zemIje u okviru Izvješća o globalnoj konkurentnosti (GCR) i Lakoći poslovanja („Doing Business“) </w:t>
            </w: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Povećanje priljeva inozemnih izravnih investicija (ISI) /povećanje priljeva ISI </w:t>
            </w:r>
            <w:r w:rsidRPr="004E6412">
              <w:rPr>
                <w:i/>
                <w:sz w:val="20"/>
                <w:szCs w:val="20"/>
              </w:rPr>
              <w:t>per capita</w:t>
            </w:r>
          </w:p>
          <w:p w:rsidR="0050036B" w:rsidRPr="004E6412" w:rsidRDefault="0050036B" w:rsidP="0050036B">
            <w:pPr>
              <w:numPr>
                <w:ilvl w:val="0"/>
                <w:numId w:val="223"/>
              </w:numPr>
              <w:spacing w:line="240" w:lineRule="auto"/>
              <w:jc w:val="left"/>
              <w:rPr>
                <w:sz w:val="20"/>
                <w:szCs w:val="20"/>
              </w:rPr>
            </w:pPr>
            <w:r w:rsidRPr="004E6412">
              <w:rPr>
                <w:sz w:val="20"/>
                <w:szCs w:val="20"/>
              </w:rPr>
              <w:t>Postizanje udjela izravnih stranih investicija u BDP-u od 6 % godišnje</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w:t>
            </w:r>
            <w:r w:rsidRPr="004E6412">
              <w:rPr>
                <w:i/>
                <w:sz w:val="20"/>
                <w:szCs w:val="20"/>
              </w:rPr>
              <w:t>greenfield</w:t>
            </w:r>
            <w:r w:rsidRPr="004E6412">
              <w:rPr>
                <w:sz w:val="20"/>
                <w:szCs w:val="20"/>
              </w:rPr>
              <w:t>“ investicija u ukupnim investicijama u RH na 2/3</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stranih investitora u aktivnostima istraživanja i razvoja poslovnog sektora na 25%</w:t>
            </w:r>
          </w:p>
          <w:p w:rsidR="0050036B" w:rsidRPr="004E6412" w:rsidRDefault="0050036B" w:rsidP="00B31D5A">
            <w:pPr>
              <w:jc w:val="left"/>
              <w:rPr>
                <w:sz w:val="20"/>
                <w:szCs w:val="20"/>
              </w:rPr>
            </w:pPr>
          </w:p>
        </w:tc>
      </w:tr>
      <w:tr w:rsidR="0050036B" w:rsidRPr="004E6412" w:rsidTr="00B31D5A">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Strategija razvoja poduzetništva</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Povećanje konkurentnosti maloga gospodarstva u Hrvatskoj</w:t>
            </w:r>
          </w:p>
          <w:p w:rsidR="0050036B" w:rsidRPr="004E6412" w:rsidRDefault="0050036B" w:rsidP="00B31D5A">
            <w:pPr>
              <w:ind w:left="360"/>
              <w:jc w:val="left"/>
              <w:rPr>
                <w:sz w:val="20"/>
                <w:szCs w:val="20"/>
              </w:rPr>
            </w:pPr>
          </w:p>
          <w:p w:rsidR="0050036B" w:rsidRPr="004E6412" w:rsidRDefault="0050036B" w:rsidP="0050036B">
            <w:pPr>
              <w:numPr>
                <w:ilvl w:val="0"/>
                <w:numId w:val="224"/>
              </w:numPr>
              <w:spacing w:line="240" w:lineRule="auto"/>
              <w:jc w:val="left"/>
              <w:rPr>
                <w:sz w:val="20"/>
                <w:szCs w:val="20"/>
              </w:rPr>
            </w:pPr>
            <w:r w:rsidRPr="004E6412">
              <w:rPr>
                <w:sz w:val="20"/>
                <w:szCs w:val="20"/>
              </w:rPr>
              <w:t>Unapređenje ekonomske uspješnosti malog gospodarstva u sektorima prerađivačkih i uslužnih djelatnosti većim ulaganjem u R&amp;D, višim stupnjem inovacija, rastom izvoza te daljnjim razvojem poslovnih mreža i povezanosti</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Razvijanje različitih financijskih mogućnosti za subjekte maloga gospodarstva te uklanjanje financijskog jaza za malo gospodarstvo </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osnivanju novih poduzeća, povećanje broja aktivnih poduzeća i jačanje institucija koje pružaju potporu poduzetnicima kako bi se na taj način pridonijelo ravnomjernijem i uravnoteženom razvoju hrvatskih regija</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većem razvoju subjekata maloga gospodarstva jačanjem njihove uprave, uvođenjem i djelovanjem većeg broja visokokvalificiranih zaposlenika te pružanjem potpore cjeloživotnom učenju u subjektima maloga gospodarstva</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Nadogradnja ostvarenog napretka uklanjanjem administrativnih opterećenja olakšavanjem poslovanja u Hrvatskoj </w:t>
            </w:r>
          </w:p>
          <w:p w:rsidR="0050036B" w:rsidRPr="004E6412" w:rsidRDefault="0050036B" w:rsidP="00B31D5A">
            <w:pPr>
              <w:jc w:val="left"/>
              <w:rPr>
                <w:sz w:val="20"/>
                <w:szCs w:val="20"/>
              </w:rPr>
            </w:pPr>
          </w:p>
        </w:tc>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r w:rsidRPr="004E6412">
              <w:rPr>
                <w:b/>
                <w:sz w:val="20"/>
                <w:szCs w:val="20"/>
              </w:rPr>
              <w:t>Strategija obrazovanja, znanosti i tehnologije</w:t>
            </w:r>
            <w:r w:rsidRPr="004E6412">
              <w:rPr>
                <w:rStyle w:val="FootnoteReference"/>
                <w:b/>
                <w:sz w:val="20"/>
                <w:szCs w:val="20"/>
              </w:rPr>
              <w:footnoteReference w:id="28"/>
            </w:r>
          </w:p>
          <w:p w:rsidR="0050036B" w:rsidRPr="004E6412" w:rsidRDefault="0050036B" w:rsidP="00B31D5A">
            <w:pPr>
              <w:jc w:val="left"/>
              <w:rPr>
                <w:b/>
                <w:sz w:val="20"/>
                <w:szCs w:val="20"/>
              </w:rPr>
            </w:pPr>
          </w:p>
          <w:p w:rsidR="0050036B" w:rsidRPr="004E6412" w:rsidRDefault="0050036B" w:rsidP="00B31D5A">
            <w:pPr>
              <w:jc w:val="left"/>
              <w:rPr>
                <w:b/>
                <w:sz w:val="20"/>
                <w:szCs w:val="20"/>
              </w:rPr>
            </w:pPr>
            <w:r w:rsidRPr="004E6412">
              <w:rPr>
                <w:b/>
                <w:sz w:val="20"/>
                <w:szCs w:val="20"/>
              </w:rPr>
              <w:t>CILJEVI PO PODRUČJIMA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CJELOŽIVOTNO UČENJE</w:t>
            </w:r>
          </w:p>
          <w:p w:rsidR="0050036B" w:rsidRPr="004E6412" w:rsidRDefault="0050036B" w:rsidP="0050036B">
            <w:pPr>
              <w:numPr>
                <w:ilvl w:val="0"/>
                <w:numId w:val="218"/>
              </w:numPr>
              <w:spacing w:line="240" w:lineRule="auto"/>
              <w:jc w:val="left"/>
              <w:rPr>
                <w:sz w:val="20"/>
                <w:szCs w:val="20"/>
              </w:rPr>
            </w:pPr>
            <w:r w:rsidRPr="004E6412">
              <w:rPr>
                <w:sz w:val="20"/>
                <w:szCs w:val="20"/>
              </w:rPr>
              <w:t>Integrirati politike cjeloživotnog učenja i obrazovanja s ciljevima društvenog, gospodarskog, regionalnog i kulturnog razvoja, te s politikama zapošljavanja i socijalne skrbi</w:t>
            </w:r>
          </w:p>
          <w:p w:rsidR="0050036B" w:rsidRPr="004E6412" w:rsidRDefault="0050036B" w:rsidP="0050036B">
            <w:pPr>
              <w:numPr>
                <w:ilvl w:val="0"/>
                <w:numId w:val="218"/>
              </w:numPr>
              <w:spacing w:line="240" w:lineRule="auto"/>
              <w:jc w:val="left"/>
              <w:rPr>
                <w:sz w:val="20"/>
                <w:szCs w:val="20"/>
              </w:rPr>
            </w:pPr>
            <w:r w:rsidRPr="004E6412">
              <w:rPr>
                <w:sz w:val="20"/>
                <w:szCs w:val="20"/>
              </w:rPr>
              <w:t>Izgraditi i razvijati sustav za cjeloživotno osobno i profesionalno usmjeravanje uvažavajući specifičnosti pojedinih dijelova sustava</w:t>
            </w:r>
          </w:p>
          <w:p w:rsidR="0050036B" w:rsidRPr="004E6412" w:rsidRDefault="0050036B" w:rsidP="0050036B">
            <w:pPr>
              <w:numPr>
                <w:ilvl w:val="0"/>
                <w:numId w:val="218"/>
              </w:numPr>
              <w:spacing w:line="240" w:lineRule="auto"/>
              <w:jc w:val="left"/>
              <w:rPr>
                <w:sz w:val="20"/>
                <w:szCs w:val="20"/>
              </w:rPr>
            </w:pPr>
            <w:r w:rsidRPr="004E6412">
              <w:rPr>
                <w:sz w:val="20"/>
                <w:szCs w:val="20"/>
              </w:rPr>
              <w:t>Razviti procese i sustav priznavanja neformalno i informalno stečenih znanja i vještina</w:t>
            </w:r>
          </w:p>
          <w:p w:rsidR="0050036B" w:rsidRPr="004E6412" w:rsidRDefault="0050036B" w:rsidP="0050036B">
            <w:pPr>
              <w:numPr>
                <w:ilvl w:val="0"/>
                <w:numId w:val="218"/>
              </w:numPr>
              <w:spacing w:line="240" w:lineRule="auto"/>
              <w:jc w:val="left"/>
              <w:rPr>
                <w:sz w:val="20"/>
                <w:szCs w:val="20"/>
              </w:rPr>
            </w:pPr>
            <w:r w:rsidRPr="004E6412">
              <w:rPr>
                <w:sz w:val="20"/>
                <w:szCs w:val="20"/>
              </w:rPr>
              <w:t>Poticati primjenu informacijsko -komunikacijskih tehnologija u obrazovanju</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VISOKO OBRAZOVANJE</w:t>
            </w:r>
          </w:p>
          <w:p w:rsidR="0050036B" w:rsidRPr="004E6412" w:rsidRDefault="0050036B" w:rsidP="0050036B">
            <w:pPr>
              <w:numPr>
                <w:ilvl w:val="0"/>
                <w:numId w:val="219"/>
              </w:numPr>
              <w:spacing w:line="240" w:lineRule="auto"/>
              <w:jc w:val="left"/>
              <w:rPr>
                <w:sz w:val="20"/>
                <w:szCs w:val="20"/>
              </w:rPr>
            </w:pPr>
            <w:r w:rsidRPr="004E6412">
              <w:rPr>
                <w:sz w:val="20"/>
                <w:szCs w:val="20"/>
              </w:rPr>
              <w:t>Unaprijediti studijske programe dosljednom provedbom postavki bolonjske reforme i redefinirati kompetencije koje se njima stječu</w:t>
            </w:r>
          </w:p>
          <w:p w:rsidR="0050036B" w:rsidRPr="004E6412" w:rsidRDefault="0050036B" w:rsidP="0050036B">
            <w:pPr>
              <w:numPr>
                <w:ilvl w:val="0"/>
                <w:numId w:val="219"/>
              </w:numPr>
              <w:spacing w:line="240" w:lineRule="auto"/>
              <w:jc w:val="left"/>
              <w:rPr>
                <w:sz w:val="20"/>
                <w:szCs w:val="20"/>
              </w:rPr>
            </w:pPr>
            <w:r w:rsidRPr="004E6412">
              <w:rPr>
                <w:sz w:val="20"/>
                <w:szCs w:val="20"/>
              </w:rPr>
              <w:t>Ustrojiti kvalitetan binarni sustav visokog obrazovanja usklađen s nacionalnim potrebama i principom učinkovitog upravljanja visokim učili štima</w:t>
            </w:r>
          </w:p>
          <w:p w:rsidR="0050036B" w:rsidRPr="004E6412" w:rsidRDefault="0050036B" w:rsidP="0050036B">
            <w:pPr>
              <w:numPr>
                <w:ilvl w:val="0"/>
                <w:numId w:val="219"/>
              </w:numPr>
              <w:spacing w:line="240" w:lineRule="auto"/>
              <w:jc w:val="left"/>
              <w:rPr>
                <w:sz w:val="20"/>
                <w:szCs w:val="20"/>
              </w:rPr>
            </w:pPr>
            <w:r w:rsidRPr="004E6412">
              <w:rPr>
                <w:sz w:val="20"/>
                <w:szCs w:val="20"/>
              </w:rPr>
              <w:t>Osigurati kvalitetnu kadrovsku strukturu visokih učilišta kao osnovu za unaprjeđenje kvalitete visokog obrazovanja</w:t>
            </w:r>
          </w:p>
          <w:p w:rsidR="0050036B" w:rsidRPr="004E6412" w:rsidRDefault="0050036B" w:rsidP="0050036B">
            <w:pPr>
              <w:numPr>
                <w:ilvl w:val="0"/>
                <w:numId w:val="219"/>
              </w:numPr>
              <w:spacing w:line="240" w:lineRule="auto"/>
              <w:jc w:val="left"/>
              <w:rPr>
                <w:sz w:val="20"/>
                <w:szCs w:val="20"/>
              </w:rPr>
            </w:pPr>
            <w:r w:rsidRPr="004E6412">
              <w:rPr>
                <w:sz w:val="20"/>
                <w:szCs w:val="20"/>
              </w:rPr>
              <w:t>Internacionalizirati visoko obrazovanje i jače ga integrirati u europski i svjetski  visokoobrazovni prostor</w:t>
            </w: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r w:rsidRPr="004E6412">
              <w:rPr>
                <w:sz w:val="20"/>
                <w:szCs w:val="20"/>
              </w:rPr>
              <w:t>OBRAZOVANJE ODRASLIH</w:t>
            </w:r>
          </w:p>
          <w:p w:rsidR="0050036B" w:rsidRPr="004E6412" w:rsidRDefault="0050036B" w:rsidP="0050036B">
            <w:pPr>
              <w:numPr>
                <w:ilvl w:val="0"/>
                <w:numId w:val="220"/>
              </w:numPr>
              <w:spacing w:line="240" w:lineRule="auto"/>
              <w:jc w:val="left"/>
              <w:rPr>
                <w:sz w:val="20"/>
                <w:szCs w:val="20"/>
              </w:rPr>
            </w:pPr>
            <w:r w:rsidRPr="004E6412">
              <w:rPr>
                <w:sz w:val="20"/>
                <w:szCs w:val="20"/>
              </w:rPr>
              <w:t>Osigurati preduvjete za povećanje uključenosti odraslih građana u procese cjeloživotnog učenja i obrazovanja</w:t>
            </w:r>
          </w:p>
          <w:p w:rsidR="0050036B" w:rsidRPr="004E6412" w:rsidRDefault="0050036B" w:rsidP="0050036B">
            <w:pPr>
              <w:numPr>
                <w:ilvl w:val="0"/>
                <w:numId w:val="220"/>
              </w:numPr>
              <w:spacing w:line="240" w:lineRule="auto"/>
              <w:jc w:val="left"/>
              <w:rPr>
                <w:sz w:val="20"/>
                <w:szCs w:val="20"/>
              </w:rPr>
            </w:pPr>
            <w:r w:rsidRPr="004E6412">
              <w:rPr>
                <w:sz w:val="20"/>
                <w:szCs w:val="20"/>
              </w:rPr>
              <w:t>Unaprijediti i proširiti učenje, obrazovanje, osposobljavanje i usavršavanje na radnome mjestu i s radnog mjesta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ZNANOST I TEHNOLOGIJA</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Međunarodno kompetitivna javna sveučilišta i javni znanstveni instituti u hrvatskom visokoobrazovnom i istraživačkom prostoru koji stvaraju novu znanstvenu, društvenu, kulturnu i gospodarsku vrijednost </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Okružje koje omogućuje i potiče interakcijske i transferne mehanizme suradnje istraživačke zajednice s inovativnim gospodarstvom i društvenim djelatnostima </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Sveučilišta, veleučilišta i znanstveni instituti uključeni u procese pametne specijalizacije i s </w:t>
            </w:r>
            <w:r w:rsidRPr="004E6412">
              <w:rPr>
                <w:sz w:val="20"/>
                <w:szCs w:val="20"/>
              </w:rPr>
              <w:lastRenderedPageBreak/>
              <w:t>njima povezane smjernice tehnološkog razvoja</w:t>
            </w:r>
          </w:p>
          <w:p w:rsidR="0050036B" w:rsidRPr="004E6412" w:rsidRDefault="0050036B" w:rsidP="0050036B">
            <w:pPr>
              <w:numPr>
                <w:ilvl w:val="0"/>
                <w:numId w:val="221"/>
              </w:numPr>
              <w:spacing w:line="240" w:lineRule="auto"/>
              <w:jc w:val="left"/>
              <w:rPr>
                <w:sz w:val="20"/>
                <w:szCs w:val="20"/>
              </w:rPr>
            </w:pPr>
            <w:r w:rsidRPr="004E6412">
              <w:rPr>
                <w:sz w:val="20"/>
                <w:szCs w:val="20"/>
              </w:rPr>
              <w:t>Nacionalne istraživačke i inovacijske infrastrukture s javnim pristupom, uz uključivanje u europske infrastrukture i povezivanje s njima</w:t>
            </w:r>
          </w:p>
          <w:p w:rsidR="0050036B" w:rsidRPr="004E6412" w:rsidRDefault="0050036B" w:rsidP="0050036B">
            <w:pPr>
              <w:numPr>
                <w:ilvl w:val="0"/>
                <w:numId w:val="221"/>
              </w:numPr>
              <w:spacing w:line="240" w:lineRule="auto"/>
              <w:jc w:val="left"/>
              <w:rPr>
                <w:sz w:val="20"/>
                <w:szCs w:val="20"/>
              </w:rPr>
            </w:pPr>
            <w:r w:rsidRPr="004E6412">
              <w:rPr>
                <w:sz w:val="20"/>
                <w:szCs w:val="20"/>
              </w:rPr>
              <w:t>Rast ulaganja u istraživanje i razvoj unaprjeđenjem sustava javnog financiranja te poticanjem ulaganja poslovnog i društvenog sektora u istraživanje i razvoj</w:t>
            </w:r>
          </w:p>
        </w:tc>
      </w:tr>
    </w:tbl>
    <w:p w:rsidR="0050036B" w:rsidRPr="004E6412" w:rsidRDefault="0050036B" w:rsidP="0050036B">
      <w:pPr>
        <w:rPr>
          <w:sz w:val="22"/>
        </w:rPr>
      </w:pPr>
    </w:p>
    <w:p w:rsidR="0050036B" w:rsidRPr="004E6412" w:rsidRDefault="0050036B" w:rsidP="0050036B">
      <w:pPr>
        <w:rPr>
          <w:sz w:val="22"/>
        </w:rPr>
      </w:pPr>
    </w:p>
    <w:p w:rsidR="00A27012" w:rsidRDefault="00A27012" w:rsidP="00A27012">
      <w:pPr>
        <w:numPr>
          <w:ilvl w:val="0"/>
          <w:numId w:val="231"/>
        </w:numPr>
        <w:rPr>
          <w:sz w:val="22"/>
        </w:rPr>
      </w:pPr>
      <w:r>
        <w:rPr>
          <w:sz w:val="22"/>
        </w:rPr>
        <w:t>Ograničavajući čimbenici izrade I</w:t>
      </w:r>
      <w:r w:rsidRPr="004217CD">
        <w:rPr>
          <w:sz w:val="22"/>
        </w:rPr>
        <w:t>ndustrijske strategije</w:t>
      </w:r>
      <w:r>
        <w:rPr>
          <w:sz w:val="22"/>
        </w:rPr>
        <w:t xml:space="preserve">, u kontekstu strateških dokumenata, </w:t>
      </w:r>
      <w:r w:rsidRPr="004217CD">
        <w:rPr>
          <w:sz w:val="22"/>
        </w:rPr>
        <w:t xml:space="preserve">odnose se na hijerarhijsku i vremensku neusklađenost </w:t>
      </w:r>
      <w:r>
        <w:rPr>
          <w:sz w:val="22"/>
        </w:rPr>
        <w:t>izrade i usvajanja te na</w:t>
      </w:r>
      <w:r w:rsidRPr="004217CD">
        <w:rPr>
          <w:sz w:val="22"/>
        </w:rPr>
        <w:t xml:space="preserve"> odabrani pristup</w:t>
      </w:r>
      <w:r>
        <w:rPr>
          <w:sz w:val="22"/>
        </w:rPr>
        <w:t xml:space="preserve"> planiranju (</w:t>
      </w:r>
      <w:r>
        <w:rPr>
          <w:i/>
          <w:sz w:val="22"/>
        </w:rPr>
        <w:t>bottom-</w:t>
      </w:r>
      <w:r w:rsidRPr="00BD0ED9">
        <w:rPr>
          <w:i/>
          <w:sz w:val="22"/>
        </w:rPr>
        <w:t>up</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sidRPr="004217CD">
        <w:rPr>
          <w:sz w:val="22"/>
        </w:rPr>
        <w:t>Neusk</w:t>
      </w:r>
      <w:r>
        <w:rPr>
          <w:sz w:val="22"/>
        </w:rPr>
        <w:t>lađenost s obzirom na strateški položaj određenoga dokumenta</w:t>
      </w:r>
      <w:r w:rsidRPr="004217CD">
        <w:rPr>
          <w:sz w:val="22"/>
        </w:rPr>
        <w:t xml:space="preserve"> </w:t>
      </w:r>
      <w:r>
        <w:rPr>
          <w:sz w:val="22"/>
        </w:rPr>
        <w:t>znači da su</w:t>
      </w:r>
      <w:r w:rsidRPr="004217CD">
        <w:rPr>
          <w:sz w:val="22"/>
        </w:rPr>
        <w:t xml:space="preserve"> skoro svi dokumenti svrstani na istu razinu</w:t>
      </w:r>
      <w:r>
        <w:rPr>
          <w:sz w:val="22"/>
        </w:rPr>
        <w:t>,</w:t>
      </w:r>
      <w:r w:rsidRPr="004217CD">
        <w:rPr>
          <w:sz w:val="22"/>
        </w:rPr>
        <w:t xml:space="preserve"> iako bi bilo logičnije da se uspostavila određena strukt</w:t>
      </w:r>
      <w:r>
        <w:rPr>
          <w:sz w:val="22"/>
        </w:rPr>
        <w:t>ura iz koje su jasno vidljive međuovi</w:t>
      </w:r>
      <w:r w:rsidRPr="004217CD">
        <w:rPr>
          <w:sz w:val="22"/>
        </w:rPr>
        <w:t>snost</w:t>
      </w:r>
      <w:r>
        <w:rPr>
          <w:sz w:val="22"/>
        </w:rPr>
        <w:t xml:space="preserve"> i hijerarhija</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Pr>
          <w:sz w:val="22"/>
        </w:rPr>
        <w:t>Proces izrade i usvajanja različitih strategija</w:t>
      </w:r>
      <w:r w:rsidRPr="004217CD">
        <w:rPr>
          <w:sz w:val="22"/>
        </w:rPr>
        <w:t xml:space="preserve"> trebalo</w:t>
      </w:r>
      <w:r>
        <w:rPr>
          <w:sz w:val="22"/>
        </w:rPr>
        <w:t xml:space="preserve"> je podijeliti po fazama koje bi pratile (odražavale) faze proizvodnoga procesa (s</w:t>
      </w:r>
      <w:r w:rsidRPr="002F4EF0">
        <w:rPr>
          <w:sz w:val="22"/>
        </w:rPr>
        <w:t>trategije je t</w:t>
      </w:r>
      <w:r>
        <w:rPr>
          <w:sz w:val="22"/>
        </w:rPr>
        <w:t xml:space="preserve">rebalo podijeliti po fazama koje su trebale biti istovjetne onima u </w:t>
      </w:r>
      <w:r w:rsidRPr="002F4EF0">
        <w:rPr>
          <w:sz w:val="22"/>
        </w:rPr>
        <w:t>proizvodnom</w:t>
      </w:r>
      <w:r>
        <w:rPr>
          <w:sz w:val="22"/>
        </w:rPr>
        <w:t>e</w:t>
      </w:r>
      <w:r w:rsidRPr="002F4EF0">
        <w:rPr>
          <w:sz w:val="22"/>
        </w:rPr>
        <w:t xml:space="preserve"> procesu</w:t>
      </w:r>
      <w:r>
        <w:rPr>
          <w:sz w:val="22"/>
        </w:rPr>
        <w:t>)</w:t>
      </w:r>
      <w:r w:rsidRPr="004217CD">
        <w:rPr>
          <w:sz w:val="22"/>
        </w:rPr>
        <w:t xml:space="preserve">. </w:t>
      </w:r>
      <w:r>
        <w:rPr>
          <w:sz w:val="22"/>
        </w:rPr>
        <w:t>Drugim riječima, p</w:t>
      </w:r>
      <w:r w:rsidRPr="004217CD">
        <w:rPr>
          <w:sz w:val="22"/>
        </w:rPr>
        <w:t>rv</w:t>
      </w:r>
      <w:r>
        <w:rPr>
          <w:sz w:val="22"/>
        </w:rPr>
        <w:t xml:space="preserve">o je trebalo definirati sve </w:t>
      </w:r>
      <w:r w:rsidRPr="004217CD">
        <w:rPr>
          <w:sz w:val="22"/>
        </w:rPr>
        <w:t xml:space="preserve">dokumente koji se odnose na proizvodne </w:t>
      </w:r>
      <w:r w:rsidRPr="00BD0ED9">
        <w:rPr>
          <w:i/>
          <w:sz w:val="22"/>
        </w:rPr>
        <w:t>inpute</w:t>
      </w:r>
      <w:r w:rsidRPr="004217CD">
        <w:rPr>
          <w:sz w:val="22"/>
        </w:rPr>
        <w:t xml:space="preserve"> (sirovine, materijali, p</w:t>
      </w:r>
      <w:r>
        <w:rPr>
          <w:sz w:val="22"/>
        </w:rPr>
        <w:t>rirodni resursi, ljudski potencijali</w:t>
      </w:r>
      <w:r w:rsidRPr="004217CD">
        <w:rPr>
          <w:sz w:val="22"/>
        </w:rPr>
        <w:t>) j</w:t>
      </w:r>
      <w:r>
        <w:rPr>
          <w:sz w:val="22"/>
        </w:rPr>
        <w:t>er oni određuju polazišnu točku</w:t>
      </w:r>
      <w:r w:rsidRPr="004217CD">
        <w:rPr>
          <w:sz w:val="22"/>
        </w:rPr>
        <w:t xml:space="preserve"> za utvrđivanje konkurentnosti industrije i mogućnosti razv</w:t>
      </w:r>
      <w:r>
        <w:rPr>
          <w:sz w:val="22"/>
        </w:rPr>
        <w:t>oja, nakon čega je</w:t>
      </w:r>
      <w:r w:rsidRPr="004217CD">
        <w:rPr>
          <w:sz w:val="22"/>
        </w:rPr>
        <w:t xml:space="preserve"> </w:t>
      </w:r>
      <w:r>
        <w:rPr>
          <w:sz w:val="22"/>
        </w:rPr>
        <w:t>trebalo</w:t>
      </w:r>
      <w:r w:rsidRPr="004217CD">
        <w:rPr>
          <w:sz w:val="22"/>
        </w:rPr>
        <w:t xml:space="preserve"> definirati one strateške d</w:t>
      </w:r>
      <w:r>
        <w:rPr>
          <w:sz w:val="22"/>
        </w:rPr>
        <w:t>okumente koji će doprinijeti</w:t>
      </w:r>
      <w:r w:rsidRPr="004217CD">
        <w:rPr>
          <w:sz w:val="22"/>
        </w:rPr>
        <w:t xml:space="preserve"> realizaciji industrijskih strateških ciljeva ili područja (rast izvoza, poticanje investicija, ulaganje u istraživanje i razvoj, promjene u institucionalnim uvjetima i drugo).</w:t>
      </w:r>
    </w:p>
    <w:p w:rsidR="00A27012" w:rsidRDefault="00A27012" w:rsidP="00A27012">
      <w:pPr>
        <w:rPr>
          <w:sz w:val="22"/>
        </w:rPr>
      </w:pPr>
    </w:p>
    <w:p w:rsidR="00A27012" w:rsidRDefault="00A27012" w:rsidP="00A27012">
      <w:pPr>
        <w:numPr>
          <w:ilvl w:val="0"/>
          <w:numId w:val="231"/>
        </w:numPr>
        <w:rPr>
          <w:sz w:val="22"/>
        </w:rPr>
      </w:pPr>
      <w:r w:rsidRPr="004217CD">
        <w:rPr>
          <w:sz w:val="22"/>
        </w:rPr>
        <w:t>Iz navedenog</w:t>
      </w:r>
      <w:r>
        <w:rPr>
          <w:sz w:val="22"/>
        </w:rPr>
        <w:t>a</w:t>
      </w:r>
      <w:r w:rsidRPr="004217CD">
        <w:rPr>
          <w:sz w:val="22"/>
        </w:rPr>
        <w:t xml:space="preserve"> proi</w:t>
      </w:r>
      <w:r>
        <w:rPr>
          <w:sz w:val="22"/>
        </w:rPr>
        <w:t>zlazi i vremenska neusklađenost zbog koje su</w:t>
      </w:r>
      <w:r w:rsidRPr="004217CD">
        <w:rPr>
          <w:sz w:val="22"/>
        </w:rPr>
        <w:t xml:space="preserve"> određeni dokumenti usvojeni bez </w:t>
      </w:r>
      <w:r>
        <w:rPr>
          <w:sz w:val="22"/>
        </w:rPr>
        <w:t>uvažavanja potreba ili zahtjeva</w:t>
      </w:r>
      <w:r w:rsidRPr="004217CD">
        <w:rPr>
          <w:sz w:val="22"/>
        </w:rPr>
        <w:t xml:space="preserve"> drugih dokumenata koji su</w:t>
      </w:r>
      <w:r>
        <w:rPr>
          <w:sz w:val="22"/>
        </w:rPr>
        <w:t xml:space="preserve"> se prethodno trebali definirati</w:t>
      </w:r>
      <w:r w:rsidRPr="004217CD">
        <w:rPr>
          <w:sz w:val="22"/>
        </w:rPr>
        <w:t xml:space="preserve">. </w:t>
      </w:r>
    </w:p>
    <w:p w:rsidR="00A27012" w:rsidRDefault="00A27012" w:rsidP="00A27012">
      <w:pPr>
        <w:pStyle w:val="ListParagraph"/>
      </w:pPr>
    </w:p>
    <w:p w:rsidR="0050036B" w:rsidRPr="004E6412" w:rsidRDefault="00A27012" w:rsidP="00A27012">
      <w:pPr>
        <w:numPr>
          <w:ilvl w:val="0"/>
          <w:numId w:val="231"/>
        </w:numPr>
        <w:rPr>
          <w:sz w:val="22"/>
        </w:rPr>
      </w:pPr>
      <w:r>
        <w:rPr>
          <w:sz w:val="22"/>
        </w:rPr>
        <w:t>Za potrebe definiranja strateških ciljeva industrije kao važni ulazni parametri uzete su projekcije razvoja ključnih sektora (turizam i  energetika), ali je također pretpostavljeno da će se definirani strateški ciljevi za druge sektore i funkcije (obrazovanje i znanost, inovacije, investicije, poduzetništvo, zdravlje)</w:t>
      </w:r>
      <w:r w:rsidRPr="00DE5597">
        <w:rPr>
          <w:sz w:val="22"/>
        </w:rPr>
        <w:t xml:space="preserve"> do 2020.</w:t>
      </w:r>
      <w:r>
        <w:rPr>
          <w:sz w:val="22"/>
        </w:rPr>
        <w:t xml:space="preserve"> godine i realizirati kako je prethodno planirano.</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2"/>
      </w:pPr>
      <w:bookmarkStart w:id="1132" w:name="_Toc378069162"/>
      <w:r w:rsidRPr="004E6412">
        <w:rPr>
          <w:rStyle w:val="Heading3Char"/>
          <w:b/>
          <w:bCs/>
        </w:rPr>
        <w:lastRenderedPageBreak/>
        <w:t>Analiza scenarija razvoja industrije za razdoblje 2014.</w:t>
      </w:r>
      <w:r w:rsidR="00EC02B1">
        <w:rPr>
          <w:rStyle w:val="Heading3Char"/>
          <w:b/>
          <w:bCs/>
        </w:rPr>
        <w:t xml:space="preserve"> </w:t>
      </w:r>
      <w:r w:rsidRPr="004E6412">
        <w:rPr>
          <w:rStyle w:val="Heading3Char"/>
          <w:b/>
          <w:bCs/>
        </w:rPr>
        <w:t>-</w:t>
      </w:r>
      <w:r w:rsidR="00EC02B1">
        <w:rPr>
          <w:rStyle w:val="Heading3Char"/>
          <w:b/>
          <w:bCs/>
        </w:rPr>
        <w:t xml:space="preserve"> </w:t>
      </w:r>
      <w:r w:rsidRPr="004E6412">
        <w:rPr>
          <w:rStyle w:val="Heading3Char"/>
          <w:b/>
          <w:bCs/>
        </w:rPr>
        <w:t>2020.</w:t>
      </w:r>
      <w:bookmarkEnd w:id="1132"/>
      <w:r w:rsidRPr="004E6412">
        <w:t xml:space="preserve"> </w:t>
      </w:r>
    </w:p>
    <w:p w:rsidR="0050036B" w:rsidRPr="004E6412" w:rsidRDefault="0050036B" w:rsidP="0050036B">
      <w:pPr>
        <w:rPr>
          <w:lang w:eastAsia="hr-HR"/>
        </w:rPr>
      </w:pPr>
    </w:p>
    <w:p w:rsidR="0050036B" w:rsidRPr="004E6412" w:rsidRDefault="0050036B" w:rsidP="0050036B">
      <w:pPr>
        <w:rPr>
          <w:lang w:eastAsia="hr-HR"/>
        </w:rPr>
      </w:pPr>
    </w:p>
    <w:p w:rsidR="00A27012" w:rsidRPr="00F63434" w:rsidRDefault="00A27012" w:rsidP="00A27012">
      <w:pPr>
        <w:numPr>
          <w:ilvl w:val="0"/>
          <w:numId w:val="241"/>
        </w:numPr>
        <w:rPr>
          <w:sz w:val="22"/>
          <w:lang w:eastAsia="hr-HR"/>
        </w:rPr>
      </w:pPr>
      <w:r w:rsidRPr="00F63434">
        <w:rPr>
          <w:sz w:val="22"/>
          <w:lang w:eastAsia="hr-HR"/>
        </w:rPr>
        <w:t xml:space="preserve">U dokumentu su analizirana tri scenarija razvoja hrvatske industrije </w:t>
      </w:r>
      <w:r>
        <w:rPr>
          <w:sz w:val="22"/>
          <w:lang w:eastAsia="hr-HR"/>
        </w:rPr>
        <w:t xml:space="preserve">u </w:t>
      </w:r>
      <w:r w:rsidRPr="00DF7465">
        <w:rPr>
          <w:sz w:val="22"/>
          <w:lang w:eastAsia="hr-HR"/>
        </w:rPr>
        <w:t>razdoblju 2012.</w:t>
      </w:r>
      <w:r>
        <w:rPr>
          <w:sz w:val="22"/>
          <w:lang w:eastAsia="hr-HR"/>
        </w:rPr>
        <w:t xml:space="preserve"> – </w:t>
      </w:r>
      <w:r w:rsidRPr="00F63434">
        <w:rPr>
          <w:sz w:val="22"/>
          <w:lang w:eastAsia="hr-HR"/>
        </w:rPr>
        <w:t>2020</w:t>
      </w:r>
      <w:r>
        <w:rPr>
          <w:sz w:val="22"/>
          <w:lang w:eastAsia="hr-HR"/>
        </w:rPr>
        <w:t>. Unutar</w:t>
      </w:r>
      <w:r w:rsidRPr="00F63434">
        <w:rPr>
          <w:sz w:val="22"/>
          <w:lang w:eastAsia="hr-HR"/>
        </w:rPr>
        <w:t xml:space="preserve"> svakog</w:t>
      </w:r>
      <w:r>
        <w:rPr>
          <w:sz w:val="22"/>
          <w:lang w:eastAsia="hr-HR"/>
        </w:rPr>
        <w:t xml:space="preserve">a </w:t>
      </w:r>
      <w:r w:rsidRPr="00F63434">
        <w:rPr>
          <w:sz w:val="22"/>
          <w:lang w:eastAsia="hr-HR"/>
        </w:rPr>
        <w:t>scenarija</w:t>
      </w:r>
      <w:r>
        <w:rPr>
          <w:sz w:val="22"/>
          <w:lang w:eastAsia="hr-HR"/>
        </w:rPr>
        <w:t xml:space="preserve"> i </w:t>
      </w:r>
      <w:r w:rsidRPr="00F63434">
        <w:rPr>
          <w:sz w:val="22"/>
          <w:lang w:eastAsia="hr-HR"/>
        </w:rPr>
        <w:t>u skladu sa zacrtanim ciljevima do 2020. godine,</w:t>
      </w:r>
      <w:r>
        <w:rPr>
          <w:sz w:val="22"/>
          <w:lang w:eastAsia="hr-HR"/>
        </w:rPr>
        <w:t xml:space="preserve"> projicira se </w:t>
      </w:r>
      <w:r w:rsidRPr="00F63434">
        <w:rPr>
          <w:sz w:val="22"/>
          <w:lang w:eastAsia="hr-HR"/>
        </w:rPr>
        <w:t>godišnje kretanje:</w:t>
      </w:r>
    </w:p>
    <w:p w:rsidR="00A27012" w:rsidRPr="00963723" w:rsidRDefault="00A27012" w:rsidP="00A27012">
      <w:pPr>
        <w:numPr>
          <w:ilvl w:val="1"/>
          <w:numId w:val="242"/>
        </w:numPr>
        <w:rPr>
          <w:sz w:val="22"/>
          <w:lang w:eastAsia="hr-HR"/>
        </w:rPr>
      </w:pPr>
      <w:r w:rsidRPr="00F63434">
        <w:rPr>
          <w:sz w:val="22"/>
          <w:lang w:eastAsia="hr-HR"/>
        </w:rPr>
        <w:t xml:space="preserve">fizičkog obujma industrijske </w:t>
      </w:r>
      <w:r>
        <w:rPr>
          <w:sz w:val="22"/>
          <w:lang w:eastAsia="hr-HR"/>
        </w:rPr>
        <w:t xml:space="preserve">proizvodnje </w:t>
      </w:r>
      <w:r w:rsidRPr="00963723">
        <w:rPr>
          <w:sz w:val="22"/>
          <w:lang w:eastAsia="hr-HR"/>
        </w:rPr>
        <w:t>(pokazatelj razine gospo</w:t>
      </w:r>
      <w:r>
        <w:rPr>
          <w:sz w:val="22"/>
          <w:lang w:eastAsia="hr-HR"/>
        </w:rPr>
        <w:t>darske aktivnosti koji ukazuje na</w:t>
      </w:r>
      <w:r w:rsidRPr="00963723">
        <w:rPr>
          <w:sz w:val="22"/>
          <w:lang w:eastAsia="hr-HR"/>
        </w:rPr>
        <w:t xml:space="preserve"> sve </w:t>
      </w:r>
      <w:r>
        <w:rPr>
          <w:sz w:val="22"/>
          <w:lang w:eastAsia="hr-HR"/>
        </w:rPr>
        <w:t>niže navedene pokazatelje</w:t>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broja novozaposlenih (potrebni</w:t>
      </w:r>
      <w:r>
        <w:rPr>
          <w:sz w:val="22"/>
          <w:lang w:eastAsia="hr-HR"/>
        </w:rPr>
        <w:t>h</w:t>
      </w:r>
      <w:r w:rsidRPr="00963723">
        <w:rPr>
          <w:sz w:val="22"/>
          <w:lang w:eastAsia="hr-HR"/>
        </w:rPr>
        <w:t xml:space="preserve"> za povećanje fizičkog obujma industrijske proizvodnje), </w:t>
      </w:r>
    </w:p>
    <w:p w:rsidR="00A27012" w:rsidRPr="00963723" w:rsidRDefault="00A27012" w:rsidP="00A27012">
      <w:pPr>
        <w:numPr>
          <w:ilvl w:val="1"/>
          <w:numId w:val="242"/>
        </w:numPr>
        <w:rPr>
          <w:sz w:val="22"/>
          <w:lang w:eastAsia="hr-HR"/>
        </w:rPr>
      </w:pPr>
      <w:r w:rsidRPr="00963723">
        <w:rPr>
          <w:sz w:val="22"/>
          <w:lang w:eastAsia="hr-HR"/>
        </w:rPr>
        <w:t>BDV-a (kao financijskog pokazatelja obujma industrijske proizvodnje i novozaposlenih),</w:t>
      </w:r>
    </w:p>
    <w:p w:rsidR="00A27012" w:rsidRPr="00F63434" w:rsidRDefault="00A27012" w:rsidP="00A27012">
      <w:pPr>
        <w:numPr>
          <w:ilvl w:val="1"/>
          <w:numId w:val="242"/>
        </w:numPr>
        <w:rPr>
          <w:sz w:val="22"/>
          <w:lang w:eastAsia="hr-HR"/>
        </w:rPr>
      </w:pPr>
      <w:r w:rsidRPr="00F63434">
        <w:rPr>
          <w:sz w:val="22"/>
          <w:lang w:eastAsia="hr-HR"/>
        </w:rPr>
        <w:t>produktivnosti rada</w:t>
      </w:r>
      <w:r>
        <w:rPr>
          <w:sz w:val="22"/>
          <w:lang w:eastAsia="hr-HR"/>
        </w:rPr>
        <w:t xml:space="preserve">,  </w:t>
      </w:r>
    </w:p>
    <w:p w:rsidR="00A27012" w:rsidRPr="00F63434" w:rsidRDefault="00A27012" w:rsidP="00A27012">
      <w:pPr>
        <w:numPr>
          <w:ilvl w:val="1"/>
          <w:numId w:val="242"/>
        </w:numPr>
        <w:rPr>
          <w:sz w:val="22"/>
          <w:lang w:eastAsia="hr-HR"/>
        </w:rPr>
      </w:pPr>
      <w:r w:rsidRPr="00345D00">
        <w:rPr>
          <w:sz w:val="22"/>
          <w:lang w:eastAsia="hr-HR"/>
        </w:rPr>
        <w:t>rasta izvoza</w:t>
      </w:r>
      <w:r w:rsidRPr="00F63434">
        <w:rPr>
          <w:sz w:val="22"/>
          <w:lang w:eastAsia="hr-HR"/>
        </w:rPr>
        <w:t xml:space="preserve"> </w:t>
      </w:r>
      <w:r>
        <w:rPr>
          <w:sz w:val="22"/>
          <w:lang w:eastAsia="hr-HR"/>
        </w:rPr>
        <w:t>(</w:t>
      </w:r>
      <w:r w:rsidRPr="00963723">
        <w:rPr>
          <w:sz w:val="22"/>
          <w:lang w:eastAsia="hr-HR"/>
        </w:rPr>
        <w:t>koji predstavlja ključnu</w:t>
      </w:r>
      <w:r>
        <w:rPr>
          <w:sz w:val="22"/>
          <w:lang w:eastAsia="hr-HR"/>
        </w:rPr>
        <w:t xml:space="preserve"> odrednicu</w:t>
      </w:r>
      <w:r w:rsidRPr="00963723">
        <w:rPr>
          <w:sz w:val="22"/>
          <w:lang w:eastAsia="hr-HR"/>
        </w:rPr>
        <w:t xml:space="preserve"> gospodarskog</w:t>
      </w:r>
      <w:r>
        <w:rPr>
          <w:sz w:val="22"/>
          <w:lang w:eastAsia="hr-HR"/>
        </w:rPr>
        <w:t>a</w:t>
      </w:r>
      <w:r w:rsidRPr="00963723">
        <w:rPr>
          <w:sz w:val="22"/>
          <w:lang w:eastAsia="hr-HR"/>
        </w:rPr>
        <w:t xml:space="preserve"> rasta</w:t>
      </w:r>
      <w:r>
        <w:rPr>
          <w:sz w:val="22"/>
          <w:lang w:eastAsia="hr-HR"/>
        </w:rPr>
        <w:t>),</w:t>
      </w:r>
    </w:p>
    <w:p w:rsidR="00A27012" w:rsidRPr="00963723" w:rsidRDefault="00A27012" w:rsidP="00A27012">
      <w:pPr>
        <w:numPr>
          <w:ilvl w:val="1"/>
          <w:numId w:val="242"/>
        </w:numPr>
        <w:rPr>
          <w:sz w:val="22"/>
          <w:lang w:eastAsia="hr-HR"/>
        </w:rPr>
      </w:pPr>
      <w:r w:rsidRPr="00F63434">
        <w:rPr>
          <w:sz w:val="22"/>
          <w:lang w:eastAsia="hr-HR"/>
        </w:rPr>
        <w:t xml:space="preserve">investicija </w:t>
      </w:r>
      <w:r>
        <w:rPr>
          <w:sz w:val="22"/>
          <w:lang w:eastAsia="hr-HR"/>
        </w:rPr>
        <w:t>u fiksni kapital (prate</w:t>
      </w:r>
      <w:r w:rsidRPr="00963723">
        <w:rPr>
          <w:sz w:val="22"/>
          <w:lang w:eastAsia="hr-HR"/>
        </w:rPr>
        <w:t xml:space="preserve"> broj novozaposleni</w:t>
      </w:r>
      <w:r>
        <w:rPr>
          <w:sz w:val="22"/>
          <w:lang w:eastAsia="hr-HR"/>
        </w:rPr>
        <w:t>h kako bi se osigurala primjerena</w:t>
      </w:r>
      <w:r w:rsidRPr="00963723">
        <w:rPr>
          <w:sz w:val="22"/>
          <w:lang w:eastAsia="hr-HR"/>
        </w:rPr>
        <w:t xml:space="preserve"> opremljenost rada kapitalom),</w:t>
      </w:r>
    </w:p>
    <w:p w:rsidR="00A27012" w:rsidRPr="00963723" w:rsidRDefault="00A27012" w:rsidP="00A27012">
      <w:pPr>
        <w:numPr>
          <w:ilvl w:val="1"/>
          <w:numId w:val="242"/>
        </w:numPr>
        <w:rPr>
          <w:sz w:val="22"/>
          <w:lang w:eastAsia="hr-HR"/>
        </w:rPr>
      </w:pPr>
      <w:r w:rsidRPr="00963723">
        <w:rPr>
          <w:sz w:val="22"/>
          <w:lang w:eastAsia="hr-HR"/>
        </w:rPr>
        <w:t>rashoda za istraživanje i razvoj u BDP-u (</w:t>
      </w:r>
      <w:r>
        <w:rPr>
          <w:sz w:val="22"/>
          <w:lang w:eastAsia="hr-HR"/>
        </w:rPr>
        <w:t>u 2011. godini</w:t>
      </w:r>
      <w:r w:rsidRPr="00963723">
        <w:rPr>
          <w:sz w:val="22"/>
          <w:lang w:eastAsia="hr-HR"/>
        </w:rPr>
        <w:t xml:space="preserve"> rashodi za istraživanje i razvoj iznosili su 0,75% BDP-a; c</w:t>
      </w:r>
      <w:r>
        <w:rPr>
          <w:sz w:val="22"/>
          <w:lang w:eastAsia="hr-HR"/>
        </w:rPr>
        <w:t>ilj je da do 2020. iznose</w:t>
      </w:r>
      <w:r w:rsidRPr="00963723">
        <w:rPr>
          <w:sz w:val="22"/>
          <w:lang w:eastAsia="hr-HR"/>
        </w:rPr>
        <w:t xml:space="preserve"> 1,4% BDP-a</w:t>
      </w:r>
      <w:r>
        <w:rPr>
          <w:rStyle w:val="FootnoteReference"/>
          <w:sz w:val="22"/>
          <w:lang w:eastAsia="hr-HR"/>
        </w:rPr>
        <w:footnoteReference w:id="29"/>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udjela visokoobrazovane radne snage u ukupnom</w:t>
      </w:r>
      <w:r>
        <w:rPr>
          <w:sz w:val="22"/>
          <w:lang w:eastAsia="hr-HR"/>
        </w:rPr>
        <w:t>e</w:t>
      </w:r>
      <w:r w:rsidRPr="00963723">
        <w:rPr>
          <w:sz w:val="22"/>
          <w:lang w:eastAsia="hr-HR"/>
        </w:rPr>
        <w:t xml:space="preserve"> broju zaposlenih </w:t>
      </w:r>
      <w:r>
        <w:rPr>
          <w:sz w:val="22"/>
          <w:lang w:eastAsia="hr-HR"/>
        </w:rPr>
        <w:t xml:space="preserve">u </w:t>
      </w:r>
      <w:r w:rsidRPr="00963723">
        <w:rPr>
          <w:sz w:val="22"/>
          <w:lang w:eastAsia="hr-HR"/>
        </w:rPr>
        <w:t>industrij</w:t>
      </w:r>
      <w:r>
        <w:rPr>
          <w:sz w:val="22"/>
          <w:lang w:eastAsia="hr-HR"/>
        </w:rPr>
        <w:t xml:space="preserve">i </w:t>
      </w:r>
      <w:r w:rsidRPr="00963723">
        <w:rPr>
          <w:sz w:val="22"/>
          <w:lang w:eastAsia="hr-HR"/>
        </w:rPr>
        <w:t>(</w:t>
      </w:r>
      <w:r>
        <w:rPr>
          <w:sz w:val="22"/>
          <w:lang w:eastAsia="hr-HR"/>
        </w:rPr>
        <w:t>odgovara</w:t>
      </w:r>
      <w:r w:rsidRPr="00963723">
        <w:rPr>
          <w:sz w:val="22"/>
          <w:lang w:eastAsia="hr-HR"/>
        </w:rPr>
        <w:t xml:space="preserve"> na pitanje koliki bi trebao biti udio visokoobrazovane radne snage u ukupnom</w:t>
      </w:r>
      <w:r>
        <w:rPr>
          <w:sz w:val="22"/>
          <w:lang w:eastAsia="hr-HR"/>
        </w:rPr>
        <w:t>e</w:t>
      </w:r>
      <w:r w:rsidRPr="00963723">
        <w:rPr>
          <w:sz w:val="22"/>
          <w:lang w:eastAsia="hr-HR"/>
        </w:rPr>
        <w:t xml:space="preserve"> broju novozaposlenih kako bi se postigle ciljane stope rasta</w:t>
      </w:r>
      <w:r w:rsidRPr="00963723">
        <w:rPr>
          <w:sz w:val="22"/>
        </w:rPr>
        <w:t>)</w:t>
      </w:r>
      <w:r w:rsidRPr="00963723">
        <w:rPr>
          <w:sz w:val="22"/>
          <w:lang w:eastAsia="hr-HR"/>
        </w:rPr>
        <w:t>.</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Prvi scenarij</w:t>
      </w:r>
      <w:r w:rsidRPr="00F63434">
        <w:rPr>
          <w:sz w:val="22"/>
          <w:lang w:eastAsia="hr-HR"/>
        </w:rPr>
        <w:t>, nazvan „</w:t>
      </w:r>
      <w:r>
        <w:rPr>
          <w:b/>
          <w:sz w:val="22"/>
          <w:lang w:eastAsia="hr-HR"/>
        </w:rPr>
        <w:t>p</w:t>
      </w:r>
      <w:r w:rsidRPr="00F63434">
        <w:rPr>
          <w:b/>
          <w:sz w:val="22"/>
          <w:lang w:eastAsia="hr-HR"/>
        </w:rPr>
        <w:t>esimistični scenarij</w:t>
      </w:r>
      <w:r w:rsidRPr="00F63434">
        <w:rPr>
          <w:sz w:val="22"/>
          <w:lang w:eastAsia="hr-HR"/>
        </w:rPr>
        <w:t>“</w:t>
      </w:r>
      <w:r>
        <w:rPr>
          <w:sz w:val="22"/>
          <w:lang w:eastAsia="hr-HR"/>
        </w:rPr>
        <w:t>,</w:t>
      </w:r>
      <w:r w:rsidRPr="00F63434">
        <w:rPr>
          <w:sz w:val="22"/>
          <w:lang w:eastAsia="hr-HR"/>
        </w:rPr>
        <w:t xml:space="preserve"> predstavlja projekciju nastavka sadašnjih trendova do</w:t>
      </w:r>
      <w:r>
        <w:rPr>
          <w:sz w:val="22"/>
          <w:lang w:eastAsia="hr-HR"/>
        </w:rPr>
        <w:t xml:space="preserve"> 2020., bez provedbe I</w:t>
      </w:r>
      <w:r w:rsidRPr="00F63434">
        <w:rPr>
          <w:sz w:val="22"/>
          <w:lang w:eastAsia="hr-HR"/>
        </w:rPr>
        <w:t xml:space="preserve">ndustrijske strategije, odnosno prikazuje kako bi se kretali navedeni pokazatelji kad se ne bi </w:t>
      </w:r>
      <w:r>
        <w:rPr>
          <w:sz w:val="22"/>
          <w:lang w:eastAsia="hr-HR"/>
        </w:rPr>
        <w:t>provodile</w:t>
      </w:r>
      <w:r w:rsidRPr="00F63434">
        <w:rPr>
          <w:sz w:val="22"/>
          <w:lang w:eastAsia="hr-HR"/>
        </w:rPr>
        <w:t xml:space="preserve"> nove </w:t>
      </w:r>
      <w:r>
        <w:rPr>
          <w:sz w:val="22"/>
          <w:lang w:eastAsia="hr-HR"/>
        </w:rPr>
        <w:t>strateške mjere</w:t>
      </w:r>
      <w:r w:rsidRPr="00F63434">
        <w:rPr>
          <w:sz w:val="22"/>
          <w:lang w:eastAsia="hr-HR"/>
        </w:rPr>
        <w:t xml:space="preserve"> u području industrije.</w:t>
      </w:r>
    </w:p>
    <w:p w:rsidR="00A27012" w:rsidRPr="00F63434" w:rsidRDefault="00A27012" w:rsidP="00A27012">
      <w:pPr>
        <w:rPr>
          <w:sz w:val="22"/>
          <w:lang w:eastAsia="hr-HR"/>
        </w:rPr>
      </w:pPr>
    </w:p>
    <w:p w:rsidR="00A27012" w:rsidRPr="00977501" w:rsidRDefault="00A27012" w:rsidP="00A27012">
      <w:pPr>
        <w:numPr>
          <w:ilvl w:val="0"/>
          <w:numId w:val="202"/>
        </w:numPr>
        <w:rPr>
          <w:sz w:val="22"/>
          <w:lang w:eastAsia="hr-HR"/>
        </w:rPr>
      </w:pPr>
      <w:r w:rsidRPr="00F63434">
        <w:rPr>
          <w:b/>
          <w:sz w:val="22"/>
          <w:lang w:eastAsia="hr-HR"/>
        </w:rPr>
        <w:t>Drugi scenarij</w:t>
      </w:r>
      <w:r w:rsidRPr="00F63434">
        <w:rPr>
          <w:sz w:val="22"/>
          <w:lang w:eastAsia="hr-HR"/>
        </w:rPr>
        <w:t>, nazvan „</w:t>
      </w:r>
      <w:r w:rsidRPr="00F63434">
        <w:rPr>
          <w:b/>
          <w:sz w:val="22"/>
          <w:lang w:eastAsia="hr-HR"/>
        </w:rPr>
        <w:t>realni scenarij</w:t>
      </w:r>
      <w:r w:rsidRPr="00F63434">
        <w:rPr>
          <w:sz w:val="22"/>
          <w:lang w:eastAsia="hr-HR"/>
        </w:rPr>
        <w:t>“, podrazumijeva ostvarivanje onog stupnja gospodarskog</w:t>
      </w:r>
      <w:r>
        <w:rPr>
          <w:sz w:val="22"/>
          <w:lang w:eastAsia="hr-HR"/>
        </w:rPr>
        <w:t>a razvoja kakav je bio</w:t>
      </w:r>
      <w:r w:rsidRPr="00F63434">
        <w:rPr>
          <w:sz w:val="22"/>
          <w:lang w:eastAsia="hr-HR"/>
        </w:rPr>
        <w:t xml:space="preserve"> 2008. godine. </w:t>
      </w:r>
      <w:r>
        <w:rPr>
          <w:sz w:val="22"/>
          <w:lang w:eastAsia="hr-HR"/>
        </w:rPr>
        <w:t>P</w:t>
      </w:r>
      <w:r w:rsidRPr="00977501">
        <w:rPr>
          <w:sz w:val="22"/>
          <w:lang w:eastAsia="hr-HR"/>
        </w:rPr>
        <w:t>retpostavlja p</w:t>
      </w:r>
      <w:r>
        <w:rPr>
          <w:sz w:val="22"/>
          <w:lang w:eastAsia="hr-HR"/>
        </w:rPr>
        <w:t xml:space="preserve">ostizanje, do 2020. godine, </w:t>
      </w:r>
      <w:r w:rsidRPr="00977501">
        <w:rPr>
          <w:sz w:val="22"/>
          <w:lang w:eastAsia="hr-HR"/>
        </w:rPr>
        <w:t>razine fizičkog obujma</w:t>
      </w:r>
      <w:r>
        <w:rPr>
          <w:sz w:val="22"/>
          <w:lang w:eastAsia="hr-HR"/>
        </w:rPr>
        <w:t xml:space="preserve"> industrijske proizvodnje i </w:t>
      </w:r>
      <w:r w:rsidRPr="00977501">
        <w:rPr>
          <w:sz w:val="22"/>
          <w:lang w:eastAsia="hr-HR"/>
        </w:rPr>
        <w:t xml:space="preserve">razine zaposlenosti kakve su bile 2008. godine. </w:t>
      </w:r>
      <w:r>
        <w:rPr>
          <w:sz w:val="22"/>
          <w:lang w:eastAsia="hr-HR"/>
        </w:rPr>
        <w:t xml:space="preserve">Ta je godina uzeta iz razloga što je tada postignut </w:t>
      </w:r>
      <w:r w:rsidRPr="00977501">
        <w:rPr>
          <w:sz w:val="22"/>
          <w:lang w:eastAsia="hr-HR"/>
        </w:rPr>
        <w:t xml:space="preserve">najveći stupanj razvoja gospodarstva Republike Hrvatske. </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Treći scenarij</w:t>
      </w:r>
      <w:r w:rsidRPr="00F63434">
        <w:rPr>
          <w:sz w:val="22"/>
          <w:lang w:eastAsia="hr-HR"/>
        </w:rPr>
        <w:t>, nazvan „</w:t>
      </w:r>
      <w:r w:rsidRPr="00F63434">
        <w:rPr>
          <w:b/>
          <w:sz w:val="22"/>
          <w:lang w:eastAsia="hr-HR"/>
        </w:rPr>
        <w:t>optimistični scenarij</w:t>
      </w:r>
      <w:r w:rsidRPr="00F63434">
        <w:rPr>
          <w:sz w:val="22"/>
          <w:lang w:eastAsia="hr-HR"/>
        </w:rPr>
        <w:t xml:space="preserve">“, podrazumijeva visoke stope rasta </w:t>
      </w:r>
      <w:r>
        <w:rPr>
          <w:sz w:val="22"/>
          <w:lang w:eastAsia="hr-HR"/>
        </w:rPr>
        <w:t>svih analiziranih pokazatelja</w:t>
      </w:r>
      <w:r w:rsidRPr="00F63434">
        <w:rPr>
          <w:sz w:val="22"/>
          <w:lang w:eastAsia="hr-HR"/>
        </w:rPr>
        <w:t>.</w:t>
      </w:r>
      <w:r>
        <w:rPr>
          <w:sz w:val="22"/>
          <w:lang w:eastAsia="hr-HR"/>
        </w:rPr>
        <w:t xml:space="preserve"> Osnova za ostvarivanje viših stopa rasta u odnosu na realni scenarij nalazi se u kvaliteti procesa provedbe strategije za koji je nužno provesti restrukturiranje javne uprave koja mora postati partner privatnoga sektora.</w:t>
      </w:r>
      <w:r w:rsidRPr="00F63434">
        <w:rPr>
          <w:sz w:val="22"/>
          <w:lang w:eastAsia="hr-HR"/>
        </w:rPr>
        <w:t xml:space="preserve"> </w:t>
      </w:r>
    </w:p>
    <w:p w:rsidR="00A27012" w:rsidRPr="00F63434" w:rsidRDefault="00A27012" w:rsidP="00A27012">
      <w:pPr>
        <w:rPr>
          <w:sz w:val="22"/>
          <w:lang w:eastAsia="hr-HR"/>
        </w:rPr>
      </w:pPr>
    </w:p>
    <w:p w:rsidR="0050036B" w:rsidRPr="004E6412" w:rsidRDefault="00A27012" w:rsidP="00A27012">
      <w:pPr>
        <w:numPr>
          <w:ilvl w:val="0"/>
          <w:numId w:val="202"/>
        </w:numPr>
        <w:rPr>
          <w:sz w:val="22"/>
          <w:lang w:eastAsia="hr-HR"/>
        </w:rPr>
      </w:pPr>
      <w:r>
        <w:rPr>
          <w:sz w:val="22"/>
          <w:lang w:eastAsia="hr-HR"/>
        </w:rPr>
        <w:t xml:space="preserve">Sva tri scenarija </w:t>
      </w:r>
      <w:r w:rsidRPr="00F63434">
        <w:rPr>
          <w:sz w:val="22"/>
          <w:lang w:eastAsia="hr-HR"/>
        </w:rPr>
        <w:t xml:space="preserve">analizirana </w:t>
      </w:r>
      <w:r>
        <w:rPr>
          <w:sz w:val="22"/>
          <w:lang w:eastAsia="hr-HR"/>
        </w:rPr>
        <w:t xml:space="preserve">su </w:t>
      </w:r>
      <w:r w:rsidRPr="00F63434">
        <w:rPr>
          <w:sz w:val="22"/>
          <w:lang w:eastAsia="hr-HR"/>
        </w:rPr>
        <w:t>na razini cijele industrije (C+F+J), dok je „realni scenarij“ primijenjen i na razinama skupina poddjelatnosti „pokretači“ i „čuvari“.</w:t>
      </w:r>
      <w:r>
        <w:rPr>
          <w:sz w:val="22"/>
          <w:lang w:eastAsia="hr-HR"/>
        </w:rPr>
        <w:t xml:space="preserve"> </w:t>
      </w:r>
      <w:r w:rsidRPr="00A66C67">
        <w:rPr>
          <w:sz w:val="22"/>
          <w:lang w:eastAsia="hr-HR"/>
        </w:rPr>
        <w:t>Konceptualni okvir analize scenarija prikazan je na</w:t>
      </w:r>
      <w:r>
        <w:rPr>
          <w:sz w:val="22"/>
          <w:lang w:eastAsia="hr-HR"/>
        </w:rPr>
        <w:t xml:space="preserve"> Slici</w:t>
      </w:r>
      <w:r w:rsidR="0050036B" w:rsidRPr="004E6412">
        <w:rPr>
          <w:sz w:val="22"/>
          <w:lang w:eastAsia="hr-HR"/>
        </w:rPr>
        <w:t xml:space="preserve"> 27.</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eastAsia="hr-HR"/>
        </w:rPr>
      </w:pPr>
      <w:bookmarkStart w:id="1133" w:name="_Toc377635351"/>
      <w:r w:rsidRPr="004E6412">
        <w:rPr>
          <w:lang w:val="hr-HR" w:eastAsia="hr-HR"/>
        </w:rPr>
        <w:t>Slika 27. Konceptualni okvir analize scenarija</w:t>
      </w:r>
      <w:bookmarkEnd w:id="1133"/>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61824" behindDoc="0" locked="0" layoutInCell="1" allowOverlap="1">
                <wp:simplePos x="0" y="0"/>
                <wp:positionH relativeFrom="column">
                  <wp:posOffset>409575</wp:posOffset>
                </wp:positionH>
                <wp:positionV relativeFrom="paragraph">
                  <wp:posOffset>1905</wp:posOffset>
                </wp:positionV>
                <wp:extent cx="4871720" cy="570865"/>
                <wp:effectExtent l="19050" t="19050" r="43180" b="38735"/>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570865"/>
                        </a:xfrm>
                        <a:prstGeom prst="rect">
                          <a:avLst/>
                        </a:prstGeom>
                        <a:solidFill>
                          <a:schemeClr val="lt1">
                            <a:lumMod val="100000"/>
                            <a:lumOff val="0"/>
                          </a:schemeClr>
                        </a:solidFill>
                        <a:ln w="63500" cmpd="thickThin">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A93F5F" w:rsidRDefault="00683AF5" w:rsidP="0050036B">
                            <w:pPr>
                              <w:jc w:val="center"/>
                              <w:rPr>
                                <w:b/>
                                <w:sz w:val="22"/>
                              </w:rPr>
                            </w:pPr>
                            <w:r w:rsidRPr="00A93F5F">
                              <w:rPr>
                                <w:b/>
                                <w:sz w:val="22"/>
                              </w:rPr>
                              <w:t>Industrija (C Prerađivačka industrija + F Građevinarstvo + J Informacije i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41" style="position:absolute;left:0;text-align:left;margin-left:32.25pt;margin-top:.15pt;width:383.6pt;height:4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" fillcolor="white [3201]" strokecolor="gray [1629]" strokeweight="5pt">
                <v:stroke linestyle="thickThin"/>
                <v:shadow color="#868686"/>
                <v:textbox>
                  <w:txbxContent>
                    <w:p w:rsidR="00683AF5" w:rsidRPr="00A93F5F" w:rsidRDefault="00683AF5" w:rsidP="0050036B">
                      <w:pPr>
                        <w:jc w:val="center"/>
                        <w:rPr>
                          <w:b/>
                          <w:sz w:val="22"/>
                        </w:rPr>
                      </w:pPr>
                      <w:r w:rsidRPr="00A93F5F">
                        <w:rPr>
                          <w:b/>
                          <w:sz w:val="22"/>
                        </w:rPr>
                        <w:t>Industrija (C Prerađivačka industrija + F Građevinarstvo + J Informacije i komunikacije)</w:t>
                      </w:r>
                    </w:p>
                  </w:txbxContent>
                </v:textbox>
              </v:rect>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67968" behindDoc="0" locked="0" layoutInCell="1" allowOverlap="1">
                <wp:simplePos x="0" y="0"/>
                <wp:positionH relativeFrom="column">
                  <wp:posOffset>2860040</wp:posOffset>
                </wp:positionH>
                <wp:positionV relativeFrom="paragraph">
                  <wp:posOffset>11430</wp:posOffset>
                </wp:positionV>
                <wp:extent cx="2011680" cy="414655"/>
                <wp:effectExtent l="0" t="0" r="26670" b="23495"/>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41465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25.2pt;margin-top:.9pt;width:158.4pt;height:3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" strokecolor="gray [1629]"/>
            </w:pict>
          </mc:Fallback>
        </mc:AlternateContent>
      </w:r>
      <w:r>
        <w:rPr>
          <w:noProof/>
          <w:lang w:eastAsia="hr-HR"/>
        </w:rPr>
        <mc:AlternateContent>
          <mc:Choice Requires="wps">
            <w:drawing>
              <wp:anchor distT="0" distB="0" distL="114299" distR="114299" simplePos="0" relativeHeight="251666944" behindDoc="0" locked="0" layoutInCell="1" allowOverlap="1">
                <wp:simplePos x="0" y="0"/>
                <wp:positionH relativeFrom="column">
                  <wp:posOffset>2860039</wp:posOffset>
                </wp:positionH>
                <wp:positionV relativeFrom="paragraph">
                  <wp:posOffset>11430</wp:posOffset>
                </wp:positionV>
                <wp:extent cx="0" cy="473075"/>
                <wp:effectExtent l="0" t="0" r="19050" b="22225"/>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0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5.2pt;margin-top:.9pt;width:0;height:37.2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" strokecolor="gray [1629]"/>
            </w:pict>
          </mc:Fallback>
        </mc:AlternateContent>
      </w:r>
      <w:r>
        <w:rPr>
          <w:noProof/>
          <w:lang w:eastAsia="hr-HR"/>
        </w:rPr>
        <mc:AlternateContent>
          <mc:Choice Requires="wps">
            <w:drawing>
              <wp:anchor distT="0" distB="0" distL="114300" distR="114300" simplePos="0" relativeHeight="251665920" behindDoc="0" locked="0" layoutInCell="1" allowOverlap="1">
                <wp:simplePos x="0" y="0"/>
                <wp:positionH relativeFrom="column">
                  <wp:posOffset>885190</wp:posOffset>
                </wp:positionH>
                <wp:positionV relativeFrom="paragraph">
                  <wp:posOffset>11430</wp:posOffset>
                </wp:positionV>
                <wp:extent cx="1974850" cy="473075"/>
                <wp:effectExtent l="0" t="0" r="25400" b="22225"/>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0" cy="4730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9.7pt;margin-top:.9pt;width:155.5pt;height:37.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" strokecolor="gray [1629]"/>
            </w:pict>
          </mc:Fallback>
        </mc:AlternateContent>
      </w: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64896" behindDoc="0" locked="0" layoutInCell="1" allowOverlap="1">
                <wp:simplePos x="0" y="0"/>
                <wp:positionH relativeFrom="column">
                  <wp:posOffset>4022090</wp:posOffset>
                </wp:positionH>
                <wp:positionV relativeFrom="paragraph">
                  <wp:posOffset>22860</wp:posOffset>
                </wp:positionV>
                <wp:extent cx="1609725" cy="602615"/>
                <wp:effectExtent l="19050" t="19050" r="47625" b="45085"/>
                <wp:wrapNone/>
                <wp:docPr id="4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02615"/>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7501" w:rsidRDefault="00683AF5" w:rsidP="0050036B">
                            <w:pPr>
                              <w:jc w:val="center"/>
                              <w:rPr>
                                <w:b/>
                                <w:sz w:val="22"/>
                              </w:rPr>
                            </w:pPr>
                            <w:r w:rsidRPr="00977501">
                              <w:rPr>
                                <w:b/>
                                <w:sz w:val="22"/>
                              </w:rPr>
                              <w:t>Optimistični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142" style="position:absolute;left:0;text-align:left;margin-left:316.7pt;margin-top:1.8pt;width:126.75pt;height:4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" fillcolor="#f2f2f2 [3052]" strokecolor="gray [1629]" strokeweight="5pt">
                <v:stroke linestyle="thickThin"/>
                <v:shadow color="#868686"/>
                <v:textbox>
                  <w:txbxContent>
                    <w:p w:rsidR="00683AF5" w:rsidRPr="00977501" w:rsidRDefault="00683AF5" w:rsidP="0050036B">
                      <w:pPr>
                        <w:jc w:val="center"/>
                        <w:rPr>
                          <w:b/>
                          <w:sz w:val="22"/>
                        </w:rPr>
                      </w:pPr>
                      <w:r w:rsidRPr="00977501">
                        <w:rPr>
                          <w:b/>
                          <w:sz w:val="22"/>
                        </w:rPr>
                        <w:t>Optimistični scenarij</w:t>
                      </w:r>
                    </w:p>
                  </w:txbxContent>
                </v:textbox>
              </v:oval>
            </w:pict>
          </mc:Fallback>
        </mc:AlternateContent>
      </w:r>
      <w:r>
        <w:rPr>
          <w:noProof/>
          <w:lang w:eastAsia="hr-HR"/>
        </w:rPr>
        <mc:AlternateContent>
          <mc:Choice Requires="wps">
            <w:drawing>
              <wp:anchor distT="0" distB="0" distL="114300" distR="114300" simplePos="0" relativeHeight="251662848" behindDoc="0" locked="0" layoutInCell="1" allowOverlap="1">
                <wp:simplePos x="0" y="0"/>
                <wp:positionH relativeFrom="column">
                  <wp:posOffset>95250</wp:posOffset>
                </wp:positionH>
                <wp:positionV relativeFrom="paragraph">
                  <wp:posOffset>81280</wp:posOffset>
                </wp:positionV>
                <wp:extent cx="1579880" cy="609600"/>
                <wp:effectExtent l="19050" t="19050" r="39370" b="38100"/>
                <wp:wrapNone/>
                <wp:docPr id="4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609600"/>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7501" w:rsidRDefault="00683AF5" w:rsidP="0050036B">
                            <w:pPr>
                              <w:jc w:val="center"/>
                              <w:rPr>
                                <w:b/>
                                <w:sz w:val="22"/>
                              </w:rPr>
                            </w:pPr>
                            <w:r w:rsidRPr="00977501">
                              <w:rPr>
                                <w:b/>
                                <w:sz w:val="22"/>
                              </w:rPr>
                              <w:t>Pesimistični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143" style="position:absolute;left:0;text-align:left;margin-left:7.5pt;margin-top:6.4pt;width:124.4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" fillcolor="#f2f2f2 [3052]" strokecolor="gray [1629]" strokeweight="5pt">
                <v:stroke linestyle="thickThin"/>
                <v:shadow color="#868686"/>
                <v:textbox>
                  <w:txbxContent>
                    <w:p w:rsidR="00683AF5" w:rsidRPr="00977501" w:rsidRDefault="00683AF5" w:rsidP="0050036B">
                      <w:pPr>
                        <w:jc w:val="center"/>
                        <w:rPr>
                          <w:b/>
                          <w:sz w:val="22"/>
                        </w:rPr>
                      </w:pPr>
                      <w:r w:rsidRPr="00977501">
                        <w:rPr>
                          <w:b/>
                          <w:sz w:val="22"/>
                        </w:rPr>
                        <w:t>Pesimistični scenarij</w:t>
                      </w:r>
                    </w:p>
                  </w:txbxContent>
                </v:textbox>
              </v:oval>
            </w:pict>
          </mc:Fallback>
        </mc:AlternateContent>
      </w:r>
      <w:r>
        <w:rPr>
          <w:noProof/>
          <w:lang w:eastAsia="hr-HR"/>
        </w:rPr>
        <mc:AlternateContent>
          <mc:Choice Requires="wps">
            <w:drawing>
              <wp:anchor distT="0" distB="0" distL="114300" distR="114300" simplePos="0" relativeHeight="251663872" behindDoc="0" locked="0" layoutInCell="1" allowOverlap="1">
                <wp:simplePos x="0" y="0"/>
                <wp:positionH relativeFrom="column">
                  <wp:posOffset>2092325</wp:posOffset>
                </wp:positionH>
                <wp:positionV relativeFrom="paragraph">
                  <wp:posOffset>81280</wp:posOffset>
                </wp:positionV>
                <wp:extent cx="1593850" cy="544195"/>
                <wp:effectExtent l="19050" t="19050" r="44450" b="46355"/>
                <wp:wrapNone/>
                <wp:docPr id="4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44195"/>
                        </a:xfrm>
                        <a:prstGeom prst="ellipse">
                          <a:avLst/>
                        </a:prstGeom>
                        <a:solidFill>
                          <a:schemeClr val="bg1">
                            <a:lumMod val="95000"/>
                            <a:lumOff val="0"/>
                          </a:schemeClr>
                        </a:solidFill>
                        <a:ln w="63500" cmpd="thickThin">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977501" w:rsidRDefault="00683AF5" w:rsidP="0050036B">
                            <w:pPr>
                              <w:jc w:val="center"/>
                              <w:rPr>
                                <w:b/>
                                <w:sz w:val="22"/>
                              </w:rPr>
                            </w:pPr>
                            <w:r w:rsidRPr="00977501">
                              <w:rPr>
                                <w:b/>
                                <w:sz w:val="22"/>
                              </w:rPr>
                              <w:t>Realni scenarij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144" style="position:absolute;left:0;text-align:left;margin-left:164.75pt;margin-top:6.4pt;width:125.5pt;height:4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" fillcolor="#f2f2f2 [3052]" strokecolor="gray [1629]" strokeweight="5pt">
                <v:stroke linestyle="thickThin"/>
                <v:shadow color="#868686"/>
                <v:textbox>
                  <w:txbxContent>
                    <w:p w:rsidR="00683AF5" w:rsidRPr="00977501" w:rsidRDefault="00683AF5" w:rsidP="0050036B">
                      <w:pPr>
                        <w:jc w:val="center"/>
                        <w:rPr>
                          <w:b/>
                          <w:sz w:val="22"/>
                        </w:rPr>
                      </w:pPr>
                      <w:r w:rsidRPr="00977501">
                        <w:rPr>
                          <w:b/>
                          <w:sz w:val="22"/>
                        </w:rPr>
                        <w:t>Realni scenarij</w:t>
                      </w:r>
                    </w:p>
                  </w:txbxContent>
                </v:textbox>
              </v:oval>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77184" behindDoc="0" locked="0" layoutInCell="1" allowOverlap="1">
                <wp:simplePos x="0" y="0"/>
                <wp:positionH relativeFrom="column">
                  <wp:posOffset>4871720</wp:posOffset>
                </wp:positionH>
                <wp:positionV relativeFrom="paragraph">
                  <wp:posOffset>20955</wp:posOffset>
                </wp:positionV>
                <wp:extent cx="635" cy="464185"/>
                <wp:effectExtent l="76200" t="0" r="75565" b="50165"/>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83.6pt;margin-top:1.65pt;width:.05pt;height:3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" strokecolor="gray [1629]">
                <v:stroke endarrow="block"/>
              </v:shape>
            </w:pict>
          </mc:Fallback>
        </mc:AlternateContent>
      </w:r>
      <w:r>
        <w:rPr>
          <w:noProof/>
          <w:lang w:eastAsia="hr-HR"/>
        </w:rPr>
        <mc:AlternateContent>
          <mc:Choice Requires="wps">
            <w:drawing>
              <wp:anchor distT="0" distB="0" distL="114300" distR="114300" simplePos="0" relativeHeight="251675136" behindDoc="0" locked="0" layoutInCell="1" allowOverlap="1">
                <wp:simplePos x="0" y="0"/>
                <wp:positionH relativeFrom="column">
                  <wp:posOffset>841375</wp:posOffset>
                </wp:positionH>
                <wp:positionV relativeFrom="paragraph">
                  <wp:posOffset>86360</wp:posOffset>
                </wp:positionV>
                <wp:extent cx="635" cy="398780"/>
                <wp:effectExtent l="76200" t="0" r="75565" b="5842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8780"/>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6.25pt;margin-top:6.8pt;width:.05pt;height:3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" strokecolor="gray [1629]">
                <v:stroke endarrow="block"/>
              </v:shape>
            </w:pict>
          </mc:Fallback>
        </mc:AlternateContent>
      </w:r>
      <w:r>
        <w:rPr>
          <w:noProof/>
          <w:lang w:eastAsia="hr-HR"/>
        </w:rPr>
        <mc:AlternateContent>
          <mc:Choice Requires="wps">
            <w:drawing>
              <wp:anchor distT="0" distB="0" distL="114300" distR="114300" simplePos="0" relativeHeight="251676160" behindDoc="0" locked="0" layoutInCell="1" allowOverlap="1">
                <wp:simplePos x="0" y="0"/>
                <wp:positionH relativeFrom="column">
                  <wp:posOffset>2860675</wp:posOffset>
                </wp:positionH>
                <wp:positionV relativeFrom="paragraph">
                  <wp:posOffset>20955</wp:posOffset>
                </wp:positionV>
                <wp:extent cx="635" cy="464185"/>
                <wp:effectExtent l="76200" t="0" r="75565" b="5016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25.25pt;margin-top:1.65pt;width:.05pt;height:3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vpTAIAAJoEAAAOAAAAZHJzL2Uyb0RvYy54bWysVMGO2jAQvVfqP1i+s0kg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" strokecolor="gray [1629]">
                <v:stroke endarrow="block"/>
              </v:shape>
            </w:pict>
          </mc:Fallback>
        </mc:AlternateContent>
      </w: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71040" behindDoc="0" locked="0" layoutInCell="1" allowOverlap="1">
                <wp:simplePos x="0" y="0"/>
                <wp:positionH relativeFrom="column">
                  <wp:posOffset>3949065</wp:posOffset>
                </wp:positionH>
                <wp:positionV relativeFrom="paragraph">
                  <wp:posOffset>81915</wp:posOffset>
                </wp:positionV>
                <wp:extent cx="1887220" cy="365760"/>
                <wp:effectExtent l="19050" t="19050" r="17780" b="1524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4F7966" w:rsidRDefault="00683AF5" w:rsidP="0050036B">
                            <w:pPr>
                              <w:rPr>
                                <w:sz w:val="18"/>
                                <w:szCs w:val="18"/>
                              </w:rPr>
                            </w:pPr>
                            <w:r w:rsidRPr="004F7966">
                              <w:rPr>
                                <w:sz w:val="18"/>
                                <w:szCs w:val="18"/>
                              </w:rPr>
                              <w:t>1. 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145" style="position:absolute;left:0;text-align:left;margin-left:310.95pt;margin-top:6.45pt;width:148.6pt;height:2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" fillcolor="white [3212]" strokecolor="gray [1629]" strokeweight="2.5pt">
                <v:shadow color="#868686"/>
                <v:textbox>
                  <w:txbxContent>
                    <w:p w:rsidR="00683AF5" w:rsidRPr="004F7966" w:rsidRDefault="00683AF5" w:rsidP="0050036B">
                      <w:pPr>
                        <w:rPr>
                          <w:sz w:val="18"/>
                          <w:szCs w:val="18"/>
                        </w:rPr>
                      </w:pPr>
                      <w:r w:rsidRPr="004F7966">
                        <w:rPr>
                          <w:sz w:val="18"/>
                          <w:szCs w:val="18"/>
                        </w:rPr>
                        <w:t>1. Obujam industrijske proizvodnje</w:t>
                      </w:r>
                    </w:p>
                  </w:txbxContent>
                </v:textbox>
              </v:roundrect>
            </w:pict>
          </mc:Fallback>
        </mc:AlternateContent>
      </w:r>
      <w:r>
        <w:rPr>
          <w:noProof/>
          <w:lang w:eastAsia="hr-HR"/>
        </w:rPr>
        <mc:AlternateContent>
          <mc:Choice Requires="wps">
            <w:drawing>
              <wp:anchor distT="0" distB="0" distL="114300" distR="114300" simplePos="0" relativeHeight="251670016" behindDoc="0" locked="0" layoutInCell="1" allowOverlap="1">
                <wp:simplePos x="0" y="0"/>
                <wp:positionH relativeFrom="column">
                  <wp:posOffset>1936750</wp:posOffset>
                </wp:positionH>
                <wp:positionV relativeFrom="paragraph">
                  <wp:posOffset>81915</wp:posOffset>
                </wp:positionV>
                <wp:extent cx="1887220" cy="365760"/>
                <wp:effectExtent l="19050" t="19050" r="17780" b="1524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4F7966" w:rsidRDefault="00683AF5" w:rsidP="0050036B">
                            <w:pPr>
                              <w:rPr>
                                <w:sz w:val="18"/>
                                <w:szCs w:val="18"/>
                              </w:rPr>
                            </w:pPr>
                            <w:r w:rsidRPr="004F7966">
                              <w:rPr>
                                <w:sz w:val="18"/>
                                <w:szCs w:val="18"/>
                              </w:rPr>
                              <w:t>1. 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146" style="position:absolute;left:0;text-align:left;margin-left:152.5pt;margin-top:6.45pt;width:148.6pt;height:2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" fillcolor="white [3212]" strokecolor="gray [1629]" strokeweight="2.5pt">
                <v:shadow color="#868686"/>
                <v:textbox>
                  <w:txbxContent>
                    <w:p w:rsidR="00683AF5" w:rsidRPr="004F7966" w:rsidRDefault="00683AF5" w:rsidP="0050036B">
                      <w:pPr>
                        <w:rPr>
                          <w:sz w:val="18"/>
                          <w:szCs w:val="18"/>
                        </w:rPr>
                      </w:pPr>
                      <w:r w:rsidRPr="004F7966">
                        <w:rPr>
                          <w:sz w:val="18"/>
                          <w:szCs w:val="18"/>
                        </w:rPr>
                        <w:t>1. Obujam industrijske proizvodnje</w:t>
                      </w:r>
                    </w:p>
                  </w:txbxContent>
                </v:textbox>
              </v:roundrect>
            </w:pict>
          </mc:Fallback>
        </mc:AlternateContent>
      </w:r>
      <w:r>
        <w:rPr>
          <w:noProof/>
          <w:lang w:eastAsia="hr-HR"/>
        </w:rPr>
        <mc:AlternateContent>
          <mc:Choice Requires="wps">
            <w:drawing>
              <wp:anchor distT="0" distB="0" distL="114300" distR="114300" simplePos="0" relativeHeight="251668992" behindDoc="0" locked="0" layoutInCell="1" allowOverlap="1">
                <wp:simplePos x="0" y="0"/>
                <wp:positionH relativeFrom="column">
                  <wp:posOffset>-80645</wp:posOffset>
                </wp:positionH>
                <wp:positionV relativeFrom="paragraph">
                  <wp:posOffset>81915</wp:posOffset>
                </wp:positionV>
                <wp:extent cx="1887220" cy="365760"/>
                <wp:effectExtent l="19050" t="19050" r="17780" b="1524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36576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4F7966" w:rsidRDefault="00683AF5" w:rsidP="0050036B">
                            <w:pPr>
                              <w:rPr>
                                <w:sz w:val="18"/>
                                <w:szCs w:val="18"/>
                              </w:rPr>
                            </w:pPr>
                            <w:r w:rsidRPr="004F7966">
                              <w:rPr>
                                <w:sz w:val="18"/>
                                <w:szCs w:val="18"/>
                              </w:rPr>
                              <w:t xml:space="preserve">1. </w:t>
                            </w:r>
                            <w:r>
                              <w:rPr>
                                <w:sz w:val="18"/>
                                <w:szCs w:val="18"/>
                              </w:rPr>
                              <w:t>Obujam industrijske proizvodnje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147" style="position:absolute;left:0;text-align:left;margin-left:-6.35pt;margin-top:6.45pt;width:148.6pt;height:2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" fillcolor="white [3212]" strokecolor="gray [1629]" strokeweight="2.5pt">
                <v:shadow color="#868686"/>
                <v:textbox>
                  <w:txbxContent>
                    <w:p w:rsidR="00683AF5" w:rsidRPr="004F7966" w:rsidRDefault="00683AF5" w:rsidP="0050036B">
                      <w:pPr>
                        <w:rPr>
                          <w:sz w:val="18"/>
                          <w:szCs w:val="18"/>
                        </w:rPr>
                      </w:pPr>
                      <w:r w:rsidRPr="004F7966">
                        <w:rPr>
                          <w:sz w:val="18"/>
                          <w:szCs w:val="18"/>
                        </w:rPr>
                        <w:t xml:space="preserve">1. </w:t>
                      </w:r>
                      <w:r>
                        <w:rPr>
                          <w:sz w:val="18"/>
                          <w:szCs w:val="18"/>
                        </w:rPr>
                        <w:t>Obujam industrijske proizvodnje</w:t>
                      </w:r>
                    </w:p>
                  </w:txbxContent>
                </v:textbox>
              </v:roundrect>
            </w:pict>
          </mc:Fallback>
        </mc:AlternateContent>
      </w: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299" distR="114299" simplePos="0" relativeHeight="251678208" behindDoc="0" locked="0" layoutInCell="1" allowOverlap="1">
                <wp:simplePos x="0" y="0"/>
                <wp:positionH relativeFrom="column">
                  <wp:posOffset>841374</wp:posOffset>
                </wp:positionH>
                <wp:positionV relativeFrom="paragraph">
                  <wp:posOffset>44450</wp:posOffset>
                </wp:positionV>
                <wp:extent cx="0" cy="395605"/>
                <wp:effectExtent l="76200" t="0" r="57150" b="6159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6.25pt;margin-top:3.5pt;width:0;height:31.1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veSQIAAJgEAAAOAAAAZHJzL2Uyb0RvYy54bWysVMGO2jAQvVfqP1i+s0kg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" strokecolor="gray [1629]">
                <v:stroke endarrow="block"/>
              </v:shape>
            </w:pict>
          </mc:Fallback>
        </mc:AlternateContent>
      </w:r>
      <w:r>
        <w:rPr>
          <w:noProof/>
          <w:lang w:eastAsia="hr-HR"/>
        </w:rPr>
        <mc:AlternateContent>
          <mc:Choice Requires="wps">
            <w:drawing>
              <wp:anchor distT="0" distB="0" distL="114300" distR="114300" simplePos="0" relativeHeight="251679232" behindDoc="0" locked="0" layoutInCell="1" allowOverlap="1">
                <wp:simplePos x="0" y="0"/>
                <wp:positionH relativeFrom="column">
                  <wp:posOffset>2860040</wp:posOffset>
                </wp:positionH>
                <wp:positionV relativeFrom="paragraph">
                  <wp:posOffset>44450</wp:posOffset>
                </wp:positionV>
                <wp:extent cx="635" cy="395605"/>
                <wp:effectExtent l="76200" t="0" r="75565" b="6159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25.2pt;margin-top:3.5pt;width:.05pt;height:3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" strokecolor="gray [1629]">
                <v:stroke endarrow="block"/>
              </v:shape>
            </w:pict>
          </mc:Fallback>
        </mc:AlternateContent>
      </w:r>
      <w:r>
        <w:rPr>
          <w:noProof/>
          <w:lang w:eastAsia="hr-HR"/>
        </w:rPr>
        <mc:AlternateContent>
          <mc:Choice Requires="wps">
            <w:drawing>
              <wp:anchor distT="0" distB="0" distL="114300" distR="114300" simplePos="0" relativeHeight="251680256" behindDoc="0" locked="0" layoutInCell="1" allowOverlap="1">
                <wp:simplePos x="0" y="0"/>
                <wp:positionH relativeFrom="column">
                  <wp:posOffset>4871720</wp:posOffset>
                </wp:positionH>
                <wp:positionV relativeFrom="paragraph">
                  <wp:posOffset>44450</wp:posOffset>
                </wp:positionV>
                <wp:extent cx="635" cy="395605"/>
                <wp:effectExtent l="76200" t="0" r="75565" b="6159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5605"/>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83.6pt;margin-top:3.5pt;width:.05pt;height:3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" strokecolor="gray [1629]">
                <v:stroke endarrow="block"/>
              </v:shape>
            </w:pict>
          </mc:Fallback>
        </mc:AlternateContent>
      </w:r>
    </w:p>
    <w:p w:rsidR="0050036B" w:rsidRPr="004E6412" w:rsidRDefault="0050036B" w:rsidP="0050036B">
      <w:pPr>
        <w:rPr>
          <w:lang w:eastAsia="hr-HR"/>
        </w:rPr>
      </w:pPr>
    </w:p>
    <w:p w:rsidR="0050036B" w:rsidRPr="004E6412" w:rsidRDefault="00294426" w:rsidP="0050036B">
      <w:pPr>
        <w:rPr>
          <w:lang w:eastAsia="hr-HR"/>
        </w:rPr>
      </w:pPr>
      <w:r>
        <w:rPr>
          <w:noProof/>
          <w:lang w:eastAsia="hr-HR"/>
        </w:rPr>
        <mc:AlternateContent>
          <mc:Choice Requires="wps">
            <w:drawing>
              <wp:anchor distT="0" distB="0" distL="114300" distR="114300" simplePos="0" relativeHeight="251674112" behindDoc="0" locked="0" layoutInCell="1" allowOverlap="1">
                <wp:simplePos x="0" y="0"/>
                <wp:positionH relativeFrom="column">
                  <wp:posOffset>4022090</wp:posOffset>
                </wp:positionH>
                <wp:positionV relativeFrom="paragraph">
                  <wp:posOffset>36830</wp:posOffset>
                </wp:positionV>
                <wp:extent cx="1887220" cy="2133600"/>
                <wp:effectExtent l="19050" t="19050" r="17780" b="1905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Pr="004F7966" w:rsidRDefault="00683AF5" w:rsidP="0050036B">
                            <w:pPr>
                              <w:numPr>
                                <w:ilvl w:val="0"/>
                                <w:numId w:val="203"/>
                              </w:numPr>
                              <w:rPr>
                                <w:sz w:val="20"/>
                                <w:szCs w:val="20"/>
                              </w:rPr>
                            </w:pPr>
                            <w:r w:rsidRPr="004F7966">
                              <w:rPr>
                                <w:sz w:val="20"/>
                                <w:szCs w:val="20"/>
                              </w:rPr>
                              <w:t>Bruto dodana vrijednost</w:t>
                            </w:r>
                          </w:p>
                          <w:p w:rsidR="00683AF5" w:rsidRDefault="00683AF5" w:rsidP="0050036B">
                            <w:pPr>
                              <w:numPr>
                                <w:ilvl w:val="0"/>
                                <w:numId w:val="203"/>
                              </w:numPr>
                              <w:rPr>
                                <w:sz w:val="20"/>
                                <w:szCs w:val="20"/>
                              </w:rPr>
                            </w:pPr>
                            <w:r w:rsidRPr="004F7966">
                              <w:rPr>
                                <w:sz w:val="20"/>
                                <w:szCs w:val="20"/>
                              </w:rPr>
                              <w:t>Produktivnost rada</w:t>
                            </w:r>
                          </w:p>
                          <w:p w:rsidR="00683AF5" w:rsidRPr="00A2498C" w:rsidRDefault="00683AF5" w:rsidP="0050036B">
                            <w:pPr>
                              <w:numPr>
                                <w:ilvl w:val="0"/>
                                <w:numId w:val="203"/>
                              </w:numPr>
                              <w:rPr>
                                <w:sz w:val="20"/>
                                <w:szCs w:val="20"/>
                              </w:rPr>
                            </w:pPr>
                            <w:r w:rsidRPr="00A2498C">
                              <w:rPr>
                                <w:sz w:val="20"/>
                                <w:szCs w:val="20"/>
                              </w:rPr>
                              <w:t xml:space="preserve">Novozaposleni </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345D00" w:rsidRDefault="00683AF5" w:rsidP="0050036B">
                            <w:pPr>
                              <w:numPr>
                                <w:ilvl w:val="0"/>
                                <w:numId w:val="203"/>
                              </w:numPr>
                              <w:rPr>
                                <w:sz w:val="20"/>
                                <w:szCs w:val="20"/>
                              </w:rPr>
                            </w:pPr>
                            <w:r w:rsidRPr="00345D00">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148" style="position:absolute;left:0;text-align:left;margin-left:316.7pt;margin-top:2.9pt;width:148.6pt;height:1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" fillcolor="white [3212]" strokecolor="gray [1629]" strokeweight="2.5pt">
                <v:shadow color="#868686"/>
                <v:textbox>
                  <w:txbxContent>
                    <w:p w:rsidR="00683AF5" w:rsidRPr="004F7966" w:rsidRDefault="00683AF5" w:rsidP="0050036B">
                      <w:pPr>
                        <w:numPr>
                          <w:ilvl w:val="0"/>
                          <w:numId w:val="203"/>
                        </w:numPr>
                        <w:rPr>
                          <w:sz w:val="20"/>
                          <w:szCs w:val="20"/>
                        </w:rPr>
                      </w:pPr>
                      <w:r w:rsidRPr="004F7966">
                        <w:rPr>
                          <w:sz w:val="20"/>
                          <w:szCs w:val="20"/>
                        </w:rPr>
                        <w:t>Bruto dodana vrijednost</w:t>
                      </w:r>
                    </w:p>
                    <w:p w:rsidR="00683AF5" w:rsidRDefault="00683AF5" w:rsidP="0050036B">
                      <w:pPr>
                        <w:numPr>
                          <w:ilvl w:val="0"/>
                          <w:numId w:val="203"/>
                        </w:numPr>
                        <w:rPr>
                          <w:sz w:val="20"/>
                          <w:szCs w:val="20"/>
                        </w:rPr>
                      </w:pPr>
                      <w:r w:rsidRPr="004F7966">
                        <w:rPr>
                          <w:sz w:val="20"/>
                          <w:szCs w:val="20"/>
                        </w:rPr>
                        <w:t>Produktivnost rada</w:t>
                      </w:r>
                    </w:p>
                    <w:p w:rsidR="00683AF5" w:rsidRPr="00A2498C" w:rsidRDefault="00683AF5" w:rsidP="0050036B">
                      <w:pPr>
                        <w:numPr>
                          <w:ilvl w:val="0"/>
                          <w:numId w:val="203"/>
                        </w:numPr>
                        <w:rPr>
                          <w:sz w:val="20"/>
                          <w:szCs w:val="20"/>
                        </w:rPr>
                      </w:pPr>
                      <w:r w:rsidRPr="00A2498C">
                        <w:rPr>
                          <w:sz w:val="20"/>
                          <w:szCs w:val="20"/>
                        </w:rPr>
                        <w:t xml:space="preserve">Novozaposleni </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345D00" w:rsidRDefault="00683AF5" w:rsidP="0050036B">
                      <w:pPr>
                        <w:numPr>
                          <w:ilvl w:val="0"/>
                          <w:numId w:val="203"/>
                        </w:numPr>
                        <w:rPr>
                          <w:sz w:val="20"/>
                          <w:szCs w:val="20"/>
                        </w:rPr>
                      </w:pPr>
                      <w:r w:rsidRPr="00345D00">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r>
        <w:rPr>
          <w:noProof/>
          <w:lang w:eastAsia="hr-HR"/>
        </w:rPr>
        <mc:AlternateContent>
          <mc:Choice Requires="wps">
            <w:drawing>
              <wp:anchor distT="0" distB="0" distL="114300" distR="114300" simplePos="0" relativeHeight="251673088" behindDoc="0" locked="0" layoutInCell="1" allowOverlap="1">
                <wp:simplePos x="0" y="0"/>
                <wp:positionH relativeFrom="column">
                  <wp:posOffset>1973580</wp:posOffset>
                </wp:positionH>
                <wp:positionV relativeFrom="paragraph">
                  <wp:posOffset>36830</wp:posOffset>
                </wp:positionV>
                <wp:extent cx="1887220" cy="2133600"/>
                <wp:effectExtent l="19050" t="19050" r="17780" b="1905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Default="00683AF5" w:rsidP="0050036B">
                            <w:pPr>
                              <w:numPr>
                                <w:ilvl w:val="0"/>
                                <w:numId w:val="203"/>
                              </w:numPr>
                              <w:rPr>
                                <w:sz w:val="20"/>
                                <w:szCs w:val="20"/>
                              </w:rPr>
                            </w:pPr>
                            <w:r w:rsidRPr="004F7966">
                              <w:rPr>
                                <w:sz w:val="20"/>
                                <w:szCs w:val="20"/>
                              </w:rPr>
                              <w:t>Bruto dodana vrijednost</w:t>
                            </w:r>
                          </w:p>
                          <w:p w:rsidR="00683AF5" w:rsidRPr="00A2498C" w:rsidRDefault="00683AF5" w:rsidP="0050036B">
                            <w:pPr>
                              <w:numPr>
                                <w:ilvl w:val="0"/>
                                <w:numId w:val="203"/>
                              </w:numPr>
                              <w:rPr>
                                <w:sz w:val="20"/>
                                <w:szCs w:val="20"/>
                              </w:rPr>
                            </w:pPr>
                            <w:r w:rsidRPr="00A2498C">
                              <w:rPr>
                                <w:sz w:val="20"/>
                                <w:szCs w:val="20"/>
                              </w:rPr>
                              <w:t xml:space="preserve">Novozaposleni </w:t>
                            </w:r>
                          </w:p>
                          <w:p w:rsidR="00683AF5" w:rsidRPr="004F7966" w:rsidRDefault="00683AF5" w:rsidP="0050036B">
                            <w:pPr>
                              <w:numPr>
                                <w:ilvl w:val="0"/>
                                <w:numId w:val="203"/>
                              </w:numPr>
                              <w:rPr>
                                <w:sz w:val="20"/>
                                <w:szCs w:val="20"/>
                              </w:rPr>
                            </w:pPr>
                            <w:r w:rsidRPr="004F7966">
                              <w:rPr>
                                <w:sz w:val="20"/>
                                <w:szCs w:val="20"/>
                              </w:rPr>
                              <w:t>Produktivnost rada</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345D00" w:rsidRDefault="00683AF5" w:rsidP="0050036B">
                            <w:pPr>
                              <w:numPr>
                                <w:ilvl w:val="0"/>
                                <w:numId w:val="203"/>
                              </w:numPr>
                              <w:rPr>
                                <w:sz w:val="20"/>
                                <w:szCs w:val="20"/>
                              </w:rPr>
                            </w:pPr>
                            <w:r w:rsidRPr="00345D00">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149" style="position:absolute;left:0;text-align:left;margin-left:155.4pt;margin-top:2.9pt;width:148.6pt;height:1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" fillcolor="white [3212]" strokecolor="gray [1629]" strokeweight="2.5pt">
                <v:shadow color="#868686"/>
                <v:textbox>
                  <w:txbxContent>
                    <w:p w:rsidR="00683AF5" w:rsidRDefault="00683AF5" w:rsidP="0050036B">
                      <w:pPr>
                        <w:numPr>
                          <w:ilvl w:val="0"/>
                          <w:numId w:val="203"/>
                        </w:numPr>
                        <w:rPr>
                          <w:sz w:val="20"/>
                          <w:szCs w:val="20"/>
                        </w:rPr>
                      </w:pPr>
                      <w:r w:rsidRPr="004F7966">
                        <w:rPr>
                          <w:sz w:val="20"/>
                          <w:szCs w:val="20"/>
                        </w:rPr>
                        <w:t>Bruto dodana vrijednost</w:t>
                      </w:r>
                    </w:p>
                    <w:p w:rsidR="00683AF5" w:rsidRPr="00A2498C" w:rsidRDefault="00683AF5" w:rsidP="0050036B">
                      <w:pPr>
                        <w:numPr>
                          <w:ilvl w:val="0"/>
                          <w:numId w:val="203"/>
                        </w:numPr>
                        <w:rPr>
                          <w:sz w:val="20"/>
                          <w:szCs w:val="20"/>
                        </w:rPr>
                      </w:pPr>
                      <w:r w:rsidRPr="00A2498C">
                        <w:rPr>
                          <w:sz w:val="20"/>
                          <w:szCs w:val="20"/>
                        </w:rPr>
                        <w:t xml:space="preserve">Novozaposleni </w:t>
                      </w:r>
                    </w:p>
                    <w:p w:rsidR="00683AF5" w:rsidRPr="004F7966" w:rsidRDefault="00683AF5" w:rsidP="0050036B">
                      <w:pPr>
                        <w:numPr>
                          <w:ilvl w:val="0"/>
                          <w:numId w:val="203"/>
                        </w:numPr>
                        <w:rPr>
                          <w:sz w:val="20"/>
                          <w:szCs w:val="20"/>
                        </w:rPr>
                      </w:pPr>
                      <w:r w:rsidRPr="004F7966">
                        <w:rPr>
                          <w:sz w:val="20"/>
                          <w:szCs w:val="20"/>
                        </w:rPr>
                        <w:t>Produktivnost rada</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345D00" w:rsidRDefault="00683AF5" w:rsidP="0050036B">
                      <w:pPr>
                        <w:numPr>
                          <w:ilvl w:val="0"/>
                          <w:numId w:val="203"/>
                        </w:numPr>
                        <w:rPr>
                          <w:sz w:val="20"/>
                          <w:szCs w:val="20"/>
                        </w:rPr>
                      </w:pPr>
                      <w:r w:rsidRPr="00345D00">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r>
        <w:rPr>
          <w:noProof/>
          <w:lang w:eastAsia="hr-HR"/>
        </w:rPr>
        <mc:AlternateContent>
          <mc:Choice Requires="wps">
            <w:drawing>
              <wp:anchor distT="0" distB="0" distL="114300" distR="114300" simplePos="0" relativeHeight="251672064" behindDoc="0" locked="0" layoutInCell="1" allowOverlap="1">
                <wp:simplePos x="0" y="0"/>
                <wp:positionH relativeFrom="column">
                  <wp:posOffset>-80645</wp:posOffset>
                </wp:positionH>
                <wp:positionV relativeFrom="paragraph">
                  <wp:posOffset>36830</wp:posOffset>
                </wp:positionV>
                <wp:extent cx="1887220" cy="2133600"/>
                <wp:effectExtent l="19050" t="19050" r="17780" b="1905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133600"/>
                        </a:xfrm>
                        <a:prstGeom prst="roundRect">
                          <a:avLst>
                            <a:gd name="adj" fmla="val 16667"/>
                          </a:avLst>
                        </a:prstGeom>
                        <a:solidFill>
                          <a:schemeClr val="bg1">
                            <a:lumMod val="100000"/>
                            <a:lumOff val="0"/>
                          </a:schemeClr>
                        </a:solidFill>
                        <a:ln w="31750">
                          <a:solidFill>
                            <a:schemeClr val="tx1">
                              <a:lumMod val="50000"/>
                              <a:lumOff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3AF5" w:rsidRDefault="00683AF5" w:rsidP="0050036B">
                            <w:pPr>
                              <w:numPr>
                                <w:ilvl w:val="0"/>
                                <w:numId w:val="203"/>
                              </w:numPr>
                              <w:rPr>
                                <w:sz w:val="20"/>
                                <w:szCs w:val="20"/>
                              </w:rPr>
                            </w:pPr>
                            <w:r w:rsidRPr="004F7966">
                              <w:rPr>
                                <w:sz w:val="20"/>
                                <w:szCs w:val="20"/>
                              </w:rPr>
                              <w:t>Bruto dodana vrijednost</w:t>
                            </w:r>
                          </w:p>
                          <w:p w:rsidR="00683AF5" w:rsidRPr="004F7966" w:rsidRDefault="00683AF5" w:rsidP="0050036B">
                            <w:pPr>
                              <w:numPr>
                                <w:ilvl w:val="0"/>
                                <w:numId w:val="203"/>
                              </w:numPr>
                              <w:rPr>
                                <w:sz w:val="20"/>
                                <w:szCs w:val="20"/>
                              </w:rPr>
                            </w:pPr>
                            <w:r>
                              <w:rPr>
                                <w:sz w:val="20"/>
                                <w:szCs w:val="20"/>
                              </w:rPr>
                              <w:t xml:space="preserve">Novozaposleni </w:t>
                            </w:r>
                          </w:p>
                          <w:p w:rsidR="00683AF5" w:rsidRPr="004F7966" w:rsidRDefault="00683AF5" w:rsidP="0050036B">
                            <w:pPr>
                              <w:numPr>
                                <w:ilvl w:val="0"/>
                                <w:numId w:val="203"/>
                              </w:numPr>
                              <w:rPr>
                                <w:sz w:val="20"/>
                                <w:szCs w:val="20"/>
                              </w:rPr>
                            </w:pPr>
                            <w:r w:rsidRPr="004F7966">
                              <w:rPr>
                                <w:sz w:val="20"/>
                                <w:szCs w:val="20"/>
                              </w:rPr>
                              <w:t>Produktivnost rada</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4F7966" w:rsidRDefault="00683AF5" w:rsidP="0050036B">
                            <w:pPr>
                              <w:numPr>
                                <w:ilvl w:val="0"/>
                                <w:numId w:val="203"/>
                              </w:numPr>
                              <w:rPr>
                                <w:sz w:val="20"/>
                                <w:szCs w:val="20"/>
                              </w:rPr>
                            </w:pPr>
                            <w:r>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150" style="position:absolute;left:0;text-align:left;margin-left:-6.35pt;margin-top:2.9pt;width:148.6pt;height:1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" fillcolor="white [3212]" strokecolor="gray [1629]" strokeweight="2.5pt">
                <v:shadow color="#868686"/>
                <v:textbox>
                  <w:txbxContent>
                    <w:p w:rsidR="00683AF5" w:rsidRDefault="00683AF5" w:rsidP="0050036B">
                      <w:pPr>
                        <w:numPr>
                          <w:ilvl w:val="0"/>
                          <w:numId w:val="203"/>
                        </w:numPr>
                        <w:rPr>
                          <w:sz w:val="20"/>
                          <w:szCs w:val="20"/>
                        </w:rPr>
                      </w:pPr>
                      <w:r w:rsidRPr="004F7966">
                        <w:rPr>
                          <w:sz w:val="20"/>
                          <w:szCs w:val="20"/>
                        </w:rPr>
                        <w:t>Bruto dodana vrijednost</w:t>
                      </w:r>
                    </w:p>
                    <w:p w:rsidR="00683AF5" w:rsidRPr="004F7966" w:rsidRDefault="00683AF5" w:rsidP="0050036B">
                      <w:pPr>
                        <w:numPr>
                          <w:ilvl w:val="0"/>
                          <w:numId w:val="203"/>
                        </w:numPr>
                        <w:rPr>
                          <w:sz w:val="20"/>
                          <w:szCs w:val="20"/>
                        </w:rPr>
                      </w:pPr>
                      <w:r>
                        <w:rPr>
                          <w:sz w:val="20"/>
                          <w:szCs w:val="20"/>
                        </w:rPr>
                        <w:t xml:space="preserve">Novozaposleni </w:t>
                      </w:r>
                    </w:p>
                    <w:p w:rsidR="00683AF5" w:rsidRPr="004F7966" w:rsidRDefault="00683AF5" w:rsidP="0050036B">
                      <w:pPr>
                        <w:numPr>
                          <w:ilvl w:val="0"/>
                          <w:numId w:val="203"/>
                        </w:numPr>
                        <w:rPr>
                          <w:sz w:val="20"/>
                          <w:szCs w:val="20"/>
                        </w:rPr>
                      </w:pPr>
                      <w:r w:rsidRPr="004F7966">
                        <w:rPr>
                          <w:sz w:val="20"/>
                          <w:szCs w:val="20"/>
                        </w:rPr>
                        <w:t>Produktivnost rada</w:t>
                      </w:r>
                    </w:p>
                    <w:p w:rsidR="00683AF5" w:rsidRPr="004F7966" w:rsidRDefault="00683AF5" w:rsidP="0050036B">
                      <w:pPr>
                        <w:numPr>
                          <w:ilvl w:val="0"/>
                          <w:numId w:val="203"/>
                        </w:numPr>
                        <w:rPr>
                          <w:sz w:val="20"/>
                          <w:szCs w:val="20"/>
                        </w:rPr>
                      </w:pPr>
                      <w:r>
                        <w:rPr>
                          <w:sz w:val="20"/>
                          <w:szCs w:val="20"/>
                        </w:rPr>
                        <w:t>Rast i</w:t>
                      </w:r>
                      <w:r w:rsidRPr="004F7966">
                        <w:rPr>
                          <w:sz w:val="20"/>
                          <w:szCs w:val="20"/>
                        </w:rPr>
                        <w:t>zvoz</w:t>
                      </w:r>
                      <w:r>
                        <w:rPr>
                          <w:sz w:val="20"/>
                          <w:szCs w:val="20"/>
                        </w:rPr>
                        <w:t>a</w:t>
                      </w:r>
                    </w:p>
                    <w:p w:rsidR="00683AF5" w:rsidRPr="004F7966" w:rsidRDefault="00683AF5" w:rsidP="0050036B">
                      <w:pPr>
                        <w:numPr>
                          <w:ilvl w:val="0"/>
                          <w:numId w:val="203"/>
                        </w:numPr>
                        <w:rPr>
                          <w:sz w:val="20"/>
                          <w:szCs w:val="20"/>
                        </w:rPr>
                      </w:pPr>
                      <w:r w:rsidRPr="004F7966">
                        <w:rPr>
                          <w:sz w:val="20"/>
                          <w:szCs w:val="20"/>
                        </w:rPr>
                        <w:t>Investicije u fiksni kapital</w:t>
                      </w:r>
                    </w:p>
                    <w:p w:rsidR="00683AF5" w:rsidRPr="004F7966" w:rsidRDefault="00683AF5" w:rsidP="0050036B">
                      <w:pPr>
                        <w:numPr>
                          <w:ilvl w:val="0"/>
                          <w:numId w:val="203"/>
                        </w:numPr>
                        <w:rPr>
                          <w:sz w:val="20"/>
                          <w:szCs w:val="20"/>
                        </w:rPr>
                      </w:pPr>
                      <w:r>
                        <w:rPr>
                          <w:sz w:val="20"/>
                          <w:szCs w:val="20"/>
                        </w:rPr>
                        <w:t xml:space="preserve">Ulaganje u istraživanje i razvoj </w:t>
                      </w:r>
                    </w:p>
                    <w:p w:rsidR="00683AF5" w:rsidRPr="004F7966" w:rsidRDefault="00683AF5"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mc:Fallback>
        </mc:AlternateConten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sectPr w:rsidR="0050036B" w:rsidRPr="004E6412" w:rsidSect="00B31D5A">
          <w:footerReference w:type="default" r:id="rId66"/>
          <w:pgSz w:w="11906" w:h="16838"/>
          <w:pgMar w:top="1417" w:right="1417" w:bottom="1417" w:left="1417" w:header="708" w:footer="708" w:gutter="0"/>
          <w:cols w:space="708"/>
          <w:docGrid w:linePitch="360"/>
        </w:sectPr>
      </w:pPr>
    </w:p>
    <w:p w:rsidR="0050036B" w:rsidRPr="004E6412" w:rsidRDefault="0050036B" w:rsidP="0050036B">
      <w:pPr>
        <w:pStyle w:val="Heading3"/>
      </w:pPr>
      <w:bookmarkStart w:id="1134" w:name="_Toc378069163"/>
      <w:r w:rsidRPr="004E6412">
        <w:lastRenderedPageBreak/>
        <w:t>Scenarij 1 - Projekcija kretanja odabranih pokazatelja industrije (C+F+J) u razdoblju 2014.-2020.</w:t>
      </w:r>
      <w:bookmarkEnd w:id="1134"/>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5" w:name="_Toc377635320"/>
      <w:r w:rsidRPr="007D0CFD">
        <w:rPr>
          <w:rStyle w:val="IntenseEmphasis"/>
          <w:b/>
          <w:bCs w:val="0"/>
          <w:iCs w:val="0"/>
          <w:color w:val="548DD4" w:themeColor="text2" w:themeTint="99"/>
          <w:sz w:val="20"/>
        </w:rPr>
        <w:t>Tablica 119. Scenarij 1</w:t>
      </w:r>
      <w:bookmarkEnd w:id="1135"/>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6390"/>
        <w:gridCol w:w="1104"/>
        <w:gridCol w:w="1104"/>
        <w:gridCol w:w="1104"/>
        <w:gridCol w:w="1104"/>
        <w:gridCol w:w="1104"/>
        <w:gridCol w:w="1104"/>
        <w:gridCol w:w="1104"/>
      </w:tblGrid>
      <w:tr w:rsidR="0050036B" w:rsidRPr="004E6412" w:rsidTr="00B31D5A">
        <w:tc>
          <w:tcPr>
            <w:tcW w:w="2475" w:type="pct"/>
            <w:vAlign w:val="center"/>
          </w:tcPr>
          <w:p w:rsidR="0050036B" w:rsidRPr="004E6412" w:rsidRDefault="0050036B" w:rsidP="00B31D5A">
            <w:pPr>
              <w:jc w:val="left"/>
              <w:rPr>
                <w:b/>
                <w:sz w:val="22"/>
              </w:rPr>
            </w:pPr>
            <w:r w:rsidRPr="004E6412">
              <w:rPr>
                <w:b/>
                <w:sz w:val="22"/>
              </w:rPr>
              <w:t>Pokazatelj</w:t>
            </w:r>
          </w:p>
        </w:tc>
        <w:tc>
          <w:tcPr>
            <w:tcW w:w="361" w:type="pct"/>
            <w:vAlign w:val="center"/>
          </w:tcPr>
          <w:p w:rsidR="0050036B" w:rsidRPr="004E6412" w:rsidRDefault="0050036B" w:rsidP="00B31D5A">
            <w:pPr>
              <w:jc w:val="center"/>
              <w:rPr>
                <w:b/>
                <w:sz w:val="22"/>
              </w:rPr>
            </w:pPr>
            <w:r w:rsidRPr="004E6412">
              <w:rPr>
                <w:b/>
                <w:sz w:val="22"/>
              </w:rPr>
              <w:t>2014.</w:t>
            </w:r>
          </w:p>
        </w:tc>
        <w:tc>
          <w:tcPr>
            <w:tcW w:w="361" w:type="pct"/>
            <w:vAlign w:val="center"/>
          </w:tcPr>
          <w:p w:rsidR="0050036B" w:rsidRPr="004E6412" w:rsidRDefault="0050036B" w:rsidP="00B31D5A">
            <w:pPr>
              <w:jc w:val="center"/>
              <w:rPr>
                <w:b/>
                <w:sz w:val="22"/>
              </w:rPr>
            </w:pPr>
            <w:r w:rsidRPr="004E6412">
              <w:rPr>
                <w:b/>
                <w:sz w:val="22"/>
              </w:rPr>
              <w:t>2015.</w:t>
            </w:r>
          </w:p>
        </w:tc>
        <w:tc>
          <w:tcPr>
            <w:tcW w:w="361" w:type="pct"/>
            <w:vAlign w:val="center"/>
          </w:tcPr>
          <w:p w:rsidR="0050036B" w:rsidRPr="004E6412" w:rsidRDefault="0050036B" w:rsidP="00B31D5A">
            <w:pPr>
              <w:jc w:val="center"/>
              <w:rPr>
                <w:b/>
                <w:sz w:val="22"/>
              </w:rPr>
            </w:pPr>
            <w:r w:rsidRPr="004E6412">
              <w:rPr>
                <w:b/>
                <w:sz w:val="22"/>
              </w:rPr>
              <w:t>2016.</w:t>
            </w:r>
          </w:p>
        </w:tc>
        <w:tc>
          <w:tcPr>
            <w:tcW w:w="361" w:type="pct"/>
            <w:vAlign w:val="center"/>
          </w:tcPr>
          <w:p w:rsidR="0050036B" w:rsidRPr="004E6412" w:rsidRDefault="0050036B" w:rsidP="00B31D5A">
            <w:pPr>
              <w:jc w:val="center"/>
              <w:rPr>
                <w:b/>
                <w:sz w:val="22"/>
              </w:rPr>
            </w:pPr>
            <w:r w:rsidRPr="004E6412">
              <w:rPr>
                <w:b/>
                <w:sz w:val="22"/>
              </w:rPr>
              <w:t>2017.</w:t>
            </w:r>
          </w:p>
        </w:tc>
        <w:tc>
          <w:tcPr>
            <w:tcW w:w="361" w:type="pct"/>
            <w:vAlign w:val="center"/>
          </w:tcPr>
          <w:p w:rsidR="0050036B" w:rsidRPr="004E6412" w:rsidRDefault="0050036B" w:rsidP="00B31D5A">
            <w:pPr>
              <w:jc w:val="center"/>
              <w:rPr>
                <w:b/>
                <w:sz w:val="22"/>
              </w:rPr>
            </w:pPr>
            <w:r w:rsidRPr="004E6412">
              <w:rPr>
                <w:b/>
                <w:sz w:val="22"/>
              </w:rPr>
              <w:t>2018.</w:t>
            </w:r>
          </w:p>
        </w:tc>
        <w:tc>
          <w:tcPr>
            <w:tcW w:w="361" w:type="pct"/>
            <w:vAlign w:val="center"/>
          </w:tcPr>
          <w:p w:rsidR="0050036B" w:rsidRPr="004E6412" w:rsidRDefault="0050036B" w:rsidP="00B31D5A">
            <w:pPr>
              <w:jc w:val="center"/>
              <w:rPr>
                <w:b/>
                <w:sz w:val="22"/>
              </w:rPr>
            </w:pPr>
            <w:r w:rsidRPr="004E6412">
              <w:rPr>
                <w:b/>
                <w:sz w:val="22"/>
              </w:rPr>
              <w:t>2019.</w:t>
            </w:r>
          </w:p>
        </w:tc>
        <w:tc>
          <w:tcPr>
            <w:tcW w:w="359"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Indeks obujma industrijske proizvodnje </w:t>
            </w:r>
          </w:p>
          <w:p w:rsidR="0050036B" w:rsidRPr="004E6412" w:rsidRDefault="0050036B" w:rsidP="00B31D5A">
            <w:pPr>
              <w:jc w:val="left"/>
              <w:rPr>
                <w:b/>
                <w:sz w:val="22"/>
              </w:rPr>
            </w:pPr>
            <w:r w:rsidRPr="004E6412">
              <w:rPr>
                <w:b/>
                <w:sz w:val="22"/>
              </w:rPr>
              <w:t>(C Prerađivačka industrija, referentna godina 2008.)</w:t>
            </w:r>
          </w:p>
        </w:tc>
        <w:tc>
          <w:tcPr>
            <w:tcW w:w="361" w:type="pct"/>
            <w:vAlign w:val="center"/>
          </w:tcPr>
          <w:p w:rsidR="0050036B" w:rsidRPr="004E6412" w:rsidRDefault="0050036B" w:rsidP="00B31D5A">
            <w:pPr>
              <w:jc w:val="right"/>
              <w:rPr>
                <w:color w:val="000000"/>
                <w:sz w:val="22"/>
              </w:rPr>
            </w:pPr>
            <w:r w:rsidRPr="004E6412">
              <w:rPr>
                <w:color w:val="000000"/>
                <w:sz w:val="22"/>
              </w:rPr>
              <w:t>82,553</w:t>
            </w:r>
          </w:p>
        </w:tc>
        <w:tc>
          <w:tcPr>
            <w:tcW w:w="361" w:type="pct"/>
            <w:vAlign w:val="center"/>
          </w:tcPr>
          <w:p w:rsidR="0050036B" w:rsidRPr="004E6412" w:rsidRDefault="0050036B" w:rsidP="00B31D5A">
            <w:pPr>
              <w:jc w:val="right"/>
              <w:rPr>
                <w:color w:val="000000"/>
                <w:sz w:val="22"/>
              </w:rPr>
            </w:pPr>
            <w:r w:rsidRPr="004E6412">
              <w:rPr>
                <w:color w:val="000000"/>
                <w:sz w:val="22"/>
              </w:rPr>
              <w:t>80,902</w:t>
            </w:r>
          </w:p>
        </w:tc>
        <w:tc>
          <w:tcPr>
            <w:tcW w:w="361" w:type="pct"/>
            <w:vAlign w:val="center"/>
          </w:tcPr>
          <w:p w:rsidR="0050036B" w:rsidRPr="004E6412" w:rsidRDefault="0050036B" w:rsidP="00B31D5A">
            <w:pPr>
              <w:jc w:val="right"/>
              <w:rPr>
                <w:color w:val="000000"/>
                <w:sz w:val="22"/>
              </w:rPr>
            </w:pPr>
            <w:r w:rsidRPr="004E6412">
              <w:rPr>
                <w:color w:val="000000"/>
                <w:sz w:val="22"/>
              </w:rPr>
              <w:t>80,659</w:t>
            </w:r>
          </w:p>
        </w:tc>
        <w:tc>
          <w:tcPr>
            <w:tcW w:w="361" w:type="pct"/>
            <w:vAlign w:val="center"/>
          </w:tcPr>
          <w:p w:rsidR="0050036B" w:rsidRPr="004E6412" w:rsidRDefault="0050036B" w:rsidP="00B31D5A">
            <w:pPr>
              <w:jc w:val="right"/>
              <w:rPr>
                <w:color w:val="000000"/>
                <w:sz w:val="22"/>
              </w:rPr>
            </w:pPr>
            <w:r w:rsidRPr="004E6412">
              <w:rPr>
                <w:color w:val="000000"/>
                <w:sz w:val="22"/>
              </w:rPr>
              <w:t>79,046</w:t>
            </w:r>
          </w:p>
        </w:tc>
        <w:tc>
          <w:tcPr>
            <w:tcW w:w="361" w:type="pct"/>
            <w:vAlign w:val="center"/>
          </w:tcPr>
          <w:p w:rsidR="0050036B" w:rsidRPr="004E6412" w:rsidRDefault="0050036B" w:rsidP="00B31D5A">
            <w:pPr>
              <w:jc w:val="right"/>
              <w:rPr>
                <w:color w:val="000000"/>
                <w:sz w:val="22"/>
              </w:rPr>
            </w:pPr>
            <w:r w:rsidRPr="004E6412">
              <w:rPr>
                <w:color w:val="000000"/>
                <w:sz w:val="22"/>
              </w:rPr>
              <w:t>78,888</w:t>
            </w:r>
          </w:p>
        </w:tc>
        <w:tc>
          <w:tcPr>
            <w:tcW w:w="361" w:type="pct"/>
            <w:vAlign w:val="center"/>
          </w:tcPr>
          <w:p w:rsidR="0050036B" w:rsidRPr="004E6412" w:rsidRDefault="0050036B" w:rsidP="00B31D5A">
            <w:pPr>
              <w:jc w:val="right"/>
              <w:rPr>
                <w:color w:val="000000"/>
                <w:sz w:val="22"/>
              </w:rPr>
            </w:pPr>
            <w:r w:rsidRPr="004E6412">
              <w:rPr>
                <w:color w:val="000000"/>
                <w:sz w:val="22"/>
              </w:rPr>
              <w:t>78,099</w:t>
            </w:r>
          </w:p>
        </w:tc>
        <w:tc>
          <w:tcPr>
            <w:tcW w:w="359" w:type="pct"/>
            <w:vAlign w:val="center"/>
          </w:tcPr>
          <w:p w:rsidR="0050036B" w:rsidRPr="004E6412" w:rsidRDefault="0050036B" w:rsidP="00B31D5A">
            <w:pPr>
              <w:jc w:val="right"/>
              <w:rPr>
                <w:color w:val="000000"/>
                <w:sz w:val="22"/>
              </w:rPr>
            </w:pPr>
            <w:r w:rsidRPr="004E6412">
              <w:rPr>
                <w:color w:val="000000"/>
                <w:sz w:val="22"/>
              </w:rPr>
              <w:t>78,021</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industrijske proizvodnje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-0,30%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-1,00%</w:t>
            </w:r>
          </w:p>
        </w:tc>
        <w:tc>
          <w:tcPr>
            <w:tcW w:w="359" w:type="pct"/>
            <w:vAlign w:val="center"/>
          </w:tcPr>
          <w:p w:rsidR="0050036B" w:rsidRPr="004E6412" w:rsidRDefault="0050036B" w:rsidP="00B31D5A">
            <w:pPr>
              <w:jc w:val="right"/>
              <w:rPr>
                <w:sz w:val="22"/>
              </w:rPr>
            </w:pPr>
            <w:r w:rsidRPr="004E6412">
              <w:rPr>
                <w:sz w:val="22"/>
              </w:rPr>
              <w:t>-0,10%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Kretanje indeksa obujma građevinskih radova</w:t>
            </w:r>
          </w:p>
          <w:p w:rsidR="0050036B" w:rsidRPr="004E6412" w:rsidRDefault="0050036B" w:rsidP="00B31D5A">
            <w:pPr>
              <w:jc w:val="left"/>
              <w:rPr>
                <w:b/>
                <w:sz w:val="22"/>
              </w:rPr>
            </w:pPr>
            <w:r w:rsidRPr="004E6412">
              <w:rPr>
                <w:b/>
                <w:sz w:val="22"/>
              </w:rPr>
              <w:t>(F Građevinarstvo, referentna godina 2008.)</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59"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građevinskih radova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Bruto dodana vrijednosti (u '000 HRK)</w:t>
            </w:r>
          </w:p>
        </w:tc>
        <w:tc>
          <w:tcPr>
            <w:tcW w:w="361" w:type="pct"/>
            <w:vAlign w:val="center"/>
          </w:tcPr>
          <w:p w:rsidR="0050036B" w:rsidRPr="004E6412" w:rsidRDefault="0050036B" w:rsidP="00B31D5A">
            <w:pPr>
              <w:jc w:val="right"/>
              <w:rPr>
                <w:color w:val="000000"/>
                <w:sz w:val="22"/>
              </w:rPr>
            </w:pPr>
            <w:r w:rsidRPr="004E6412">
              <w:rPr>
                <w:color w:val="000000"/>
                <w:sz w:val="22"/>
              </w:rPr>
              <w:t>66.278.509</w:t>
            </w:r>
          </w:p>
        </w:tc>
        <w:tc>
          <w:tcPr>
            <w:tcW w:w="361" w:type="pct"/>
            <w:vAlign w:val="center"/>
          </w:tcPr>
          <w:p w:rsidR="0050036B" w:rsidRPr="004E6412" w:rsidRDefault="0050036B" w:rsidP="00B31D5A">
            <w:pPr>
              <w:jc w:val="right"/>
              <w:rPr>
                <w:color w:val="000000"/>
                <w:sz w:val="22"/>
              </w:rPr>
            </w:pPr>
            <w:r w:rsidRPr="004E6412">
              <w:rPr>
                <w:color w:val="000000"/>
                <w:sz w:val="22"/>
              </w:rPr>
              <w:t>64.952.939</w:t>
            </w:r>
          </w:p>
        </w:tc>
        <w:tc>
          <w:tcPr>
            <w:tcW w:w="361" w:type="pct"/>
            <w:vAlign w:val="center"/>
          </w:tcPr>
          <w:p w:rsidR="0050036B" w:rsidRPr="004E6412" w:rsidRDefault="0050036B" w:rsidP="00B31D5A">
            <w:pPr>
              <w:jc w:val="right"/>
              <w:rPr>
                <w:color w:val="000000"/>
                <w:sz w:val="22"/>
              </w:rPr>
            </w:pPr>
            <w:r w:rsidRPr="004E6412">
              <w:rPr>
                <w:color w:val="000000"/>
                <w:sz w:val="22"/>
              </w:rPr>
              <w:t>64.758.080</w:t>
            </w:r>
          </w:p>
        </w:tc>
        <w:tc>
          <w:tcPr>
            <w:tcW w:w="361" w:type="pct"/>
            <w:vAlign w:val="center"/>
          </w:tcPr>
          <w:p w:rsidR="0050036B" w:rsidRPr="004E6412" w:rsidRDefault="0050036B" w:rsidP="00B31D5A">
            <w:pPr>
              <w:jc w:val="right"/>
              <w:rPr>
                <w:color w:val="000000"/>
                <w:sz w:val="22"/>
              </w:rPr>
            </w:pPr>
            <w:r w:rsidRPr="004E6412">
              <w:rPr>
                <w:color w:val="000000"/>
                <w:sz w:val="22"/>
              </w:rPr>
              <w:t>63.462.918</w:t>
            </w:r>
          </w:p>
        </w:tc>
        <w:tc>
          <w:tcPr>
            <w:tcW w:w="361" w:type="pct"/>
            <w:vAlign w:val="center"/>
          </w:tcPr>
          <w:p w:rsidR="0050036B" w:rsidRPr="004E6412" w:rsidRDefault="0050036B" w:rsidP="00B31D5A">
            <w:pPr>
              <w:jc w:val="right"/>
              <w:rPr>
                <w:color w:val="000000"/>
                <w:sz w:val="22"/>
              </w:rPr>
            </w:pPr>
            <w:r w:rsidRPr="004E6412">
              <w:rPr>
                <w:color w:val="000000"/>
                <w:sz w:val="22"/>
              </w:rPr>
              <w:t>63.335.993</w:t>
            </w:r>
          </w:p>
        </w:tc>
        <w:tc>
          <w:tcPr>
            <w:tcW w:w="361" w:type="pct"/>
            <w:vAlign w:val="center"/>
          </w:tcPr>
          <w:p w:rsidR="0050036B" w:rsidRPr="004E6412" w:rsidRDefault="0050036B" w:rsidP="00B31D5A">
            <w:pPr>
              <w:jc w:val="right"/>
              <w:rPr>
                <w:color w:val="000000"/>
                <w:sz w:val="22"/>
              </w:rPr>
            </w:pPr>
            <w:r w:rsidRPr="004E6412">
              <w:rPr>
                <w:color w:val="000000"/>
                <w:sz w:val="22"/>
              </w:rPr>
              <w:t>62.702.633</w:t>
            </w:r>
          </w:p>
        </w:tc>
        <w:tc>
          <w:tcPr>
            <w:tcW w:w="359" w:type="pct"/>
            <w:vAlign w:val="center"/>
          </w:tcPr>
          <w:p w:rsidR="0050036B" w:rsidRPr="004E6412" w:rsidRDefault="0050036B" w:rsidP="00B31D5A">
            <w:pPr>
              <w:jc w:val="right"/>
              <w:rPr>
                <w:color w:val="000000"/>
                <w:sz w:val="22"/>
              </w:rPr>
            </w:pPr>
            <w:r w:rsidRPr="004E6412">
              <w:rPr>
                <w:color w:val="000000"/>
                <w:sz w:val="22"/>
              </w:rPr>
              <w:t>62.639.930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Broj novozaposlenih</w:t>
            </w:r>
          </w:p>
        </w:tc>
        <w:tc>
          <w:tcPr>
            <w:tcW w:w="361" w:type="pct"/>
            <w:vAlign w:val="center"/>
          </w:tcPr>
          <w:p w:rsidR="0050036B" w:rsidRPr="004E6412" w:rsidRDefault="0050036B" w:rsidP="00B31D5A">
            <w:pPr>
              <w:jc w:val="right"/>
              <w:rPr>
                <w:sz w:val="22"/>
              </w:rPr>
            </w:pPr>
            <w:r w:rsidRPr="004E6412">
              <w:rPr>
                <w:sz w:val="22"/>
              </w:rPr>
              <w:t>-119</w:t>
            </w:r>
          </w:p>
        </w:tc>
        <w:tc>
          <w:tcPr>
            <w:tcW w:w="361" w:type="pct"/>
            <w:vAlign w:val="center"/>
          </w:tcPr>
          <w:p w:rsidR="0050036B" w:rsidRPr="004E6412" w:rsidRDefault="0050036B" w:rsidP="00B31D5A">
            <w:pPr>
              <w:jc w:val="right"/>
              <w:rPr>
                <w:sz w:val="22"/>
              </w:rPr>
            </w:pPr>
            <w:r w:rsidRPr="004E6412">
              <w:rPr>
                <w:sz w:val="22"/>
              </w:rPr>
              <w:t>-1,193</w:t>
            </w:r>
          </w:p>
        </w:tc>
        <w:tc>
          <w:tcPr>
            <w:tcW w:w="361" w:type="pct"/>
            <w:vAlign w:val="center"/>
          </w:tcPr>
          <w:p w:rsidR="0050036B" w:rsidRPr="004E6412" w:rsidRDefault="0050036B" w:rsidP="00B31D5A">
            <w:pPr>
              <w:jc w:val="right"/>
              <w:rPr>
                <w:sz w:val="22"/>
              </w:rPr>
            </w:pPr>
            <w:r w:rsidRPr="004E6412">
              <w:rPr>
                <w:sz w:val="22"/>
              </w:rPr>
              <w:t>-183</w:t>
            </w:r>
          </w:p>
        </w:tc>
        <w:tc>
          <w:tcPr>
            <w:tcW w:w="361" w:type="pct"/>
            <w:vAlign w:val="center"/>
          </w:tcPr>
          <w:p w:rsidR="0050036B" w:rsidRPr="004E6412" w:rsidRDefault="0050036B" w:rsidP="00B31D5A">
            <w:pPr>
              <w:jc w:val="right"/>
              <w:rPr>
                <w:sz w:val="22"/>
              </w:rPr>
            </w:pPr>
            <w:r w:rsidRPr="004E6412">
              <w:rPr>
                <w:sz w:val="22"/>
              </w:rPr>
              <w:t>-1,221</w:t>
            </w:r>
          </w:p>
        </w:tc>
        <w:tc>
          <w:tcPr>
            <w:tcW w:w="361" w:type="pct"/>
            <w:vAlign w:val="center"/>
          </w:tcPr>
          <w:p w:rsidR="0050036B" w:rsidRPr="004E6412" w:rsidRDefault="0050036B" w:rsidP="00B31D5A">
            <w:pPr>
              <w:jc w:val="right"/>
              <w:rPr>
                <w:sz w:val="22"/>
              </w:rPr>
            </w:pPr>
            <w:r w:rsidRPr="004E6412">
              <w:rPr>
                <w:sz w:val="22"/>
              </w:rPr>
              <w:t>-125</w:t>
            </w:r>
          </w:p>
        </w:tc>
        <w:tc>
          <w:tcPr>
            <w:tcW w:w="361" w:type="pct"/>
            <w:vAlign w:val="center"/>
          </w:tcPr>
          <w:p w:rsidR="0050036B" w:rsidRPr="004E6412" w:rsidRDefault="0050036B" w:rsidP="00B31D5A">
            <w:pPr>
              <w:jc w:val="right"/>
              <w:rPr>
                <w:sz w:val="22"/>
              </w:rPr>
            </w:pPr>
            <w:r w:rsidRPr="004E6412">
              <w:rPr>
                <w:sz w:val="22"/>
              </w:rPr>
              <w:t>-624</w:t>
            </w:r>
          </w:p>
        </w:tc>
        <w:tc>
          <w:tcPr>
            <w:tcW w:w="359" w:type="pct"/>
            <w:vAlign w:val="center"/>
          </w:tcPr>
          <w:p w:rsidR="0050036B" w:rsidRPr="004E6412" w:rsidRDefault="0050036B" w:rsidP="00B31D5A">
            <w:pPr>
              <w:jc w:val="right"/>
              <w:rPr>
                <w:sz w:val="22"/>
              </w:rPr>
            </w:pPr>
            <w:r w:rsidRPr="004E6412">
              <w:rPr>
                <w:sz w:val="22"/>
              </w:rPr>
              <w:t>-63</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Produktivnost rada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Investicije u fiksni kapital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Rast izvoza (HRK)</w:t>
            </w: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59" w:type="pct"/>
            <w:vAlign w:val="center"/>
          </w:tcPr>
          <w:p w:rsidR="0050036B" w:rsidRPr="004E6412" w:rsidRDefault="0050036B" w:rsidP="00B31D5A">
            <w:pPr>
              <w:jc w:val="right"/>
              <w:rPr>
                <w:b/>
                <w:sz w:val="22"/>
              </w:rPr>
            </w:pP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Rashodi za istraživanje i razvoj u BDP-u (%)</w:t>
            </w:r>
          </w:p>
        </w:tc>
        <w:tc>
          <w:tcPr>
            <w:tcW w:w="361" w:type="pct"/>
            <w:vAlign w:val="center"/>
          </w:tcPr>
          <w:p w:rsidR="0050036B" w:rsidRPr="004E6412" w:rsidRDefault="0050036B" w:rsidP="00B31D5A">
            <w:pPr>
              <w:jc w:val="right"/>
              <w:rPr>
                <w:sz w:val="22"/>
              </w:rPr>
            </w:pPr>
            <w:r w:rsidRPr="004E6412">
              <w:rPr>
                <w:sz w:val="22"/>
              </w:rPr>
              <w:t>0,8</w:t>
            </w:r>
          </w:p>
        </w:tc>
        <w:tc>
          <w:tcPr>
            <w:tcW w:w="361" w:type="pct"/>
            <w:vAlign w:val="center"/>
          </w:tcPr>
          <w:p w:rsidR="0050036B" w:rsidRPr="004E6412" w:rsidRDefault="0050036B" w:rsidP="00B31D5A">
            <w:pPr>
              <w:jc w:val="right"/>
              <w:rPr>
                <w:sz w:val="22"/>
              </w:rPr>
            </w:pPr>
            <w:r w:rsidRPr="004E6412">
              <w:rPr>
                <w:sz w:val="22"/>
              </w:rPr>
              <w:t>0,85</w:t>
            </w:r>
          </w:p>
        </w:tc>
        <w:tc>
          <w:tcPr>
            <w:tcW w:w="361" w:type="pct"/>
            <w:vAlign w:val="center"/>
          </w:tcPr>
          <w:p w:rsidR="0050036B" w:rsidRPr="004E6412" w:rsidRDefault="0050036B" w:rsidP="00B31D5A">
            <w:pPr>
              <w:jc w:val="right"/>
              <w:rPr>
                <w:sz w:val="22"/>
              </w:rPr>
            </w:pPr>
            <w:r w:rsidRPr="004E6412">
              <w:rPr>
                <w:sz w:val="22"/>
              </w:rPr>
              <w:t>0,9</w:t>
            </w:r>
          </w:p>
        </w:tc>
        <w:tc>
          <w:tcPr>
            <w:tcW w:w="361" w:type="pct"/>
            <w:vAlign w:val="center"/>
          </w:tcPr>
          <w:p w:rsidR="0050036B" w:rsidRPr="004E6412" w:rsidRDefault="0050036B" w:rsidP="00B31D5A">
            <w:pPr>
              <w:jc w:val="right"/>
              <w:rPr>
                <w:sz w:val="22"/>
              </w:rPr>
            </w:pPr>
            <w:r w:rsidRPr="004E6412">
              <w:rPr>
                <w:sz w:val="22"/>
              </w:rPr>
              <w:t>1</w:t>
            </w:r>
          </w:p>
        </w:tc>
        <w:tc>
          <w:tcPr>
            <w:tcW w:w="361" w:type="pct"/>
            <w:vAlign w:val="center"/>
          </w:tcPr>
          <w:p w:rsidR="0050036B" w:rsidRPr="004E6412" w:rsidRDefault="0050036B" w:rsidP="00B31D5A">
            <w:pPr>
              <w:jc w:val="right"/>
              <w:rPr>
                <w:sz w:val="22"/>
              </w:rPr>
            </w:pPr>
            <w:r w:rsidRPr="004E6412">
              <w:rPr>
                <w:sz w:val="22"/>
              </w:rPr>
              <w:t>1,1</w:t>
            </w:r>
          </w:p>
        </w:tc>
        <w:tc>
          <w:tcPr>
            <w:tcW w:w="361" w:type="pct"/>
            <w:vAlign w:val="center"/>
          </w:tcPr>
          <w:p w:rsidR="0050036B" w:rsidRPr="004E6412" w:rsidRDefault="0050036B" w:rsidP="00B31D5A">
            <w:pPr>
              <w:jc w:val="right"/>
              <w:rPr>
                <w:sz w:val="22"/>
              </w:rPr>
            </w:pPr>
            <w:r w:rsidRPr="004E6412">
              <w:rPr>
                <w:sz w:val="22"/>
              </w:rPr>
              <w:t>1,3</w:t>
            </w:r>
          </w:p>
        </w:tc>
        <w:tc>
          <w:tcPr>
            <w:tcW w:w="359"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Broj visokoobrazovane radne snage u ukupnom broju </w:t>
            </w:r>
          </w:p>
          <w:p w:rsidR="0050036B" w:rsidRPr="004E6412" w:rsidRDefault="0050036B" w:rsidP="00B31D5A">
            <w:pPr>
              <w:jc w:val="left"/>
              <w:rPr>
                <w:b/>
                <w:sz w:val="22"/>
              </w:rPr>
            </w:pPr>
            <w:r w:rsidRPr="004E6412">
              <w:rPr>
                <w:b/>
                <w:sz w:val="22"/>
              </w:rPr>
              <w:t>novozaposlenih industrije</w:t>
            </w:r>
            <w:r w:rsidRPr="004E6412">
              <w:rPr>
                <w:rStyle w:val="FootnoteReference"/>
                <w:b/>
                <w:sz w:val="22"/>
              </w:rPr>
              <w:footnoteReference w:id="30"/>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2"/>
        </w:numPr>
        <w:rPr>
          <w:sz w:val="22"/>
        </w:rPr>
      </w:pPr>
      <w:r w:rsidRPr="00A27012">
        <w:rPr>
          <w:sz w:val="22"/>
        </w:rPr>
        <w:t xml:space="preserve">Scenarij 1, nazvan „pesimistični scenarij“, prikazuje godišnje kretanje odabranih pokazatelja u razdoblju 2014.-2020. </w:t>
      </w:r>
    </w:p>
    <w:p w:rsidR="0050036B" w:rsidRPr="004E6412" w:rsidRDefault="0050036B" w:rsidP="0050036B">
      <w:pPr>
        <w:rPr>
          <w:b/>
        </w:rPr>
      </w:pPr>
    </w:p>
    <w:p w:rsidR="0050036B" w:rsidRPr="004E6412" w:rsidRDefault="0050036B" w:rsidP="0050036B">
      <w:pPr>
        <w:rPr>
          <w:b/>
        </w:rPr>
      </w:pPr>
    </w:p>
    <w:p w:rsidR="0050036B" w:rsidRPr="004E6412" w:rsidRDefault="0050036B" w:rsidP="00A27012">
      <w:pPr>
        <w:pStyle w:val="Heading3"/>
      </w:pPr>
      <w:r w:rsidRPr="004E6412">
        <w:br w:type="page"/>
      </w:r>
      <w:bookmarkStart w:id="1136" w:name="_Toc378069164"/>
      <w:r w:rsidRPr="004E6412">
        <w:lastRenderedPageBreak/>
        <w:t>Scenarij 2 - Projekcija kretanja odabranih pokazatelja industrije (C+F+J) u razdoblju 2014.-2020.</w:t>
      </w:r>
      <w:bookmarkEnd w:id="1136"/>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7" w:name="_Toc377635321"/>
      <w:r w:rsidRPr="007D0CFD">
        <w:rPr>
          <w:rStyle w:val="IntenseEmphasis"/>
          <w:b/>
          <w:bCs w:val="0"/>
          <w:iCs w:val="0"/>
          <w:color w:val="548DD4" w:themeColor="text2" w:themeTint="99"/>
          <w:sz w:val="20"/>
        </w:rPr>
        <w:t>Tablica 120. Scenarij 2</w:t>
      </w:r>
      <w:bookmarkEnd w:id="1137"/>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5"/>
        <w:gridCol w:w="1214"/>
        <w:gridCol w:w="1214"/>
        <w:gridCol w:w="1379"/>
        <w:gridCol w:w="1379"/>
        <w:gridCol w:w="1379"/>
        <w:gridCol w:w="1379"/>
        <w:gridCol w:w="1489"/>
      </w:tblGrid>
      <w:tr w:rsidR="0050036B" w:rsidRPr="004E6412" w:rsidTr="00B31D5A">
        <w:tc>
          <w:tcPr>
            <w:tcW w:w="1659"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83,545</w:t>
            </w:r>
          </w:p>
        </w:tc>
        <w:tc>
          <w:tcPr>
            <w:tcW w:w="430" w:type="pct"/>
            <w:vAlign w:val="center"/>
          </w:tcPr>
          <w:p w:rsidR="0050036B" w:rsidRPr="004E6412" w:rsidRDefault="0050036B" w:rsidP="00B31D5A">
            <w:pPr>
              <w:jc w:val="right"/>
              <w:rPr>
                <w:color w:val="000000"/>
                <w:sz w:val="22"/>
              </w:rPr>
            </w:pPr>
            <w:r w:rsidRPr="004E6412">
              <w:rPr>
                <w:color w:val="000000"/>
                <w:sz w:val="22"/>
              </w:rPr>
              <w:t>84,381</w:t>
            </w:r>
          </w:p>
        </w:tc>
        <w:tc>
          <w:tcPr>
            <w:tcW w:w="488" w:type="pct"/>
            <w:vAlign w:val="center"/>
          </w:tcPr>
          <w:p w:rsidR="0050036B" w:rsidRPr="004E6412" w:rsidRDefault="0050036B" w:rsidP="00B31D5A">
            <w:pPr>
              <w:jc w:val="right"/>
              <w:rPr>
                <w:color w:val="000000"/>
                <w:sz w:val="22"/>
              </w:rPr>
            </w:pPr>
            <w:r w:rsidRPr="004E6412">
              <w:rPr>
                <w:color w:val="000000"/>
                <w:sz w:val="22"/>
              </w:rPr>
              <w:t>86,068</w:t>
            </w:r>
          </w:p>
        </w:tc>
        <w:tc>
          <w:tcPr>
            <w:tcW w:w="488" w:type="pct"/>
            <w:vAlign w:val="center"/>
          </w:tcPr>
          <w:p w:rsidR="0050036B" w:rsidRPr="004E6412" w:rsidRDefault="0050036B" w:rsidP="00B31D5A">
            <w:pPr>
              <w:jc w:val="right"/>
              <w:rPr>
                <w:color w:val="000000"/>
                <w:sz w:val="22"/>
              </w:rPr>
            </w:pPr>
            <w:r w:rsidRPr="004E6412">
              <w:rPr>
                <w:color w:val="000000"/>
                <w:sz w:val="22"/>
              </w:rPr>
              <w:t>88,650</w:t>
            </w:r>
          </w:p>
        </w:tc>
        <w:tc>
          <w:tcPr>
            <w:tcW w:w="488" w:type="pct"/>
            <w:vAlign w:val="center"/>
          </w:tcPr>
          <w:p w:rsidR="0050036B" w:rsidRPr="004E6412" w:rsidRDefault="0050036B" w:rsidP="00B31D5A">
            <w:pPr>
              <w:jc w:val="right"/>
              <w:rPr>
                <w:color w:val="000000"/>
                <w:sz w:val="22"/>
              </w:rPr>
            </w:pPr>
            <w:r w:rsidRPr="004E6412">
              <w:rPr>
                <w:color w:val="000000"/>
                <w:sz w:val="22"/>
              </w:rPr>
              <w:t>92,196</w:t>
            </w:r>
          </w:p>
        </w:tc>
        <w:tc>
          <w:tcPr>
            <w:tcW w:w="488" w:type="pct"/>
            <w:vAlign w:val="center"/>
          </w:tcPr>
          <w:p w:rsidR="0050036B" w:rsidRPr="004E6412" w:rsidRDefault="0050036B" w:rsidP="00B31D5A">
            <w:pPr>
              <w:jc w:val="right"/>
              <w:rPr>
                <w:color w:val="000000"/>
                <w:sz w:val="22"/>
              </w:rPr>
            </w:pPr>
            <w:r w:rsidRPr="004E6412">
              <w:rPr>
                <w:color w:val="000000"/>
                <w:sz w:val="22"/>
              </w:rPr>
              <w:t>95,884</w:t>
            </w:r>
          </w:p>
        </w:tc>
        <w:tc>
          <w:tcPr>
            <w:tcW w:w="527" w:type="pct"/>
            <w:vAlign w:val="center"/>
          </w:tcPr>
          <w:p w:rsidR="0050036B" w:rsidRPr="004E6412" w:rsidRDefault="0050036B" w:rsidP="00B31D5A">
            <w:pPr>
              <w:jc w:val="right"/>
              <w:rPr>
                <w:color w:val="000000"/>
                <w:sz w:val="22"/>
              </w:rPr>
            </w:pPr>
            <w:r w:rsidRPr="004E6412">
              <w:rPr>
                <w:color w:val="000000"/>
                <w:sz w:val="22"/>
              </w:rPr>
              <w:t>100,679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w:t>
            </w:r>
          </w:p>
        </w:tc>
        <w:tc>
          <w:tcPr>
            <w:tcW w:w="430"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2%</w:t>
            </w:r>
          </w:p>
        </w:tc>
        <w:tc>
          <w:tcPr>
            <w:tcW w:w="488" w:type="pct"/>
            <w:vAlign w:val="center"/>
          </w:tcPr>
          <w:p w:rsidR="0050036B" w:rsidRPr="004E6412" w:rsidRDefault="0050036B" w:rsidP="00B31D5A">
            <w:pPr>
              <w:jc w:val="right"/>
              <w:rPr>
                <w:sz w:val="22"/>
              </w:rPr>
            </w:pPr>
            <w:r w:rsidRPr="004E6412">
              <w:rPr>
                <w:sz w:val="22"/>
              </w:rPr>
              <w:t>3%</w:t>
            </w:r>
          </w:p>
        </w:tc>
        <w:tc>
          <w:tcPr>
            <w:tcW w:w="488" w:type="pct"/>
            <w:vAlign w:val="center"/>
          </w:tcPr>
          <w:p w:rsidR="0050036B" w:rsidRPr="004E6412" w:rsidRDefault="0050036B" w:rsidP="00B31D5A">
            <w:pPr>
              <w:jc w:val="right"/>
              <w:rPr>
                <w:sz w:val="22"/>
              </w:rPr>
            </w:pPr>
            <w:r w:rsidRPr="004E6412">
              <w:rPr>
                <w:sz w:val="22"/>
              </w:rPr>
              <w:t>4%</w:t>
            </w:r>
          </w:p>
        </w:tc>
        <w:tc>
          <w:tcPr>
            <w:tcW w:w="488" w:type="pct"/>
            <w:vAlign w:val="center"/>
          </w:tcPr>
          <w:p w:rsidR="0050036B" w:rsidRPr="004E6412" w:rsidRDefault="0050036B" w:rsidP="00B31D5A">
            <w:pPr>
              <w:jc w:val="right"/>
              <w:rPr>
                <w:sz w:val="22"/>
              </w:rPr>
            </w:pPr>
            <w:r w:rsidRPr="004E6412">
              <w:rPr>
                <w:sz w:val="22"/>
              </w:rPr>
              <w:t>4%</w:t>
            </w:r>
          </w:p>
        </w:tc>
        <w:tc>
          <w:tcPr>
            <w:tcW w:w="527" w:type="pct"/>
            <w:vAlign w:val="center"/>
          </w:tcPr>
          <w:p w:rsidR="0050036B" w:rsidRPr="004E6412" w:rsidRDefault="0050036B" w:rsidP="00B31D5A">
            <w:pPr>
              <w:jc w:val="right"/>
              <w:rPr>
                <w:sz w:val="22"/>
              </w:rPr>
            </w:pPr>
            <w:r w:rsidRPr="004E6412">
              <w:rPr>
                <w:sz w:val="22"/>
              </w:rPr>
              <w:t>5%</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68.763.105</w:t>
            </w:r>
          </w:p>
        </w:tc>
        <w:tc>
          <w:tcPr>
            <w:tcW w:w="430" w:type="pct"/>
            <w:vAlign w:val="center"/>
          </w:tcPr>
          <w:p w:rsidR="0050036B" w:rsidRPr="004E6412" w:rsidRDefault="0050036B" w:rsidP="00B31D5A">
            <w:pPr>
              <w:jc w:val="right"/>
              <w:rPr>
                <w:sz w:val="22"/>
              </w:rPr>
            </w:pPr>
            <w:r w:rsidRPr="004E6412">
              <w:rPr>
                <w:sz w:val="22"/>
              </w:rPr>
              <w:t>71.480.538</w:t>
            </w:r>
          </w:p>
        </w:tc>
        <w:tc>
          <w:tcPr>
            <w:tcW w:w="488" w:type="pct"/>
            <w:vAlign w:val="center"/>
          </w:tcPr>
          <w:p w:rsidR="0050036B" w:rsidRPr="004E6412" w:rsidRDefault="0050036B" w:rsidP="00B31D5A">
            <w:pPr>
              <w:jc w:val="right"/>
              <w:rPr>
                <w:sz w:val="22"/>
              </w:rPr>
            </w:pPr>
            <w:r w:rsidRPr="004E6412">
              <w:rPr>
                <w:sz w:val="22"/>
              </w:rPr>
              <w:t>76.983.089</w:t>
            </w:r>
          </w:p>
        </w:tc>
        <w:tc>
          <w:tcPr>
            <w:tcW w:w="488" w:type="pct"/>
            <w:vAlign w:val="center"/>
          </w:tcPr>
          <w:p w:rsidR="0050036B" w:rsidRPr="004E6412" w:rsidRDefault="0050036B" w:rsidP="00B31D5A">
            <w:pPr>
              <w:jc w:val="right"/>
              <w:rPr>
                <w:sz w:val="22"/>
              </w:rPr>
            </w:pPr>
            <w:r w:rsidRPr="004E6412">
              <w:rPr>
                <w:sz w:val="22"/>
              </w:rPr>
              <w:t>86.476.435</w:t>
            </w:r>
          </w:p>
        </w:tc>
        <w:tc>
          <w:tcPr>
            <w:tcW w:w="488" w:type="pct"/>
            <w:vAlign w:val="center"/>
          </w:tcPr>
          <w:p w:rsidR="0050036B" w:rsidRPr="004E6412" w:rsidRDefault="0050036B" w:rsidP="00B31D5A">
            <w:pPr>
              <w:jc w:val="right"/>
              <w:rPr>
                <w:sz w:val="22"/>
              </w:rPr>
            </w:pPr>
            <w:r w:rsidRPr="004E6412">
              <w:rPr>
                <w:sz w:val="22"/>
              </w:rPr>
              <w:t>100.600.450</w:t>
            </w:r>
          </w:p>
        </w:tc>
        <w:tc>
          <w:tcPr>
            <w:tcW w:w="488" w:type="pct"/>
            <w:vAlign w:val="center"/>
          </w:tcPr>
          <w:p w:rsidR="0050036B" w:rsidRPr="004E6412" w:rsidRDefault="0050036B" w:rsidP="00B31D5A">
            <w:pPr>
              <w:jc w:val="right"/>
              <w:rPr>
                <w:sz w:val="22"/>
              </w:rPr>
            </w:pPr>
            <w:r w:rsidRPr="004E6412">
              <w:rPr>
                <w:sz w:val="22"/>
              </w:rPr>
              <w:t>118.089.849</w:t>
            </w:r>
          </w:p>
        </w:tc>
        <w:tc>
          <w:tcPr>
            <w:tcW w:w="527" w:type="pct"/>
            <w:vAlign w:val="center"/>
          </w:tcPr>
          <w:p w:rsidR="0050036B" w:rsidRPr="004E6412" w:rsidRDefault="0050036B" w:rsidP="00B31D5A">
            <w:pPr>
              <w:jc w:val="right"/>
              <w:rPr>
                <w:sz w:val="22"/>
              </w:rPr>
            </w:pPr>
            <w:r w:rsidRPr="004E6412">
              <w:rPr>
                <w:sz w:val="22"/>
              </w:rPr>
              <w:t>141.555.613</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2.209</w:t>
            </w:r>
          </w:p>
        </w:tc>
        <w:tc>
          <w:tcPr>
            <w:tcW w:w="430" w:type="pct"/>
            <w:vAlign w:val="center"/>
          </w:tcPr>
          <w:p w:rsidR="0050036B" w:rsidRPr="004E6412" w:rsidRDefault="0050036B" w:rsidP="00B31D5A">
            <w:pPr>
              <w:jc w:val="right"/>
              <w:rPr>
                <w:sz w:val="22"/>
              </w:rPr>
            </w:pPr>
            <w:r w:rsidRPr="004E6412">
              <w:rPr>
                <w:sz w:val="22"/>
              </w:rPr>
              <w:t>2.992</w:t>
            </w:r>
          </w:p>
        </w:tc>
        <w:tc>
          <w:tcPr>
            <w:tcW w:w="488" w:type="pct"/>
            <w:vAlign w:val="center"/>
          </w:tcPr>
          <w:p w:rsidR="0050036B" w:rsidRPr="004E6412" w:rsidRDefault="0050036B" w:rsidP="00B31D5A">
            <w:pPr>
              <w:jc w:val="right"/>
              <w:rPr>
                <w:sz w:val="22"/>
              </w:rPr>
            </w:pPr>
            <w:r w:rsidRPr="004E6412">
              <w:rPr>
                <w:sz w:val="22"/>
              </w:rPr>
              <w:t>6.098</w:t>
            </w:r>
          </w:p>
        </w:tc>
        <w:tc>
          <w:tcPr>
            <w:tcW w:w="488" w:type="pct"/>
            <w:vAlign w:val="center"/>
          </w:tcPr>
          <w:p w:rsidR="0050036B" w:rsidRPr="004E6412" w:rsidRDefault="0050036B" w:rsidP="00B31D5A">
            <w:pPr>
              <w:jc w:val="right"/>
              <w:rPr>
                <w:sz w:val="22"/>
              </w:rPr>
            </w:pPr>
            <w:r w:rsidRPr="004E6412">
              <w:rPr>
                <w:sz w:val="22"/>
              </w:rPr>
              <w:t>10.604</w:t>
            </w:r>
          </w:p>
        </w:tc>
        <w:tc>
          <w:tcPr>
            <w:tcW w:w="488" w:type="pct"/>
            <w:vAlign w:val="center"/>
          </w:tcPr>
          <w:p w:rsidR="0050036B" w:rsidRPr="004E6412" w:rsidRDefault="0050036B" w:rsidP="00B31D5A">
            <w:pPr>
              <w:jc w:val="right"/>
              <w:rPr>
                <w:sz w:val="22"/>
              </w:rPr>
            </w:pPr>
            <w:r w:rsidRPr="004E6412">
              <w:rPr>
                <w:sz w:val="22"/>
              </w:rPr>
              <w:t>16.005</w:t>
            </w:r>
          </w:p>
        </w:tc>
        <w:tc>
          <w:tcPr>
            <w:tcW w:w="488" w:type="pct"/>
            <w:vAlign w:val="center"/>
          </w:tcPr>
          <w:p w:rsidR="0050036B" w:rsidRPr="004E6412" w:rsidRDefault="0050036B" w:rsidP="00B31D5A">
            <w:pPr>
              <w:jc w:val="right"/>
              <w:rPr>
                <w:sz w:val="22"/>
              </w:rPr>
            </w:pPr>
            <w:r w:rsidRPr="004E6412">
              <w:rPr>
                <w:sz w:val="22"/>
              </w:rPr>
              <w:t>20.132</w:t>
            </w:r>
          </w:p>
        </w:tc>
        <w:tc>
          <w:tcPr>
            <w:tcW w:w="527" w:type="pct"/>
            <w:vAlign w:val="center"/>
          </w:tcPr>
          <w:p w:rsidR="0050036B" w:rsidRPr="004E6412" w:rsidRDefault="0050036B" w:rsidP="00B31D5A">
            <w:pPr>
              <w:jc w:val="right"/>
              <w:rPr>
                <w:sz w:val="22"/>
              </w:rPr>
            </w:pPr>
            <w:r w:rsidRPr="004E6412">
              <w:rPr>
                <w:sz w:val="22"/>
              </w:rPr>
              <w:t>27.579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203.463</w:t>
            </w:r>
          </w:p>
        </w:tc>
        <w:tc>
          <w:tcPr>
            <w:tcW w:w="430" w:type="pct"/>
            <w:vAlign w:val="center"/>
          </w:tcPr>
          <w:p w:rsidR="0050036B" w:rsidRPr="004E6412" w:rsidRDefault="0050036B" w:rsidP="00B31D5A">
            <w:pPr>
              <w:jc w:val="right"/>
              <w:rPr>
                <w:sz w:val="22"/>
              </w:rPr>
            </w:pPr>
            <w:r w:rsidRPr="004E6412">
              <w:rPr>
                <w:sz w:val="22"/>
              </w:rPr>
              <w:t>209.647</w:t>
            </w:r>
          </w:p>
        </w:tc>
        <w:tc>
          <w:tcPr>
            <w:tcW w:w="488" w:type="pct"/>
            <w:vAlign w:val="center"/>
          </w:tcPr>
          <w:p w:rsidR="0050036B" w:rsidRPr="004E6412" w:rsidRDefault="0050036B" w:rsidP="00B31D5A">
            <w:pPr>
              <w:jc w:val="right"/>
              <w:rPr>
                <w:sz w:val="22"/>
              </w:rPr>
            </w:pPr>
            <w:r w:rsidRPr="004E6412">
              <w:rPr>
                <w:sz w:val="22"/>
              </w:rPr>
              <w:t>221.819</w:t>
            </w:r>
          </w:p>
        </w:tc>
        <w:tc>
          <w:tcPr>
            <w:tcW w:w="488" w:type="pct"/>
            <w:vAlign w:val="center"/>
          </w:tcPr>
          <w:p w:rsidR="0050036B" w:rsidRPr="004E6412" w:rsidRDefault="0050036B" w:rsidP="00B31D5A">
            <w:pPr>
              <w:jc w:val="right"/>
              <w:rPr>
                <w:sz w:val="22"/>
              </w:rPr>
            </w:pPr>
            <w:r w:rsidRPr="004E6412">
              <w:rPr>
                <w:sz w:val="22"/>
              </w:rPr>
              <w:t>241.785</w:t>
            </w:r>
          </w:p>
        </w:tc>
        <w:tc>
          <w:tcPr>
            <w:tcW w:w="488" w:type="pct"/>
            <w:vAlign w:val="center"/>
          </w:tcPr>
          <w:p w:rsidR="0050036B" w:rsidRPr="004E6412" w:rsidRDefault="0050036B" w:rsidP="00B31D5A">
            <w:pPr>
              <w:jc w:val="right"/>
              <w:rPr>
                <w:sz w:val="22"/>
              </w:rPr>
            </w:pPr>
            <w:r w:rsidRPr="004E6412">
              <w:rPr>
                <w:sz w:val="22"/>
              </w:rPr>
              <w:t>269.227</w:t>
            </w:r>
          </w:p>
        </w:tc>
        <w:tc>
          <w:tcPr>
            <w:tcW w:w="488" w:type="pct"/>
            <w:vAlign w:val="center"/>
          </w:tcPr>
          <w:p w:rsidR="0050036B" w:rsidRPr="004E6412" w:rsidRDefault="0050036B" w:rsidP="00B31D5A">
            <w:pPr>
              <w:jc w:val="right"/>
              <w:rPr>
                <w:sz w:val="22"/>
              </w:rPr>
            </w:pPr>
            <w:r w:rsidRPr="004E6412">
              <w:rPr>
                <w:sz w:val="22"/>
              </w:rPr>
              <w:t>299.876</w:t>
            </w:r>
          </w:p>
        </w:tc>
        <w:tc>
          <w:tcPr>
            <w:tcW w:w="527" w:type="pct"/>
            <w:vAlign w:val="center"/>
          </w:tcPr>
          <w:p w:rsidR="0050036B" w:rsidRPr="004E6412" w:rsidRDefault="0050036B" w:rsidP="00B31D5A">
            <w:pPr>
              <w:jc w:val="right"/>
              <w:rPr>
                <w:sz w:val="22"/>
              </w:rPr>
            </w:pPr>
            <w:r w:rsidRPr="004E6412">
              <w:rPr>
                <w:sz w:val="22"/>
              </w:rPr>
              <w:t>335.938</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557.381.293</w:t>
            </w:r>
          </w:p>
        </w:tc>
        <w:tc>
          <w:tcPr>
            <w:tcW w:w="430" w:type="pct"/>
            <w:vAlign w:val="center"/>
          </w:tcPr>
          <w:p w:rsidR="0050036B" w:rsidRPr="004E6412" w:rsidRDefault="0050036B" w:rsidP="00B31D5A">
            <w:pPr>
              <w:jc w:val="right"/>
              <w:rPr>
                <w:sz w:val="22"/>
              </w:rPr>
            </w:pPr>
            <w:r w:rsidRPr="004E6412">
              <w:rPr>
                <w:sz w:val="22"/>
              </w:rPr>
              <w:t>967.001.363</w:t>
            </w:r>
          </w:p>
        </w:tc>
        <w:tc>
          <w:tcPr>
            <w:tcW w:w="488" w:type="pct"/>
            <w:vAlign w:val="center"/>
          </w:tcPr>
          <w:p w:rsidR="0050036B" w:rsidRPr="004E6412" w:rsidRDefault="0050036B" w:rsidP="00B31D5A">
            <w:pPr>
              <w:jc w:val="right"/>
              <w:rPr>
                <w:sz w:val="22"/>
              </w:rPr>
            </w:pPr>
            <w:r w:rsidRPr="004E6412">
              <w:rPr>
                <w:sz w:val="22"/>
              </w:rPr>
              <w:t>1.965.003.037</w:t>
            </w:r>
          </w:p>
        </w:tc>
        <w:tc>
          <w:tcPr>
            <w:tcW w:w="488" w:type="pct"/>
            <w:vAlign w:val="center"/>
          </w:tcPr>
          <w:p w:rsidR="0050036B" w:rsidRPr="004E6412" w:rsidRDefault="0050036B" w:rsidP="00B31D5A">
            <w:pPr>
              <w:jc w:val="right"/>
              <w:rPr>
                <w:sz w:val="22"/>
              </w:rPr>
            </w:pPr>
            <w:r w:rsidRPr="004E6412">
              <w:rPr>
                <w:sz w:val="22"/>
              </w:rPr>
              <w:t>3.639.049.829</w:t>
            </w:r>
          </w:p>
        </w:tc>
        <w:tc>
          <w:tcPr>
            <w:tcW w:w="488" w:type="pct"/>
            <w:vAlign w:val="center"/>
          </w:tcPr>
          <w:p w:rsidR="0050036B" w:rsidRPr="004E6412" w:rsidRDefault="0050036B" w:rsidP="00B31D5A">
            <w:pPr>
              <w:jc w:val="right"/>
              <w:rPr>
                <w:sz w:val="22"/>
              </w:rPr>
            </w:pPr>
            <w:r w:rsidRPr="004E6412">
              <w:rPr>
                <w:sz w:val="22"/>
              </w:rPr>
              <w:t>5.661.338.865</w:t>
            </w:r>
          </w:p>
        </w:tc>
        <w:tc>
          <w:tcPr>
            <w:tcW w:w="488" w:type="pct"/>
            <w:vAlign w:val="center"/>
          </w:tcPr>
          <w:p w:rsidR="0050036B" w:rsidRPr="004E6412" w:rsidRDefault="0050036B" w:rsidP="00B31D5A">
            <w:pPr>
              <w:jc w:val="right"/>
              <w:rPr>
                <w:sz w:val="22"/>
              </w:rPr>
            </w:pPr>
            <w:r w:rsidRPr="004E6412">
              <w:rPr>
                <w:sz w:val="22"/>
              </w:rPr>
              <w:t>7.599.452.669</w:t>
            </w:r>
          </w:p>
        </w:tc>
        <w:tc>
          <w:tcPr>
            <w:tcW w:w="527" w:type="pct"/>
            <w:vAlign w:val="center"/>
          </w:tcPr>
          <w:p w:rsidR="0050036B" w:rsidRPr="004E6412" w:rsidRDefault="0050036B" w:rsidP="00B31D5A">
            <w:pPr>
              <w:jc w:val="right"/>
              <w:rPr>
                <w:sz w:val="22"/>
              </w:rPr>
            </w:pPr>
            <w:r w:rsidRPr="004E6412">
              <w:rPr>
                <w:sz w:val="22"/>
              </w:rPr>
              <w:t>10.418.660.311</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334.585.834</w:t>
            </w:r>
          </w:p>
        </w:tc>
        <w:tc>
          <w:tcPr>
            <w:tcW w:w="430" w:type="pct"/>
            <w:vAlign w:val="center"/>
          </w:tcPr>
          <w:p w:rsidR="0050036B" w:rsidRPr="004E6412" w:rsidRDefault="0050036B" w:rsidP="00B31D5A">
            <w:pPr>
              <w:jc w:val="right"/>
              <w:rPr>
                <w:sz w:val="22"/>
              </w:rPr>
            </w:pPr>
            <w:r w:rsidRPr="004E6412">
              <w:rPr>
                <w:sz w:val="22"/>
              </w:rPr>
              <w:t>396.209.986</w:t>
            </w:r>
          </w:p>
        </w:tc>
        <w:tc>
          <w:tcPr>
            <w:tcW w:w="488" w:type="pct"/>
            <w:vAlign w:val="center"/>
          </w:tcPr>
          <w:p w:rsidR="0050036B" w:rsidRPr="004E6412" w:rsidRDefault="0050036B" w:rsidP="00B31D5A">
            <w:pPr>
              <w:jc w:val="right"/>
              <w:rPr>
                <w:sz w:val="22"/>
              </w:rPr>
            </w:pPr>
            <w:r w:rsidRPr="004E6412">
              <w:rPr>
                <w:sz w:val="22"/>
              </w:rPr>
              <w:t>741.483.095</w:t>
            </w:r>
          </w:p>
        </w:tc>
        <w:tc>
          <w:tcPr>
            <w:tcW w:w="488" w:type="pct"/>
            <w:vAlign w:val="center"/>
          </w:tcPr>
          <w:p w:rsidR="0050036B" w:rsidRPr="004E6412" w:rsidRDefault="0050036B" w:rsidP="00B31D5A">
            <w:pPr>
              <w:jc w:val="right"/>
              <w:rPr>
                <w:sz w:val="22"/>
              </w:rPr>
            </w:pPr>
            <w:r w:rsidRPr="004E6412">
              <w:rPr>
                <w:sz w:val="22"/>
              </w:rPr>
              <w:t>1.193.035.907</w:t>
            </w:r>
          </w:p>
        </w:tc>
        <w:tc>
          <w:tcPr>
            <w:tcW w:w="488" w:type="pct"/>
            <w:vAlign w:val="center"/>
          </w:tcPr>
          <w:p w:rsidR="0050036B" w:rsidRPr="004E6412" w:rsidRDefault="0050036B" w:rsidP="00B31D5A">
            <w:pPr>
              <w:jc w:val="right"/>
              <w:rPr>
                <w:sz w:val="22"/>
              </w:rPr>
            </w:pPr>
            <w:r w:rsidRPr="004E6412">
              <w:rPr>
                <w:sz w:val="22"/>
              </w:rPr>
              <w:t>1.617.133.174</w:t>
            </w:r>
          </w:p>
        </w:tc>
        <w:tc>
          <w:tcPr>
            <w:tcW w:w="488" w:type="pct"/>
            <w:vAlign w:val="center"/>
          </w:tcPr>
          <w:p w:rsidR="0050036B" w:rsidRPr="004E6412" w:rsidRDefault="0050036B" w:rsidP="00B31D5A">
            <w:pPr>
              <w:jc w:val="right"/>
              <w:rPr>
                <w:sz w:val="22"/>
              </w:rPr>
            </w:pPr>
            <w:r w:rsidRPr="004E6412">
              <w:rPr>
                <w:sz w:val="22"/>
              </w:rPr>
              <w:t>1.742.754.431</w:t>
            </w:r>
          </w:p>
        </w:tc>
        <w:tc>
          <w:tcPr>
            <w:tcW w:w="527" w:type="pct"/>
            <w:vAlign w:val="center"/>
          </w:tcPr>
          <w:p w:rsidR="0050036B" w:rsidRPr="004E6412" w:rsidRDefault="0050036B" w:rsidP="00B31D5A">
            <w:pPr>
              <w:jc w:val="right"/>
              <w:rPr>
                <w:sz w:val="22"/>
              </w:rPr>
            </w:pPr>
            <w:r w:rsidRPr="004E6412">
              <w:rPr>
                <w:sz w:val="22"/>
              </w:rPr>
              <w:t>2.200.306.192</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30"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663</w:t>
            </w:r>
          </w:p>
        </w:tc>
        <w:tc>
          <w:tcPr>
            <w:tcW w:w="430" w:type="pct"/>
            <w:vAlign w:val="center"/>
          </w:tcPr>
          <w:p w:rsidR="0050036B" w:rsidRPr="004E6412" w:rsidRDefault="0050036B" w:rsidP="00B31D5A">
            <w:pPr>
              <w:jc w:val="right"/>
              <w:rPr>
                <w:sz w:val="22"/>
              </w:rPr>
            </w:pPr>
            <w:r w:rsidRPr="004E6412">
              <w:rPr>
                <w:sz w:val="22"/>
              </w:rPr>
              <w:t>898</w:t>
            </w:r>
          </w:p>
        </w:tc>
        <w:tc>
          <w:tcPr>
            <w:tcW w:w="488" w:type="pct"/>
            <w:vAlign w:val="center"/>
          </w:tcPr>
          <w:p w:rsidR="0050036B" w:rsidRPr="004E6412" w:rsidRDefault="0050036B" w:rsidP="00B31D5A">
            <w:pPr>
              <w:jc w:val="right"/>
              <w:rPr>
                <w:sz w:val="22"/>
              </w:rPr>
            </w:pPr>
            <w:r w:rsidRPr="004E6412">
              <w:rPr>
                <w:sz w:val="22"/>
              </w:rPr>
              <w:t>1.829</w:t>
            </w:r>
          </w:p>
        </w:tc>
        <w:tc>
          <w:tcPr>
            <w:tcW w:w="488" w:type="pct"/>
            <w:vAlign w:val="center"/>
          </w:tcPr>
          <w:p w:rsidR="0050036B" w:rsidRPr="004E6412" w:rsidRDefault="0050036B" w:rsidP="00B31D5A">
            <w:pPr>
              <w:jc w:val="right"/>
              <w:rPr>
                <w:sz w:val="22"/>
              </w:rPr>
            </w:pPr>
            <w:r w:rsidRPr="004E6412">
              <w:rPr>
                <w:sz w:val="22"/>
              </w:rPr>
              <w:t>3.181</w:t>
            </w:r>
          </w:p>
        </w:tc>
        <w:tc>
          <w:tcPr>
            <w:tcW w:w="488" w:type="pct"/>
            <w:vAlign w:val="center"/>
          </w:tcPr>
          <w:p w:rsidR="0050036B" w:rsidRPr="004E6412" w:rsidRDefault="0050036B" w:rsidP="00B31D5A">
            <w:pPr>
              <w:jc w:val="right"/>
              <w:rPr>
                <w:sz w:val="22"/>
              </w:rPr>
            </w:pPr>
            <w:r w:rsidRPr="004E6412">
              <w:rPr>
                <w:sz w:val="22"/>
              </w:rPr>
              <w:t>4.801</w:t>
            </w:r>
          </w:p>
        </w:tc>
        <w:tc>
          <w:tcPr>
            <w:tcW w:w="488" w:type="pct"/>
            <w:vAlign w:val="center"/>
          </w:tcPr>
          <w:p w:rsidR="0050036B" w:rsidRPr="004E6412" w:rsidRDefault="0050036B" w:rsidP="00B31D5A">
            <w:pPr>
              <w:jc w:val="right"/>
              <w:rPr>
                <w:sz w:val="22"/>
              </w:rPr>
            </w:pPr>
            <w:r w:rsidRPr="004E6412">
              <w:rPr>
                <w:sz w:val="22"/>
              </w:rPr>
              <w:t>6.040</w:t>
            </w:r>
          </w:p>
        </w:tc>
        <w:tc>
          <w:tcPr>
            <w:tcW w:w="527" w:type="pct"/>
            <w:vAlign w:val="center"/>
          </w:tcPr>
          <w:p w:rsidR="0050036B" w:rsidRPr="004E6412" w:rsidRDefault="0050036B" w:rsidP="00B31D5A">
            <w:pPr>
              <w:jc w:val="right"/>
              <w:rPr>
                <w:sz w:val="22"/>
              </w:rPr>
            </w:pPr>
            <w:r w:rsidRPr="004E6412">
              <w:rPr>
                <w:sz w:val="22"/>
              </w:rPr>
              <w:t>8.274</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2, nazvan „realni scenarij“, prikazuje godišnje kretanje odabranih pokazatelja u razdoblju 2014.-2020.</w:t>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Heading3"/>
      </w:pPr>
      <w:bookmarkStart w:id="1138" w:name="_Toc378069165"/>
      <w:r w:rsidRPr="004E6412">
        <w:lastRenderedPageBreak/>
        <w:t>Scenarij 3 - Projekcija kretanja odabranih pokazatelja industrije (C+F+J) u razdoblju 2014.-2020.</w:t>
      </w:r>
      <w:bookmarkEnd w:id="1138"/>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9" w:name="_Toc377635322"/>
      <w:r w:rsidRPr="007D0CFD">
        <w:rPr>
          <w:rStyle w:val="IntenseEmphasis"/>
          <w:b/>
          <w:bCs w:val="0"/>
          <w:iCs w:val="0"/>
          <w:color w:val="548DD4" w:themeColor="text2" w:themeTint="99"/>
          <w:sz w:val="20"/>
        </w:rPr>
        <w:t>Tablica 121. Scenarij 3</w:t>
      </w:r>
      <w:bookmarkEnd w:id="1139"/>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520"/>
        <w:gridCol w:w="1214"/>
        <w:gridCol w:w="1379"/>
        <w:gridCol w:w="1379"/>
        <w:gridCol w:w="1379"/>
        <w:gridCol w:w="1379"/>
        <w:gridCol w:w="1379"/>
        <w:gridCol w:w="1489"/>
      </w:tblGrid>
      <w:tr w:rsidR="0050036B" w:rsidRPr="004E6412" w:rsidTr="00B31D5A">
        <w:tc>
          <w:tcPr>
            <w:tcW w:w="1601"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88"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83,711</w:t>
            </w:r>
          </w:p>
        </w:tc>
        <w:tc>
          <w:tcPr>
            <w:tcW w:w="488" w:type="pct"/>
            <w:vAlign w:val="center"/>
          </w:tcPr>
          <w:p w:rsidR="0050036B" w:rsidRPr="004E6412" w:rsidRDefault="0050036B" w:rsidP="00B31D5A">
            <w:pPr>
              <w:jc w:val="right"/>
              <w:rPr>
                <w:color w:val="000000"/>
                <w:sz w:val="22"/>
              </w:rPr>
            </w:pPr>
            <w:r w:rsidRPr="004E6412">
              <w:rPr>
                <w:color w:val="000000"/>
                <w:sz w:val="22"/>
              </w:rPr>
              <w:t>84,715</w:t>
            </w:r>
          </w:p>
        </w:tc>
        <w:tc>
          <w:tcPr>
            <w:tcW w:w="488" w:type="pct"/>
            <w:vAlign w:val="center"/>
          </w:tcPr>
          <w:p w:rsidR="0050036B" w:rsidRPr="004E6412" w:rsidRDefault="0050036B" w:rsidP="00B31D5A">
            <w:pPr>
              <w:jc w:val="right"/>
              <w:rPr>
                <w:color w:val="000000"/>
                <w:sz w:val="22"/>
              </w:rPr>
            </w:pPr>
            <w:r w:rsidRPr="004E6412">
              <w:rPr>
                <w:color w:val="000000"/>
                <w:sz w:val="22"/>
              </w:rPr>
              <w:t>86,748</w:t>
            </w:r>
          </w:p>
        </w:tc>
        <w:tc>
          <w:tcPr>
            <w:tcW w:w="488" w:type="pct"/>
            <w:vAlign w:val="center"/>
          </w:tcPr>
          <w:p w:rsidR="0050036B" w:rsidRPr="004E6412" w:rsidRDefault="0050036B" w:rsidP="00B31D5A">
            <w:pPr>
              <w:jc w:val="right"/>
              <w:rPr>
                <w:color w:val="000000"/>
                <w:sz w:val="22"/>
              </w:rPr>
            </w:pPr>
            <w:r w:rsidRPr="004E6412">
              <w:rPr>
                <w:color w:val="000000"/>
                <w:sz w:val="22"/>
              </w:rPr>
              <w:t>89,871</w:t>
            </w:r>
          </w:p>
        </w:tc>
        <w:tc>
          <w:tcPr>
            <w:tcW w:w="488" w:type="pct"/>
            <w:vAlign w:val="center"/>
          </w:tcPr>
          <w:p w:rsidR="0050036B" w:rsidRPr="004E6412" w:rsidRDefault="0050036B" w:rsidP="00B31D5A">
            <w:pPr>
              <w:jc w:val="right"/>
              <w:rPr>
                <w:color w:val="000000"/>
                <w:sz w:val="22"/>
              </w:rPr>
            </w:pPr>
            <w:r w:rsidRPr="004E6412">
              <w:rPr>
                <w:color w:val="000000"/>
                <w:sz w:val="22"/>
              </w:rPr>
              <w:t>94,185</w:t>
            </w:r>
          </w:p>
        </w:tc>
        <w:tc>
          <w:tcPr>
            <w:tcW w:w="488" w:type="pct"/>
            <w:vAlign w:val="center"/>
          </w:tcPr>
          <w:p w:rsidR="0050036B" w:rsidRPr="004E6412" w:rsidRDefault="0050036B" w:rsidP="00B31D5A">
            <w:pPr>
              <w:jc w:val="right"/>
              <w:rPr>
                <w:color w:val="000000"/>
                <w:sz w:val="22"/>
              </w:rPr>
            </w:pPr>
            <w:r w:rsidRPr="004E6412">
              <w:rPr>
                <w:color w:val="000000"/>
                <w:sz w:val="22"/>
              </w:rPr>
              <w:t>98,706</w:t>
            </w:r>
          </w:p>
        </w:tc>
        <w:tc>
          <w:tcPr>
            <w:tcW w:w="527" w:type="pct"/>
            <w:vAlign w:val="center"/>
          </w:tcPr>
          <w:p w:rsidR="0050036B" w:rsidRPr="004E6412" w:rsidRDefault="0050036B" w:rsidP="00B31D5A">
            <w:pPr>
              <w:jc w:val="right"/>
              <w:rPr>
                <w:color w:val="000000"/>
                <w:sz w:val="22"/>
              </w:rPr>
            </w:pPr>
            <w:r w:rsidRPr="004E6412">
              <w:rPr>
                <w:color w:val="000000"/>
                <w:sz w:val="22"/>
              </w:rPr>
              <w:t>104,628</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2,4%</w:t>
            </w:r>
          </w:p>
        </w:tc>
        <w:tc>
          <w:tcPr>
            <w:tcW w:w="488" w:type="pct"/>
            <w:vAlign w:val="center"/>
          </w:tcPr>
          <w:p w:rsidR="0050036B" w:rsidRPr="004E6412" w:rsidRDefault="0050036B" w:rsidP="00B31D5A">
            <w:pPr>
              <w:jc w:val="right"/>
              <w:rPr>
                <w:sz w:val="22"/>
              </w:rPr>
            </w:pPr>
            <w:r w:rsidRPr="004E6412">
              <w:rPr>
                <w:sz w:val="22"/>
              </w:rPr>
              <w:t>3,6%</w:t>
            </w:r>
          </w:p>
        </w:tc>
        <w:tc>
          <w:tcPr>
            <w:tcW w:w="488" w:type="pct"/>
            <w:vAlign w:val="center"/>
          </w:tcPr>
          <w:p w:rsidR="0050036B" w:rsidRPr="004E6412" w:rsidRDefault="0050036B" w:rsidP="00B31D5A">
            <w:pPr>
              <w:jc w:val="right"/>
              <w:rPr>
                <w:sz w:val="22"/>
              </w:rPr>
            </w:pPr>
            <w:r w:rsidRPr="004E6412">
              <w:rPr>
                <w:sz w:val="22"/>
              </w:rPr>
              <w:t>4,8%</w:t>
            </w:r>
          </w:p>
        </w:tc>
        <w:tc>
          <w:tcPr>
            <w:tcW w:w="488" w:type="pct"/>
            <w:vAlign w:val="center"/>
          </w:tcPr>
          <w:p w:rsidR="0050036B" w:rsidRPr="004E6412" w:rsidRDefault="0050036B" w:rsidP="00B31D5A">
            <w:pPr>
              <w:jc w:val="right"/>
              <w:rPr>
                <w:sz w:val="22"/>
              </w:rPr>
            </w:pPr>
            <w:r w:rsidRPr="004E6412">
              <w:rPr>
                <w:sz w:val="22"/>
              </w:rPr>
              <w:t>4,8%</w:t>
            </w:r>
          </w:p>
        </w:tc>
        <w:tc>
          <w:tcPr>
            <w:tcW w:w="527" w:type="pct"/>
            <w:vAlign w:val="center"/>
          </w:tcPr>
          <w:p w:rsidR="0050036B" w:rsidRPr="004E6412" w:rsidRDefault="0050036B" w:rsidP="00B31D5A">
            <w:pPr>
              <w:jc w:val="right"/>
              <w:rPr>
                <w:sz w:val="22"/>
              </w:rPr>
            </w:pPr>
            <w:r w:rsidRPr="004E6412">
              <w:rPr>
                <w:sz w:val="22"/>
              </w:rPr>
              <w:t>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82.515.726</w:t>
            </w:r>
          </w:p>
        </w:tc>
        <w:tc>
          <w:tcPr>
            <w:tcW w:w="488" w:type="pct"/>
            <w:vAlign w:val="center"/>
          </w:tcPr>
          <w:p w:rsidR="0050036B" w:rsidRPr="004E6412" w:rsidRDefault="0050036B" w:rsidP="00B31D5A">
            <w:pPr>
              <w:jc w:val="right"/>
              <w:rPr>
                <w:sz w:val="22"/>
              </w:rPr>
            </w:pPr>
            <w:r w:rsidRPr="004E6412">
              <w:rPr>
                <w:sz w:val="22"/>
              </w:rPr>
              <w:t>85.776.645</w:t>
            </w:r>
          </w:p>
        </w:tc>
        <w:tc>
          <w:tcPr>
            <w:tcW w:w="488" w:type="pct"/>
            <w:vAlign w:val="center"/>
          </w:tcPr>
          <w:p w:rsidR="0050036B" w:rsidRPr="004E6412" w:rsidRDefault="0050036B" w:rsidP="00B31D5A">
            <w:pPr>
              <w:jc w:val="right"/>
              <w:rPr>
                <w:sz w:val="22"/>
              </w:rPr>
            </w:pPr>
            <w:r w:rsidRPr="004E6412">
              <w:rPr>
                <w:sz w:val="22"/>
              </w:rPr>
              <w:t>92.379.707</w:t>
            </w:r>
          </w:p>
        </w:tc>
        <w:tc>
          <w:tcPr>
            <w:tcW w:w="488" w:type="pct"/>
            <w:vAlign w:val="center"/>
          </w:tcPr>
          <w:p w:rsidR="0050036B" w:rsidRPr="004E6412" w:rsidRDefault="0050036B" w:rsidP="00B31D5A">
            <w:pPr>
              <w:jc w:val="right"/>
              <w:rPr>
                <w:sz w:val="22"/>
              </w:rPr>
            </w:pPr>
            <w:r w:rsidRPr="004E6412">
              <w:rPr>
                <w:sz w:val="22"/>
              </w:rPr>
              <w:t>103.771.722</w:t>
            </w:r>
          </w:p>
        </w:tc>
        <w:tc>
          <w:tcPr>
            <w:tcW w:w="488" w:type="pct"/>
            <w:vAlign w:val="center"/>
          </w:tcPr>
          <w:p w:rsidR="0050036B" w:rsidRPr="004E6412" w:rsidRDefault="0050036B" w:rsidP="00B31D5A">
            <w:pPr>
              <w:jc w:val="right"/>
              <w:rPr>
                <w:sz w:val="22"/>
              </w:rPr>
            </w:pPr>
            <w:r w:rsidRPr="004E6412">
              <w:rPr>
                <w:sz w:val="22"/>
              </w:rPr>
              <w:t>120.720.540</w:t>
            </w:r>
          </w:p>
        </w:tc>
        <w:tc>
          <w:tcPr>
            <w:tcW w:w="488" w:type="pct"/>
            <w:vAlign w:val="center"/>
          </w:tcPr>
          <w:p w:rsidR="0050036B" w:rsidRPr="004E6412" w:rsidRDefault="0050036B" w:rsidP="00B31D5A">
            <w:pPr>
              <w:jc w:val="right"/>
              <w:rPr>
                <w:sz w:val="22"/>
              </w:rPr>
            </w:pPr>
            <w:r w:rsidRPr="004E6412">
              <w:rPr>
                <w:sz w:val="22"/>
              </w:rPr>
              <w:t>141.707.818</w:t>
            </w:r>
          </w:p>
        </w:tc>
        <w:tc>
          <w:tcPr>
            <w:tcW w:w="527" w:type="pct"/>
            <w:vAlign w:val="center"/>
          </w:tcPr>
          <w:p w:rsidR="0050036B" w:rsidRPr="004E6412" w:rsidRDefault="0050036B" w:rsidP="00B31D5A">
            <w:pPr>
              <w:jc w:val="right"/>
              <w:rPr>
                <w:sz w:val="22"/>
              </w:rPr>
            </w:pPr>
            <w:r w:rsidRPr="004E6412">
              <w:rPr>
                <w:sz w:val="22"/>
              </w:rPr>
              <w:t>169.866.736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2.650</w:t>
            </w:r>
          </w:p>
        </w:tc>
        <w:tc>
          <w:tcPr>
            <w:tcW w:w="488" w:type="pct"/>
            <w:vAlign w:val="center"/>
          </w:tcPr>
          <w:p w:rsidR="0050036B" w:rsidRPr="004E6412" w:rsidRDefault="0050036B" w:rsidP="00B31D5A">
            <w:pPr>
              <w:jc w:val="right"/>
              <w:rPr>
                <w:sz w:val="22"/>
              </w:rPr>
            </w:pPr>
            <w:r w:rsidRPr="004E6412">
              <w:rPr>
                <w:sz w:val="22"/>
              </w:rPr>
              <w:t>3.591</w:t>
            </w:r>
          </w:p>
        </w:tc>
        <w:tc>
          <w:tcPr>
            <w:tcW w:w="488" w:type="pct"/>
            <w:vAlign w:val="center"/>
          </w:tcPr>
          <w:p w:rsidR="0050036B" w:rsidRPr="004E6412" w:rsidRDefault="0050036B" w:rsidP="00B31D5A">
            <w:pPr>
              <w:jc w:val="right"/>
              <w:rPr>
                <w:sz w:val="22"/>
              </w:rPr>
            </w:pPr>
            <w:r w:rsidRPr="004E6412">
              <w:rPr>
                <w:sz w:val="22"/>
              </w:rPr>
              <w:t>7.318</w:t>
            </w:r>
          </w:p>
        </w:tc>
        <w:tc>
          <w:tcPr>
            <w:tcW w:w="488" w:type="pct"/>
            <w:vAlign w:val="center"/>
          </w:tcPr>
          <w:p w:rsidR="0050036B" w:rsidRPr="004E6412" w:rsidRDefault="0050036B" w:rsidP="00B31D5A">
            <w:pPr>
              <w:jc w:val="right"/>
              <w:rPr>
                <w:sz w:val="22"/>
              </w:rPr>
            </w:pPr>
            <w:r w:rsidRPr="004E6412">
              <w:rPr>
                <w:sz w:val="22"/>
              </w:rPr>
              <w:t>12.725</w:t>
            </w:r>
          </w:p>
        </w:tc>
        <w:tc>
          <w:tcPr>
            <w:tcW w:w="488" w:type="pct"/>
            <w:vAlign w:val="center"/>
          </w:tcPr>
          <w:p w:rsidR="0050036B" w:rsidRPr="004E6412" w:rsidRDefault="0050036B" w:rsidP="00B31D5A">
            <w:pPr>
              <w:jc w:val="right"/>
              <w:rPr>
                <w:sz w:val="22"/>
              </w:rPr>
            </w:pPr>
            <w:r w:rsidRPr="004E6412">
              <w:rPr>
                <w:sz w:val="22"/>
              </w:rPr>
              <w:t>19.206</w:t>
            </w:r>
          </w:p>
        </w:tc>
        <w:tc>
          <w:tcPr>
            <w:tcW w:w="488" w:type="pct"/>
            <w:vAlign w:val="center"/>
          </w:tcPr>
          <w:p w:rsidR="0050036B" w:rsidRPr="004E6412" w:rsidRDefault="0050036B" w:rsidP="00B31D5A">
            <w:pPr>
              <w:jc w:val="right"/>
              <w:rPr>
                <w:sz w:val="22"/>
              </w:rPr>
            </w:pPr>
            <w:r w:rsidRPr="004E6412">
              <w:rPr>
                <w:sz w:val="22"/>
              </w:rPr>
              <w:t>24.158</w:t>
            </w:r>
          </w:p>
        </w:tc>
        <w:tc>
          <w:tcPr>
            <w:tcW w:w="527" w:type="pct"/>
            <w:vAlign w:val="center"/>
          </w:tcPr>
          <w:p w:rsidR="0050036B" w:rsidRPr="004E6412" w:rsidRDefault="0050036B" w:rsidP="00B31D5A">
            <w:pPr>
              <w:jc w:val="right"/>
              <w:rPr>
                <w:sz w:val="22"/>
              </w:rPr>
            </w:pPr>
            <w:r w:rsidRPr="004E6412">
              <w:rPr>
                <w:sz w:val="22"/>
              </w:rPr>
              <w:t>33.094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244.156</w:t>
            </w:r>
          </w:p>
        </w:tc>
        <w:tc>
          <w:tcPr>
            <w:tcW w:w="488" w:type="pct"/>
            <w:vAlign w:val="center"/>
          </w:tcPr>
          <w:p w:rsidR="0050036B" w:rsidRPr="004E6412" w:rsidRDefault="0050036B" w:rsidP="00B31D5A">
            <w:pPr>
              <w:jc w:val="right"/>
              <w:rPr>
                <w:sz w:val="22"/>
              </w:rPr>
            </w:pPr>
            <w:r w:rsidRPr="004E6412">
              <w:rPr>
                <w:sz w:val="22"/>
              </w:rPr>
              <w:t>251.577</w:t>
            </w:r>
          </w:p>
        </w:tc>
        <w:tc>
          <w:tcPr>
            <w:tcW w:w="488" w:type="pct"/>
            <w:vAlign w:val="center"/>
          </w:tcPr>
          <w:p w:rsidR="0050036B" w:rsidRPr="004E6412" w:rsidRDefault="0050036B" w:rsidP="00B31D5A">
            <w:pPr>
              <w:jc w:val="right"/>
              <w:rPr>
                <w:sz w:val="22"/>
              </w:rPr>
            </w:pPr>
            <w:r w:rsidRPr="004E6412">
              <w:rPr>
                <w:sz w:val="22"/>
              </w:rPr>
              <w:t>266.182</w:t>
            </w:r>
          </w:p>
        </w:tc>
        <w:tc>
          <w:tcPr>
            <w:tcW w:w="488" w:type="pct"/>
            <w:vAlign w:val="center"/>
          </w:tcPr>
          <w:p w:rsidR="0050036B" w:rsidRPr="004E6412" w:rsidRDefault="0050036B" w:rsidP="00B31D5A">
            <w:pPr>
              <w:jc w:val="right"/>
              <w:rPr>
                <w:sz w:val="22"/>
              </w:rPr>
            </w:pPr>
            <w:r w:rsidRPr="004E6412">
              <w:rPr>
                <w:sz w:val="22"/>
              </w:rPr>
              <w:t>290.142</w:t>
            </w:r>
          </w:p>
        </w:tc>
        <w:tc>
          <w:tcPr>
            <w:tcW w:w="488" w:type="pct"/>
            <w:vAlign w:val="center"/>
          </w:tcPr>
          <w:p w:rsidR="0050036B" w:rsidRPr="004E6412" w:rsidRDefault="0050036B" w:rsidP="00B31D5A">
            <w:pPr>
              <w:jc w:val="right"/>
              <w:rPr>
                <w:sz w:val="22"/>
              </w:rPr>
            </w:pPr>
            <w:r w:rsidRPr="004E6412">
              <w:rPr>
                <w:sz w:val="22"/>
              </w:rPr>
              <w:t>323.073</w:t>
            </w:r>
          </w:p>
        </w:tc>
        <w:tc>
          <w:tcPr>
            <w:tcW w:w="488" w:type="pct"/>
            <w:vAlign w:val="center"/>
          </w:tcPr>
          <w:p w:rsidR="0050036B" w:rsidRPr="004E6412" w:rsidRDefault="0050036B" w:rsidP="00B31D5A">
            <w:pPr>
              <w:jc w:val="right"/>
              <w:rPr>
                <w:sz w:val="22"/>
              </w:rPr>
            </w:pPr>
            <w:r w:rsidRPr="004E6412">
              <w:rPr>
                <w:sz w:val="22"/>
              </w:rPr>
              <w:t>359.851</w:t>
            </w:r>
          </w:p>
        </w:tc>
        <w:tc>
          <w:tcPr>
            <w:tcW w:w="527" w:type="pct"/>
            <w:vAlign w:val="center"/>
          </w:tcPr>
          <w:p w:rsidR="0050036B" w:rsidRPr="004E6412" w:rsidRDefault="0050036B" w:rsidP="00B31D5A">
            <w:pPr>
              <w:jc w:val="right"/>
              <w:rPr>
                <w:sz w:val="22"/>
              </w:rPr>
            </w:pPr>
            <w:r w:rsidRPr="004E6412">
              <w:rPr>
                <w:sz w:val="22"/>
              </w:rPr>
              <w:t>403.126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668.857.552</w:t>
            </w:r>
          </w:p>
        </w:tc>
        <w:tc>
          <w:tcPr>
            <w:tcW w:w="488" w:type="pct"/>
            <w:vAlign w:val="center"/>
          </w:tcPr>
          <w:p w:rsidR="0050036B" w:rsidRPr="004E6412" w:rsidRDefault="0050036B" w:rsidP="00B31D5A">
            <w:pPr>
              <w:jc w:val="right"/>
              <w:rPr>
                <w:sz w:val="22"/>
              </w:rPr>
            </w:pPr>
            <w:r w:rsidRPr="004E6412">
              <w:rPr>
                <w:sz w:val="22"/>
              </w:rPr>
              <w:t>1.160.401.636</w:t>
            </w:r>
          </w:p>
        </w:tc>
        <w:tc>
          <w:tcPr>
            <w:tcW w:w="488" w:type="pct"/>
            <w:vAlign w:val="center"/>
          </w:tcPr>
          <w:p w:rsidR="0050036B" w:rsidRPr="004E6412" w:rsidRDefault="0050036B" w:rsidP="00B31D5A">
            <w:pPr>
              <w:jc w:val="right"/>
              <w:rPr>
                <w:sz w:val="22"/>
              </w:rPr>
            </w:pPr>
            <w:r w:rsidRPr="004E6412">
              <w:rPr>
                <w:sz w:val="22"/>
              </w:rPr>
              <w:t>2.358.003.644</w:t>
            </w:r>
          </w:p>
        </w:tc>
        <w:tc>
          <w:tcPr>
            <w:tcW w:w="488" w:type="pct"/>
            <w:vAlign w:val="center"/>
          </w:tcPr>
          <w:p w:rsidR="0050036B" w:rsidRPr="004E6412" w:rsidRDefault="0050036B" w:rsidP="00B31D5A">
            <w:pPr>
              <w:jc w:val="right"/>
              <w:rPr>
                <w:sz w:val="22"/>
              </w:rPr>
            </w:pPr>
            <w:r w:rsidRPr="004E6412">
              <w:rPr>
                <w:sz w:val="22"/>
              </w:rPr>
              <w:t>4.366.859.795</w:t>
            </w:r>
          </w:p>
        </w:tc>
        <w:tc>
          <w:tcPr>
            <w:tcW w:w="488" w:type="pct"/>
            <w:vAlign w:val="center"/>
          </w:tcPr>
          <w:p w:rsidR="0050036B" w:rsidRPr="004E6412" w:rsidRDefault="0050036B" w:rsidP="00B31D5A">
            <w:pPr>
              <w:jc w:val="right"/>
              <w:rPr>
                <w:sz w:val="22"/>
              </w:rPr>
            </w:pPr>
            <w:r w:rsidRPr="004E6412">
              <w:rPr>
                <w:sz w:val="22"/>
              </w:rPr>
              <w:t>6.793.606.638</w:t>
            </w:r>
          </w:p>
        </w:tc>
        <w:tc>
          <w:tcPr>
            <w:tcW w:w="488" w:type="pct"/>
            <w:vAlign w:val="center"/>
          </w:tcPr>
          <w:p w:rsidR="0050036B" w:rsidRPr="004E6412" w:rsidRDefault="0050036B" w:rsidP="00B31D5A">
            <w:pPr>
              <w:jc w:val="right"/>
              <w:rPr>
                <w:sz w:val="22"/>
              </w:rPr>
            </w:pPr>
            <w:r w:rsidRPr="004E6412">
              <w:rPr>
                <w:sz w:val="22"/>
              </w:rPr>
              <w:t>9.119.343.203</w:t>
            </w:r>
          </w:p>
        </w:tc>
        <w:tc>
          <w:tcPr>
            <w:tcW w:w="527" w:type="pct"/>
            <w:vAlign w:val="center"/>
          </w:tcPr>
          <w:p w:rsidR="0050036B" w:rsidRPr="004E6412" w:rsidRDefault="0050036B" w:rsidP="00B31D5A">
            <w:pPr>
              <w:jc w:val="right"/>
              <w:rPr>
                <w:sz w:val="22"/>
              </w:rPr>
            </w:pPr>
            <w:r w:rsidRPr="004E6412">
              <w:rPr>
                <w:sz w:val="22"/>
              </w:rPr>
              <w:t>12.502.392.373</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401.503.000</w:t>
            </w:r>
          </w:p>
        </w:tc>
        <w:tc>
          <w:tcPr>
            <w:tcW w:w="488" w:type="pct"/>
            <w:vAlign w:val="center"/>
          </w:tcPr>
          <w:p w:rsidR="0050036B" w:rsidRPr="004E6412" w:rsidRDefault="0050036B" w:rsidP="00B31D5A">
            <w:pPr>
              <w:jc w:val="right"/>
              <w:rPr>
                <w:sz w:val="22"/>
              </w:rPr>
            </w:pPr>
            <w:r w:rsidRPr="004E6412">
              <w:rPr>
                <w:sz w:val="22"/>
              </w:rPr>
              <w:t>475.451.983</w:t>
            </w:r>
          </w:p>
        </w:tc>
        <w:tc>
          <w:tcPr>
            <w:tcW w:w="488" w:type="pct"/>
            <w:vAlign w:val="center"/>
          </w:tcPr>
          <w:p w:rsidR="0050036B" w:rsidRPr="004E6412" w:rsidRDefault="0050036B" w:rsidP="00B31D5A">
            <w:pPr>
              <w:jc w:val="right"/>
              <w:rPr>
                <w:sz w:val="22"/>
              </w:rPr>
            </w:pPr>
            <w:r w:rsidRPr="004E6412">
              <w:rPr>
                <w:sz w:val="22"/>
              </w:rPr>
              <w:t>889.779.714</w:t>
            </w:r>
          </w:p>
        </w:tc>
        <w:tc>
          <w:tcPr>
            <w:tcW w:w="488" w:type="pct"/>
            <w:vAlign w:val="center"/>
          </w:tcPr>
          <w:p w:rsidR="0050036B" w:rsidRPr="004E6412" w:rsidRDefault="0050036B" w:rsidP="00B31D5A">
            <w:pPr>
              <w:jc w:val="right"/>
              <w:rPr>
                <w:sz w:val="22"/>
              </w:rPr>
            </w:pPr>
            <w:r w:rsidRPr="004E6412">
              <w:rPr>
                <w:sz w:val="22"/>
              </w:rPr>
              <w:t>1.431.643.088</w:t>
            </w:r>
          </w:p>
        </w:tc>
        <w:tc>
          <w:tcPr>
            <w:tcW w:w="488" w:type="pct"/>
            <w:vAlign w:val="center"/>
          </w:tcPr>
          <w:p w:rsidR="0050036B" w:rsidRPr="004E6412" w:rsidRDefault="0050036B" w:rsidP="00B31D5A">
            <w:pPr>
              <w:jc w:val="right"/>
              <w:rPr>
                <w:sz w:val="22"/>
              </w:rPr>
            </w:pPr>
            <w:r w:rsidRPr="004E6412">
              <w:rPr>
                <w:sz w:val="22"/>
              </w:rPr>
              <w:t>1.940.559.808</w:t>
            </w:r>
          </w:p>
        </w:tc>
        <w:tc>
          <w:tcPr>
            <w:tcW w:w="488" w:type="pct"/>
            <w:vAlign w:val="center"/>
          </w:tcPr>
          <w:p w:rsidR="0050036B" w:rsidRPr="004E6412" w:rsidRDefault="0050036B" w:rsidP="00B31D5A">
            <w:pPr>
              <w:jc w:val="right"/>
              <w:rPr>
                <w:sz w:val="22"/>
              </w:rPr>
            </w:pPr>
            <w:r w:rsidRPr="004E6412">
              <w:rPr>
                <w:sz w:val="22"/>
              </w:rPr>
              <w:t>2.091.305.317</w:t>
            </w:r>
          </w:p>
        </w:tc>
        <w:tc>
          <w:tcPr>
            <w:tcW w:w="527" w:type="pct"/>
            <w:vAlign w:val="center"/>
          </w:tcPr>
          <w:p w:rsidR="0050036B" w:rsidRPr="004E6412" w:rsidRDefault="0050036B" w:rsidP="00B31D5A">
            <w:pPr>
              <w:jc w:val="right"/>
              <w:rPr>
                <w:sz w:val="22"/>
              </w:rPr>
            </w:pPr>
            <w:r w:rsidRPr="004E6412">
              <w:rPr>
                <w:sz w:val="22"/>
              </w:rPr>
              <w:t>2.640.367.430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88"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795</w:t>
            </w:r>
          </w:p>
        </w:tc>
        <w:tc>
          <w:tcPr>
            <w:tcW w:w="488" w:type="pct"/>
            <w:vAlign w:val="center"/>
          </w:tcPr>
          <w:p w:rsidR="0050036B" w:rsidRPr="004E6412" w:rsidRDefault="0050036B" w:rsidP="00B31D5A">
            <w:pPr>
              <w:jc w:val="right"/>
              <w:rPr>
                <w:sz w:val="22"/>
              </w:rPr>
            </w:pPr>
            <w:r w:rsidRPr="004E6412">
              <w:rPr>
                <w:sz w:val="22"/>
              </w:rPr>
              <w:t>1.077</w:t>
            </w:r>
          </w:p>
        </w:tc>
        <w:tc>
          <w:tcPr>
            <w:tcW w:w="488" w:type="pct"/>
            <w:vAlign w:val="center"/>
          </w:tcPr>
          <w:p w:rsidR="0050036B" w:rsidRPr="004E6412" w:rsidRDefault="0050036B" w:rsidP="00B31D5A">
            <w:pPr>
              <w:jc w:val="right"/>
              <w:rPr>
                <w:sz w:val="22"/>
              </w:rPr>
            </w:pPr>
            <w:r w:rsidRPr="004E6412">
              <w:rPr>
                <w:sz w:val="22"/>
              </w:rPr>
              <w:t>2.195</w:t>
            </w:r>
          </w:p>
        </w:tc>
        <w:tc>
          <w:tcPr>
            <w:tcW w:w="488" w:type="pct"/>
            <w:vAlign w:val="center"/>
          </w:tcPr>
          <w:p w:rsidR="0050036B" w:rsidRPr="004E6412" w:rsidRDefault="0050036B" w:rsidP="00B31D5A">
            <w:pPr>
              <w:jc w:val="right"/>
              <w:rPr>
                <w:sz w:val="22"/>
              </w:rPr>
            </w:pPr>
            <w:r w:rsidRPr="004E6412">
              <w:rPr>
                <w:sz w:val="22"/>
              </w:rPr>
              <w:t>3.818</w:t>
            </w:r>
          </w:p>
        </w:tc>
        <w:tc>
          <w:tcPr>
            <w:tcW w:w="488" w:type="pct"/>
            <w:vAlign w:val="center"/>
          </w:tcPr>
          <w:p w:rsidR="0050036B" w:rsidRPr="004E6412" w:rsidRDefault="0050036B" w:rsidP="00B31D5A">
            <w:pPr>
              <w:jc w:val="right"/>
              <w:rPr>
                <w:sz w:val="22"/>
              </w:rPr>
            </w:pPr>
            <w:r w:rsidRPr="004E6412">
              <w:rPr>
                <w:sz w:val="22"/>
              </w:rPr>
              <w:t>5.762</w:t>
            </w:r>
          </w:p>
        </w:tc>
        <w:tc>
          <w:tcPr>
            <w:tcW w:w="488" w:type="pct"/>
            <w:vAlign w:val="center"/>
          </w:tcPr>
          <w:p w:rsidR="0050036B" w:rsidRPr="004E6412" w:rsidRDefault="0050036B" w:rsidP="00B31D5A">
            <w:pPr>
              <w:jc w:val="right"/>
              <w:rPr>
                <w:sz w:val="22"/>
              </w:rPr>
            </w:pPr>
            <w:r w:rsidRPr="004E6412">
              <w:rPr>
                <w:sz w:val="22"/>
              </w:rPr>
              <w:t>7.247</w:t>
            </w:r>
          </w:p>
        </w:tc>
        <w:tc>
          <w:tcPr>
            <w:tcW w:w="527" w:type="pct"/>
            <w:vAlign w:val="center"/>
          </w:tcPr>
          <w:p w:rsidR="0050036B" w:rsidRPr="004E6412" w:rsidRDefault="0050036B" w:rsidP="00B31D5A">
            <w:pPr>
              <w:jc w:val="right"/>
              <w:rPr>
                <w:sz w:val="22"/>
              </w:rPr>
            </w:pPr>
            <w:r w:rsidRPr="004E6412">
              <w:rPr>
                <w:sz w:val="22"/>
              </w:rPr>
              <w:t>9.928</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3, nazvan „optimistični scenarij“, prikazuje godišnje kretanje odabranih pokazatelja u razdoblju 2014.-2020. i ovisi o uspješnosti provođenja procesa implementacije strategije.</w:t>
      </w:r>
    </w:p>
    <w:p w:rsidR="0050036B" w:rsidRPr="004E6412" w:rsidRDefault="0050036B" w:rsidP="0050036B"/>
    <w:p w:rsidR="0050036B" w:rsidRPr="004E6412" w:rsidRDefault="0050036B" w:rsidP="0050036B">
      <w:pPr>
        <w:rPr>
          <w:b/>
        </w:r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Subtitle"/>
        <w:rPr>
          <w:lang w:val="hr-HR"/>
        </w:rPr>
      </w:pPr>
      <w:bookmarkStart w:id="1140" w:name="_Toc377635352"/>
      <w:r w:rsidRPr="004E6412">
        <w:rPr>
          <w:lang w:val="hr-HR"/>
        </w:rPr>
        <w:lastRenderedPageBreak/>
        <w:t>Slika 28. Obujam industrijske proizvodnje (referentna godina 2008.) - Scenarij 1</w:t>
      </w:r>
      <w:bookmarkEnd w:id="1140"/>
    </w:p>
    <w:p w:rsidR="0050036B" w:rsidRPr="004E6412" w:rsidRDefault="0050036B" w:rsidP="0050036B">
      <w:pPr>
        <w:rPr>
          <w:b/>
        </w:rPr>
      </w:pPr>
      <w:r w:rsidRPr="004E6412">
        <w:rPr>
          <w:b/>
          <w:noProof/>
          <w:lang w:eastAsia="hr-HR"/>
        </w:rPr>
        <w:drawing>
          <wp:inline distT="0" distB="0" distL="0" distR="0" wp14:anchorId="08DBD001" wp14:editId="73C7721E">
            <wp:extent cx="4516374" cy="2236877"/>
            <wp:effectExtent l="19050" t="0" r="17526"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1" w:name="_Toc377635353"/>
      <w:r w:rsidRPr="004E6412">
        <w:rPr>
          <w:lang w:val="hr-HR"/>
        </w:rPr>
        <w:t>Slika 29. Stope promjene obujma industrijske proizvodnje u odnosu na prethodnu godinu, Scenarij 1</w:t>
      </w:r>
      <w:bookmarkEnd w:id="1141"/>
    </w:p>
    <w:p w:rsidR="0050036B" w:rsidRPr="004E6412" w:rsidRDefault="0050036B" w:rsidP="0050036B">
      <w:pPr>
        <w:rPr>
          <w:b/>
        </w:rPr>
      </w:pPr>
      <w:r w:rsidRPr="004E6412">
        <w:rPr>
          <w:b/>
          <w:noProof/>
          <w:lang w:eastAsia="hr-HR"/>
        </w:rPr>
        <w:drawing>
          <wp:inline distT="0" distB="0" distL="0" distR="0" wp14:anchorId="4571D07D" wp14:editId="3A581690">
            <wp:extent cx="4610862" cy="2333549"/>
            <wp:effectExtent l="19050" t="0" r="18288"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0036B" w:rsidRPr="004E6412" w:rsidRDefault="0050036B" w:rsidP="0050036B">
      <w:pPr>
        <w:pStyle w:val="Subtitle"/>
        <w:rPr>
          <w:lang w:val="hr-HR"/>
        </w:rPr>
      </w:pPr>
      <w:bookmarkStart w:id="1142" w:name="_Toc377635354"/>
      <w:r w:rsidRPr="004E6412">
        <w:rPr>
          <w:lang w:val="hr-HR"/>
        </w:rPr>
        <w:lastRenderedPageBreak/>
        <w:t>Slika 30. Obujam industrijske proizvodnje (referentna godina 2008.), Scenarij 2</w:t>
      </w:r>
      <w:bookmarkEnd w:id="1142"/>
    </w:p>
    <w:p w:rsidR="0050036B" w:rsidRPr="004E6412" w:rsidRDefault="0050036B" w:rsidP="0050036B">
      <w:pPr>
        <w:rPr>
          <w:b/>
        </w:rPr>
      </w:pPr>
      <w:r w:rsidRPr="004E6412">
        <w:rPr>
          <w:b/>
          <w:noProof/>
          <w:lang w:eastAsia="hr-HR"/>
        </w:rPr>
        <w:drawing>
          <wp:inline distT="0" distB="0" distL="0" distR="0" wp14:anchorId="60667345" wp14:editId="5560F98E">
            <wp:extent cx="4246703" cy="2238451"/>
            <wp:effectExtent l="19050" t="0" r="20497" b="9449"/>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3" w:name="_Toc377635355"/>
      <w:r w:rsidRPr="004E6412">
        <w:rPr>
          <w:lang w:val="hr-HR"/>
        </w:rPr>
        <w:t>Slika 31. Stope rasta obujma industrijske proizvodnje u odnosu na prethodnu godinu, Scenarij 2</w:t>
      </w:r>
      <w:bookmarkEnd w:id="1143"/>
    </w:p>
    <w:p w:rsidR="0050036B" w:rsidRPr="004E6412" w:rsidRDefault="0050036B" w:rsidP="0050036B">
      <w:pPr>
        <w:rPr>
          <w:b/>
        </w:rPr>
      </w:pPr>
      <w:r w:rsidRPr="004E6412">
        <w:rPr>
          <w:b/>
          <w:noProof/>
          <w:lang w:eastAsia="hr-HR"/>
        </w:rPr>
        <w:drawing>
          <wp:inline distT="0" distB="0" distL="0" distR="0" wp14:anchorId="04528E1D" wp14:editId="6E22939F">
            <wp:extent cx="4326179" cy="2326234"/>
            <wp:effectExtent l="19050" t="0" r="17221"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4" w:name="_Toc377635356"/>
      <w:r w:rsidRPr="004E6412">
        <w:rPr>
          <w:lang w:val="hr-HR"/>
        </w:rPr>
        <w:lastRenderedPageBreak/>
        <w:t>Slika 32. Obujam industrijske proizvodnje (referentna godina 2008.) - Scenarij 3</w:t>
      </w:r>
      <w:bookmarkEnd w:id="1144"/>
    </w:p>
    <w:p w:rsidR="0050036B" w:rsidRPr="004E6412" w:rsidRDefault="0050036B" w:rsidP="0050036B">
      <w:pPr>
        <w:rPr>
          <w:b/>
        </w:rPr>
      </w:pPr>
      <w:r w:rsidRPr="004E6412">
        <w:rPr>
          <w:b/>
          <w:noProof/>
          <w:lang w:eastAsia="hr-HR"/>
        </w:rPr>
        <w:drawing>
          <wp:inline distT="0" distB="0" distL="0" distR="0" wp14:anchorId="3F863798" wp14:editId="1B0F8D39">
            <wp:extent cx="4362754" cy="2670048"/>
            <wp:effectExtent l="19050" t="0" r="18746"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Subtitle"/>
        <w:rPr>
          <w:lang w:val="hr-HR"/>
        </w:rPr>
      </w:pPr>
      <w:bookmarkStart w:id="1145" w:name="_Toc377635357"/>
      <w:r w:rsidRPr="004E6412">
        <w:rPr>
          <w:lang w:val="hr-HR"/>
        </w:rPr>
        <w:lastRenderedPageBreak/>
        <w:t>Slika 33. Stope rasta obujma industrijske proizvodnje u odnosu na prethodnu godinu - Scenarij 3</w:t>
      </w:r>
      <w:bookmarkEnd w:id="1145"/>
    </w:p>
    <w:p w:rsidR="0050036B" w:rsidRPr="004E6412" w:rsidRDefault="0050036B" w:rsidP="0050036B">
      <w:pPr>
        <w:rPr>
          <w:b/>
        </w:rPr>
      </w:pPr>
      <w:r w:rsidRPr="004E6412">
        <w:rPr>
          <w:b/>
          <w:noProof/>
          <w:lang w:eastAsia="hr-HR"/>
        </w:rPr>
        <w:drawing>
          <wp:inline distT="0" distB="0" distL="0" distR="0" wp14:anchorId="3EA996BA" wp14:editId="0B08414E">
            <wp:extent cx="4218382" cy="2670048"/>
            <wp:effectExtent l="19050" t="0" r="10718"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sectPr w:rsidR="0050036B" w:rsidRPr="004E6412" w:rsidSect="00B31D5A">
          <w:pgSz w:w="16838" w:h="11906" w:orient="landscape"/>
          <w:pgMar w:top="1417" w:right="1417" w:bottom="1417" w:left="1417" w:header="708" w:footer="708" w:gutter="0"/>
          <w:cols w:num="2" w:space="708"/>
          <w:docGrid w:linePitch="360"/>
        </w:sectPr>
      </w:pPr>
    </w:p>
    <w:p w:rsidR="0050036B" w:rsidRPr="004E6412" w:rsidRDefault="0050036B" w:rsidP="0050036B">
      <w:pPr>
        <w:pStyle w:val="Heading3"/>
      </w:pPr>
      <w:bookmarkStart w:id="1146" w:name="_Toc378069166"/>
      <w:r w:rsidRPr="004E6412">
        <w:lastRenderedPageBreak/>
        <w:t>Projekcija kretanja odabranih pokazatelja za skupinu „pokretači“ u razdoblju 2014.-2020. za Scenarij 2</w:t>
      </w:r>
      <w:bookmarkEnd w:id="1146"/>
    </w:p>
    <w:p w:rsidR="0050036B" w:rsidRPr="007D0CFD" w:rsidRDefault="0050036B" w:rsidP="007D0CFD">
      <w:pPr>
        <w:pStyle w:val="Heading5"/>
        <w:rPr>
          <w:rStyle w:val="IntenseEmphasis"/>
          <w:b/>
          <w:bCs w:val="0"/>
          <w:iCs w:val="0"/>
          <w:color w:val="548DD4" w:themeColor="text2" w:themeTint="99"/>
          <w:sz w:val="20"/>
        </w:rPr>
      </w:pPr>
      <w:bookmarkStart w:id="1147" w:name="_Toc377635323"/>
      <w:r w:rsidRPr="007D0CFD">
        <w:rPr>
          <w:rStyle w:val="IntenseEmphasis"/>
          <w:b/>
          <w:bCs w:val="0"/>
          <w:iCs w:val="0"/>
          <w:color w:val="548DD4" w:themeColor="text2" w:themeTint="99"/>
          <w:sz w:val="20"/>
        </w:rPr>
        <w:t>Tablica 122. Scenarij 2 – „pokretači“</w:t>
      </w:r>
      <w:bookmarkEnd w:id="1147"/>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6"/>
        <w:gridCol w:w="1214"/>
        <w:gridCol w:w="1214"/>
        <w:gridCol w:w="1379"/>
        <w:gridCol w:w="1379"/>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2,35%</w:t>
            </w:r>
          </w:p>
        </w:tc>
        <w:tc>
          <w:tcPr>
            <w:tcW w:w="430" w:type="pct"/>
            <w:vAlign w:val="center"/>
          </w:tcPr>
          <w:p w:rsidR="0050036B" w:rsidRPr="004E6412" w:rsidRDefault="0050036B" w:rsidP="00B31D5A">
            <w:pPr>
              <w:jc w:val="right"/>
              <w:rPr>
                <w:sz w:val="22"/>
              </w:rPr>
            </w:pPr>
            <w:r w:rsidRPr="004E6412">
              <w:rPr>
                <w:sz w:val="22"/>
              </w:rPr>
              <w:t>2,35%</w:t>
            </w:r>
          </w:p>
        </w:tc>
        <w:tc>
          <w:tcPr>
            <w:tcW w:w="488" w:type="pct"/>
            <w:vAlign w:val="center"/>
          </w:tcPr>
          <w:p w:rsidR="0050036B" w:rsidRPr="004E6412" w:rsidRDefault="0050036B" w:rsidP="00B31D5A">
            <w:pPr>
              <w:jc w:val="right"/>
              <w:rPr>
                <w:sz w:val="22"/>
              </w:rPr>
            </w:pPr>
            <w:r w:rsidRPr="004E6412">
              <w:rPr>
                <w:sz w:val="22"/>
              </w:rPr>
              <w:t>4,69%</w:t>
            </w:r>
          </w:p>
        </w:tc>
        <w:tc>
          <w:tcPr>
            <w:tcW w:w="488" w:type="pct"/>
            <w:vAlign w:val="center"/>
          </w:tcPr>
          <w:p w:rsidR="0050036B" w:rsidRPr="004E6412" w:rsidRDefault="0050036B" w:rsidP="00B31D5A">
            <w:pPr>
              <w:jc w:val="right"/>
              <w:rPr>
                <w:sz w:val="22"/>
              </w:rPr>
            </w:pPr>
            <w:r w:rsidRPr="004E6412">
              <w:rPr>
                <w:sz w:val="22"/>
              </w:rPr>
              <w:t>7,04%</w:t>
            </w:r>
          </w:p>
        </w:tc>
        <w:tc>
          <w:tcPr>
            <w:tcW w:w="488" w:type="pct"/>
            <w:vAlign w:val="center"/>
          </w:tcPr>
          <w:p w:rsidR="0050036B" w:rsidRPr="004E6412" w:rsidRDefault="0050036B" w:rsidP="00B31D5A">
            <w:pPr>
              <w:jc w:val="right"/>
              <w:rPr>
                <w:sz w:val="22"/>
              </w:rPr>
            </w:pPr>
            <w:r w:rsidRPr="004E6412">
              <w:rPr>
                <w:sz w:val="22"/>
              </w:rPr>
              <w:t>9,39%</w:t>
            </w:r>
          </w:p>
        </w:tc>
        <w:tc>
          <w:tcPr>
            <w:tcW w:w="488" w:type="pct"/>
            <w:vAlign w:val="center"/>
          </w:tcPr>
          <w:p w:rsidR="0050036B" w:rsidRPr="004E6412" w:rsidRDefault="0050036B" w:rsidP="00B31D5A">
            <w:pPr>
              <w:jc w:val="right"/>
              <w:rPr>
                <w:sz w:val="22"/>
              </w:rPr>
            </w:pPr>
            <w:r w:rsidRPr="004E6412">
              <w:rPr>
                <w:sz w:val="22"/>
              </w:rPr>
              <w:t>9,39%</w:t>
            </w:r>
          </w:p>
        </w:tc>
        <w:tc>
          <w:tcPr>
            <w:tcW w:w="527" w:type="pct"/>
            <w:vAlign w:val="center"/>
          </w:tcPr>
          <w:p w:rsidR="0050036B" w:rsidRPr="004E6412" w:rsidRDefault="0050036B" w:rsidP="00B31D5A">
            <w:pPr>
              <w:jc w:val="right"/>
              <w:rPr>
                <w:sz w:val="22"/>
              </w:rPr>
            </w:pPr>
            <w:r w:rsidRPr="004E6412">
              <w:rPr>
                <w:sz w:val="22"/>
              </w:rPr>
              <w:t>11,73%</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color w:val="000000"/>
                <w:sz w:val="22"/>
              </w:rPr>
            </w:pPr>
            <w:r w:rsidRPr="004E6412">
              <w:rPr>
                <w:color w:val="000000"/>
                <w:sz w:val="22"/>
              </w:rPr>
              <w:t>18.176.764</w:t>
            </w:r>
          </w:p>
        </w:tc>
        <w:tc>
          <w:tcPr>
            <w:tcW w:w="430" w:type="pct"/>
            <w:vAlign w:val="center"/>
          </w:tcPr>
          <w:p w:rsidR="0050036B" w:rsidRPr="004E6412" w:rsidRDefault="0050036B" w:rsidP="00B31D5A">
            <w:pPr>
              <w:jc w:val="right"/>
              <w:rPr>
                <w:color w:val="000000"/>
                <w:sz w:val="22"/>
              </w:rPr>
            </w:pPr>
            <w:r w:rsidRPr="004E6412">
              <w:rPr>
                <w:color w:val="000000"/>
                <w:sz w:val="22"/>
              </w:rPr>
              <w:t>19.257.340</w:t>
            </w:r>
          </w:p>
        </w:tc>
        <w:tc>
          <w:tcPr>
            <w:tcW w:w="488" w:type="pct"/>
            <w:vAlign w:val="center"/>
          </w:tcPr>
          <w:p w:rsidR="0050036B" w:rsidRPr="004E6412" w:rsidRDefault="0050036B" w:rsidP="00B31D5A">
            <w:pPr>
              <w:jc w:val="right"/>
              <w:rPr>
                <w:color w:val="000000"/>
                <w:sz w:val="22"/>
              </w:rPr>
            </w:pPr>
            <w:r w:rsidRPr="004E6412">
              <w:rPr>
                <w:color w:val="000000"/>
                <w:sz w:val="22"/>
              </w:rPr>
              <w:t>21.383.988</w:t>
            </w:r>
          </w:p>
        </w:tc>
        <w:tc>
          <w:tcPr>
            <w:tcW w:w="488" w:type="pct"/>
            <w:vAlign w:val="center"/>
          </w:tcPr>
          <w:p w:rsidR="0050036B" w:rsidRPr="004E6412" w:rsidRDefault="0050036B" w:rsidP="00B31D5A">
            <w:pPr>
              <w:jc w:val="right"/>
              <w:rPr>
                <w:color w:val="000000"/>
                <w:sz w:val="22"/>
              </w:rPr>
            </w:pPr>
            <w:r w:rsidRPr="004E6412">
              <w:rPr>
                <w:color w:val="000000"/>
                <w:sz w:val="22"/>
              </w:rPr>
              <w:t>24.872.649</w:t>
            </w:r>
          </w:p>
        </w:tc>
        <w:tc>
          <w:tcPr>
            <w:tcW w:w="488" w:type="pct"/>
            <w:vAlign w:val="center"/>
          </w:tcPr>
          <w:p w:rsidR="0050036B" w:rsidRPr="004E6412" w:rsidRDefault="0050036B" w:rsidP="00B31D5A">
            <w:pPr>
              <w:jc w:val="right"/>
              <w:rPr>
                <w:color w:val="000000"/>
                <w:sz w:val="22"/>
              </w:rPr>
            </w:pPr>
            <w:r w:rsidRPr="004E6412">
              <w:rPr>
                <w:color w:val="000000"/>
                <w:sz w:val="22"/>
              </w:rPr>
              <w:t>29.667.639</w:t>
            </w:r>
          </w:p>
        </w:tc>
        <w:tc>
          <w:tcPr>
            <w:tcW w:w="488" w:type="pct"/>
            <w:vAlign w:val="center"/>
          </w:tcPr>
          <w:p w:rsidR="0050036B" w:rsidRPr="004E6412" w:rsidRDefault="0050036B" w:rsidP="00B31D5A">
            <w:pPr>
              <w:jc w:val="right"/>
              <w:rPr>
                <w:color w:val="000000"/>
                <w:sz w:val="22"/>
              </w:rPr>
            </w:pPr>
            <w:r w:rsidRPr="004E6412">
              <w:rPr>
                <w:color w:val="000000"/>
                <w:sz w:val="22"/>
              </w:rPr>
              <w:t>35.022.835</w:t>
            </w:r>
          </w:p>
        </w:tc>
        <w:tc>
          <w:tcPr>
            <w:tcW w:w="527" w:type="pct"/>
            <w:vAlign w:val="center"/>
          </w:tcPr>
          <w:p w:rsidR="0050036B" w:rsidRPr="004E6412" w:rsidRDefault="0050036B" w:rsidP="00B31D5A">
            <w:pPr>
              <w:jc w:val="right"/>
              <w:rPr>
                <w:color w:val="000000"/>
                <w:sz w:val="22"/>
              </w:rPr>
            </w:pPr>
            <w:r w:rsidRPr="004E6412">
              <w:rPr>
                <w:color w:val="000000"/>
                <w:sz w:val="22"/>
              </w:rPr>
              <w:t>41.323.865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2.093</w:t>
            </w:r>
          </w:p>
        </w:tc>
        <w:tc>
          <w:tcPr>
            <w:tcW w:w="430" w:type="pct"/>
            <w:vAlign w:val="center"/>
          </w:tcPr>
          <w:p w:rsidR="0050036B" w:rsidRPr="004E6412" w:rsidRDefault="0050036B" w:rsidP="00B31D5A">
            <w:pPr>
              <w:jc w:val="right"/>
              <w:rPr>
                <w:sz w:val="22"/>
              </w:rPr>
            </w:pPr>
            <w:r w:rsidRPr="004E6412">
              <w:rPr>
                <w:sz w:val="22"/>
              </w:rPr>
              <w:t>2.142</w:t>
            </w:r>
          </w:p>
        </w:tc>
        <w:tc>
          <w:tcPr>
            <w:tcW w:w="488" w:type="pct"/>
            <w:vAlign w:val="center"/>
          </w:tcPr>
          <w:p w:rsidR="0050036B" w:rsidRPr="004E6412" w:rsidRDefault="0050036B" w:rsidP="00B31D5A">
            <w:pPr>
              <w:jc w:val="right"/>
              <w:rPr>
                <w:sz w:val="22"/>
              </w:rPr>
            </w:pPr>
            <w:r w:rsidRPr="004E6412">
              <w:rPr>
                <w:sz w:val="22"/>
              </w:rPr>
              <w:t>4.385</w:t>
            </w:r>
          </w:p>
        </w:tc>
        <w:tc>
          <w:tcPr>
            <w:tcW w:w="488" w:type="pct"/>
            <w:vAlign w:val="center"/>
          </w:tcPr>
          <w:p w:rsidR="0050036B" w:rsidRPr="004E6412" w:rsidRDefault="0050036B" w:rsidP="00B31D5A">
            <w:pPr>
              <w:jc w:val="right"/>
              <w:rPr>
                <w:sz w:val="22"/>
              </w:rPr>
            </w:pPr>
            <w:r w:rsidRPr="004E6412">
              <w:rPr>
                <w:sz w:val="22"/>
              </w:rPr>
              <w:t>6.886</w:t>
            </w:r>
          </w:p>
        </w:tc>
        <w:tc>
          <w:tcPr>
            <w:tcW w:w="488" w:type="pct"/>
            <w:vAlign w:val="center"/>
          </w:tcPr>
          <w:p w:rsidR="0050036B" w:rsidRPr="004E6412" w:rsidRDefault="0050036B" w:rsidP="00B31D5A">
            <w:pPr>
              <w:jc w:val="right"/>
              <w:rPr>
                <w:sz w:val="22"/>
              </w:rPr>
            </w:pPr>
            <w:r w:rsidRPr="004E6412">
              <w:rPr>
                <w:sz w:val="22"/>
              </w:rPr>
              <w:t>9.828</w:t>
            </w:r>
          </w:p>
        </w:tc>
        <w:tc>
          <w:tcPr>
            <w:tcW w:w="488" w:type="pct"/>
            <w:vAlign w:val="center"/>
          </w:tcPr>
          <w:p w:rsidR="0050036B" w:rsidRPr="004E6412" w:rsidRDefault="0050036B" w:rsidP="00B31D5A">
            <w:pPr>
              <w:jc w:val="right"/>
              <w:rPr>
                <w:sz w:val="22"/>
              </w:rPr>
            </w:pPr>
            <w:r w:rsidRPr="004E6412">
              <w:rPr>
                <w:sz w:val="22"/>
              </w:rPr>
              <w:t>10.751</w:t>
            </w:r>
          </w:p>
        </w:tc>
        <w:tc>
          <w:tcPr>
            <w:tcW w:w="527" w:type="pct"/>
            <w:vAlign w:val="center"/>
          </w:tcPr>
          <w:p w:rsidR="0050036B" w:rsidRPr="004E6412" w:rsidRDefault="0050036B" w:rsidP="00B31D5A">
            <w:pPr>
              <w:jc w:val="right"/>
              <w:rPr>
                <w:sz w:val="22"/>
              </w:rPr>
            </w:pPr>
            <w:r w:rsidRPr="004E6412">
              <w:rPr>
                <w:sz w:val="22"/>
              </w:rPr>
              <w:t>14.700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187.906</w:t>
            </w:r>
          </w:p>
        </w:tc>
        <w:tc>
          <w:tcPr>
            <w:tcW w:w="430" w:type="pct"/>
            <w:vAlign w:val="center"/>
          </w:tcPr>
          <w:p w:rsidR="0050036B" w:rsidRPr="004E6412" w:rsidRDefault="0050036B" w:rsidP="00B31D5A">
            <w:pPr>
              <w:jc w:val="right"/>
              <w:rPr>
                <w:color w:val="000000"/>
                <w:sz w:val="22"/>
              </w:rPr>
            </w:pPr>
            <w:r w:rsidRPr="004E6412">
              <w:rPr>
                <w:color w:val="000000"/>
                <w:sz w:val="22"/>
              </w:rPr>
              <w:t>198.976</w:t>
            </w:r>
          </w:p>
        </w:tc>
        <w:tc>
          <w:tcPr>
            <w:tcW w:w="488" w:type="pct"/>
            <w:vAlign w:val="center"/>
          </w:tcPr>
          <w:p w:rsidR="0050036B" w:rsidRPr="004E6412" w:rsidRDefault="0050036B" w:rsidP="00B31D5A">
            <w:pPr>
              <w:jc w:val="right"/>
              <w:rPr>
                <w:color w:val="000000"/>
                <w:sz w:val="22"/>
              </w:rPr>
            </w:pPr>
            <w:r w:rsidRPr="004E6412">
              <w:rPr>
                <w:color w:val="000000"/>
                <w:sz w:val="22"/>
              </w:rPr>
              <w:t>215.945</w:t>
            </w:r>
          </w:p>
        </w:tc>
        <w:tc>
          <w:tcPr>
            <w:tcW w:w="488" w:type="pct"/>
            <w:vAlign w:val="center"/>
          </w:tcPr>
          <w:p w:rsidR="0050036B" w:rsidRPr="004E6412" w:rsidRDefault="0050036B" w:rsidP="00B31D5A">
            <w:pPr>
              <w:jc w:val="right"/>
              <w:rPr>
                <w:color w:val="000000"/>
                <w:sz w:val="22"/>
              </w:rPr>
            </w:pPr>
            <w:r w:rsidRPr="004E6412">
              <w:rPr>
                <w:color w:val="000000"/>
                <w:sz w:val="22"/>
              </w:rPr>
              <w:t>244.987</w:t>
            </w:r>
          </w:p>
        </w:tc>
        <w:tc>
          <w:tcPr>
            <w:tcW w:w="488" w:type="pct"/>
            <w:vAlign w:val="center"/>
          </w:tcPr>
          <w:p w:rsidR="0050036B" w:rsidRPr="004E6412" w:rsidRDefault="0050036B" w:rsidP="00B31D5A">
            <w:pPr>
              <w:jc w:val="right"/>
              <w:rPr>
                <w:color w:val="000000"/>
                <w:sz w:val="22"/>
              </w:rPr>
            </w:pPr>
            <w:r w:rsidRPr="004E6412">
              <w:rPr>
                <w:color w:val="000000"/>
                <w:sz w:val="22"/>
              </w:rPr>
              <w:t>283.987</w:t>
            </w:r>
          </w:p>
        </w:tc>
        <w:tc>
          <w:tcPr>
            <w:tcW w:w="488" w:type="pct"/>
            <w:vAlign w:val="center"/>
          </w:tcPr>
          <w:p w:rsidR="0050036B" w:rsidRPr="004E6412" w:rsidRDefault="0050036B" w:rsidP="00B31D5A">
            <w:pPr>
              <w:jc w:val="right"/>
              <w:rPr>
                <w:color w:val="000000"/>
                <w:sz w:val="22"/>
              </w:rPr>
            </w:pPr>
            <w:r w:rsidRPr="004E6412">
              <w:rPr>
                <w:color w:val="000000"/>
                <w:sz w:val="22"/>
              </w:rPr>
              <w:t>332.313</w:t>
            </w:r>
          </w:p>
        </w:tc>
        <w:tc>
          <w:tcPr>
            <w:tcW w:w="527" w:type="pct"/>
            <w:vAlign w:val="center"/>
          </w:tcPr>
          <w:p w:rsidR="0050036B" w:rsidRPr="004E6412" w:rsidRDefault="0050036B" w:rsidP="00B31D5A">
            <w:pPr>
              <w:jc w:val="right"/>
              <w:rPr>
                <w:color w:val="000000"/>
                <w:sz w:val="22"/>
              </w:rPr>
            </w:pPr>
            <w:r w:rsidRPr="004E6412">
              <w:rPr>
                <w:color w:val="000000"/>
                <w:sz w:val="22"/>
              </w:rPr>
              <w:t>377.938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528.148.515</w:t>
            </w:r>
          </w:p>
        </w:tc>
        <w:tc>
          <w:tcPr>
            <w:tcW w:w="430" w:type="pct"/>
            <w:vAlign w:val="center"/>
          </w:tcPr>
          <w:p w:rsidR="0050036B" w:rsidRPr="004E6412" w:rsidRDefault="0050036B" w:rsidP="00B31D5A">
            <w:pPr>
              <w:jc w:val="right"/>
              <w:rPr>
                <w:sz w:val="22"/>
              </w:rPr>
            </w:pPr>
            <w:r w:rsidRPr="004E6412">
              <w:rPr>
                <w:sz w:val="22"/>
              </w:rPr>
              <w:t>540.544.047</w:t>
            </w:r>
          </w:p>
        </w:tc>
        <w:tc>
          <w:tcPr>
            <w:tcW w:w="488" w:type="pct"/>
            <w:vAlign w:val="center"/>
          </w:tcPr>
          <w:p w:rsidR="0050036B" w:rsidRPr="004E6412" w:rsidRDefault="0050036B" w:rsidP="00B31D5A">
            <w:pPr>
              <w:jc w:val="right"/>
              <w:rPr>
                <w:sz w:val="22"/>
              </w:rPr>
            </w:pPr>
            <w:r w:rsidRPr="004E6412">
              <w:rPr>
                <w:sz w:val="22"/>
              </w:rPr>
              <w:t>1.106.461.000</w:t>
            </w:r>
          </w:p>
        </w:tc>
        <w:tc>
          <w:tcPr>
            <w:tcW w:w="488" w:type="pct"/>
            <w:vAlign w:val="center"/>
          </w:tcPr>
          <w:p w:rsidR="0050036B" w:rsidRPr="004E6412" w:rsidRDefault="0050036B" w:rsidP="00B31D5A">
            <w:pPr>
              <w:jc w:val="right"/>
              <w:rPr>
                <w:sz w:val="22"/>
              </w:rPr>
            </w:pPr>
            <w:r w:rsidRPr="004E6412">
              <w:rPr>
                <w:sz w:val="22"/>
              </w:rPr>
              <w:t>1.737.596.704</w:t>
            </w:r>
          </w:p>
        </w:tc>
        <w:tc>
          <w:tcPr>
            <w:tcW w:w="488" w:type="pct"/>
            <w:vAlign w:val="center"/>
          </w:tcPr>
          <w:p w:rsidR="0050036B" w:rsidRPr="004E6412" w:rsidRDefault="0050036B" w:rsidP="00B31D5A">
            <w:pPr>
              <w:jc w:val="right"/>
              <w:rPr>
                <w:sz w:val="22"/>
              </w:rPr>
            </w:pPr>
            <w:r w:rsidRPr="004E6412">
              <w:rPr>
                <w:sz w:val="22"/>
              </w:rPr>
              <w:t>2.479.919.689</w:t>
            </w:r>
          </w:p>
        </w:tc>
        <w:tc>
          <w:tcPr>
            <w:tcW w:w="488" w:type="pct"/>
            <w:vAlign w:val="center"/>
          </w:tcPr>
          <w:p w:rsidR="0050036B" w:rsidRPr="004E6412" w:rsidRDefault="0050036B" w:rsidP="00B31D5A">
            <w:pPr>
              <w:jc w:val="right"/>
              <w:rPr>
                <w:sz w:val="22"/>
              </w:rPr>
            </w:pPr>
            <w:r w:rsidRPr="004E6412">
              <w:rPr>
                <w:sz w:val="22"/>
              </w:rPr>
              <w:t>2.712.732.416</w:t>
            </w:r>
          </w:p>
        </w:tc>
        <w:tc>
          <w:tcPr>
            <w:tcW w:w="527" w:type="pct"/>
            <w:vAlign w:val="center"/>
          </w:tcPr>
          <w:p w:rsidR="0050036B" w:rsidRPr="004E6412" w:rsidRDefault="0050036B" w:rsidP="00B31D5A">
            <w:pPr>
              <w:jc w:val="right"/>
              <w:rPr>
                <w:sz w:val="22"/>
              </w:rPr>
            </w:pPr>
            <w:r w:rsidRPr="004E6412">
              <w:rPr>
                <w:sz w:val="22"/>
              </w:rPr>
              <w:t>3.709.251.751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278.821.528</w:t>
            </w:r>
          </w:p>
        </w:tc>
        <w:tc>
          <w:tcPr>
            <w:tcW w:w="430" w:type="pct"/>
            <w:vAlign w:val="center"/>
          </w:tcPr>
          <w:p w:rsidR="0050036B" w:rsidRPr="004E6412" w:rsidRDefault="0050036B" w:rsidP="00B31D5A">
            <w:pPr>
              <w:jc w:val="right"/>
              <w:rPr>
                <w:sz w:val="22"/>
              </w:rPr>
            </w:pPr>
            <w:r w:rsidRPr="004E6412">
              <w:rPr>
                <w:sz w:val="22"/>
              </w:rPr>
              <w:t>281.609.744</w:t>
            </w:r>
          </w:p>
        </w:tc>
        <w:tc>
          <w:tcPr>
            <w:tcW w:w="488" w:type="pct"/>
            <w:vAlign w:val="center"/>
          </w:tcPr>
          <w:p w:rsidR="0050036B" w:rsidRPr="004E6412" w:rsidRDefault="0050036B" w:rsidP="00B31D5A">
            <w:pPr>
              <w:jc w:val="right"/>
              <w:rPr>
                <w:sz w:val="22"/>
              </w:rPr>
            </w:pPr>
            <w:r w:rsidRPr="004E6412">
              <w:rPr>
                <w:sz w:val="22"/>
              </w:rPr>
              <w:t>568.851.682</w:t>
            </w:r>
          </w:p>
        </w:tc>
        <w:tc>
          <w:tcPr>
            <w:tcW w:w="488" w:type="pct"/>
            <w:vAlign w:val="center"/>
          </w:tcPr>
          <w:p w:rsidR="0050036B" w:rsidRPr="004E6412" w:rsidRDefault="0050036B" w:rsidP="00B31D5A">
            <w:pPr>
              <w:jc w:val="right"/>
              <w:rPr>
                <w:sz w:val="22"/>
              </w:rPr>
            </w:pPr>
            <w:r w:rsidRPr="004E6412">
              <w:rPr>
                <w:sz w:val="22"/>
              </w:rPr>
              <w:t>870.343.074</w:t>
            </w:r>
          </w:p>
        </w:tc>
        <w:tc>
          <w:tcPr>
            <w:tcW w:w="488" w:type="pct"/>
            <w:vAlign w:val="center"/>
          </w:tcPr>
          <w:p w:rsidR="0050036B" w:rsidRPr="004E6412" w:rsidRDefault="0050036B" w:rsidP="00B31D5A">
            <w:pPr>
              <w:jc w:val="right"/>
              <w:rPr>
                <w:sz w:val="22"/>
              </w:rPr>
            </w:pPr>
            <w:r w:rsidRPr="004E6412">
              <w:rPr>
                <w:sz w:val="22"/>
              </w:rPr>
              <w:t>1.195.271.155</w:t>
            </w:r>
          </w:p>
        </w:tc>
        <w:tc>
          <w:tcPr>
            <w:tcW w:w="488" w:type="pct"/>
            <w:vAlign w:val="center"/>
          </w:tcPr>
          <w:p w:rsidR="0050036B" w:rsidRPr="004E6412" w:rsidRDefault="0050036B" w:rsidP="00B31D5A">
            <w:pPr>
              <w:jc w:val="right"/>
              <w:rPr>
                <w:sz w:val="22"/>
              </w:rPr>
            </w:pPr>
            <w:r w:rsidRPr="004E6412">
              <w:rPr>
                <w:sz w:val="22"/>
              </w:rPr>
              <w:t>1.243.082.001</w:t>
            </w:r>
          </w:p>
        </w:tc>
        <w:tc>
          <w:tcPr>
            <w:tcW w:w="527" w:type="pct"/>
            <w:vAlign w:val="center"/>
          </w:tcPr>
          <w:p w:rsidR="0050036B" w:rsidRPr="004E6412" w:rsidRDefault="0050036B" w:rsidP="00B31D5A">
            <w:pPr>
              <w:jc w:val="right"/>
              <w:rPr>
                <w:sz w:val="22"/>
              </w:rPr>
            </w:pPr>
            <w:r w:rsidRPr="004E6412">
              <w:rPr>
                <w:sz w:val="22"/>
              </w:rPr>
              <w:t>1.616.006.601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628</w:t>
            </w:r>
          </w:p>
        </w:tc>
        <w:tc>
          <w:tcPr>
            <w:tcW w:w="430" w:type="pct"/>
            <w:vAlign w:val="center"/>
          </w:tcPr>
          <w:p w:rsidR="0050036B" w:rsidRPr="004E6412" w:rsidRDefault="0050036B" w:rsidP="00B31D5A">
            <w:pPr>
              <w:jc w:val="right"/>
              <w:rPr>
                <w:sz w:val="22"/>
              </w:rPr>
            </w:pPr>
            <w:r w:rsidRPr="004E6412">
              <w:rPr>
                <w:sz w:val="22"/>
              </w:rPr>
              <w:t>643</w:t>
            </w:r>
          </w:p>
        </w:tc>
        <w:tc>
          <w:tcPr>
            <w:tcW w:w="488" w:type="pct"/>
            <w:vAlign w:val="center"/>
          </w:tcPr>
          <w:p w:rsidR="0050036B" w:rsidRPr="004E6412" w:rsidRDefault="0050036B" w:rsidP="00B31D5A">
            <w:pPr>
              <w:jc w:val="right"/>
              <w:rPr>
                <w:sz w:val="22"/>
              </w:rPr>
            </w:pPr>
            <w:r w:rsidRPr="004E6412">
              <w:rPr>
                <w:sz w:val="22"/>
              </w:rPr>
              <w:t>1.316</w:t>
            </w:r>
          </w:p>
        </w:tc>
        <w:tc>
          <w:tcPr>
            <w:tcW w:w="488" w:type="pct"/>
            <w:vAlign w:val="center"/>
          </w:tcPr>
          <w:p w:rsidR="0050036B" w:rsidRPr="004E6412" w:rsidRDefault="0050036B" w:rsidP="00B31D5A">
            <w:pPr>
              <w:jc w:val="right"/>
              <w:rPr>
                <w:sz w:val="22"/>
              </w:rPr>
            </w:pPr>
            <w:r w:rsidRPr="004E6412">
              <w:rPr>
                <w:sz w:val="22"/>
              </w:rPr>
              <w:t>2.066</w:t>
            </w:r>
          </w:p>
        </w:tc>
        <w:tc>
          <w:tcPr>
            <w:tcW w:w="488" w:type="pct"/>
            <w:vAlign w:val="center"/>
          </w:tcPr>
          <w:p w:rsidR="0050036B" w:rsidRPr="004E6412" w:rsidRDefault="0050036B" w:rsidP="00B31D5A">
            <w:pPr>
              <w:jc w:val="right"/>
              <w:rPr>
                <w:sz w:val="22"/>
              </w:rPr>
            </w:pPr>
            <w:r w:rsidRPr="004E6412">
              <w:rPr>
                <w:sz w:val="22"/>
              </w:rPr>
              <w:t>2.949</w:t>
            </w:r>
          </w:p>
        </w:tc>
        <w:tc>
          <w:tcPr>
            <w:tcW w:w="488" w:type="pct"/>
            <w:vAlign w:val="center"/>
          </w:tcPr>
          <w:p w:rsidR="0050036B" w:rsidRPr="004E6412" w:rsidRDefault="0050036B" w:rsidP="00B31D5A">
            <w:pPr>
              <w:jc w:val="right"/>
              <w:rPr>
                <w:sz w:val="22"/>
              </w:rPr>
            </w:pPr>
            <w:r w:rsidRPr="004E6412">
              <w:rPr>
                <w:sz w:val="22"/>
              </w:rPr>
              <w:t>3.225</w:t>
            </w:r>
          </w:p>
        </w:tc>
        <w:tc>
          <w:tcPr>
            <w:tcW w:w="527" w:type="pct"/>
            <w:vAlign w:val="center"/>
          </w:tcPr>
          <w:p w:rsidR="0050036B" w:rsidRPr="004E6412" w:rsidRDefault="0050036B" w:rsidP="00B31D5A">
            <w:pPr>
              <w:jc w:val="right"/>
              <w:rPr>
                <w:sz w:val="22"/>
              </w:rPr>
            </w:pPr>
            <w:r w:rsidRPr="004E6412">
              <w:rPr>
                <w:sz w:val="22"/>
              </w:rPr>
              <w:t>4.410</w:t>
            </w:r>
          </w:p>
        </w:tc>
      </w:tr>
    </w:tbl>
    <w:p w:rsidR="0050036B" w:rsidRPr="004E6412" w:rsidRDefault="0050036B" w:rsidP="0050036B"/>
    <w:p w:rsidR="0050036B" w:rsidRPr="004E6412" w:rsidRDefault="0050036B" w:rsidP="0050036B">
      <w:pPr>
        <w:pStyle w:val="Heading3"/>
      </w:pPr>
      <w:bookmarkStart w:id="1148" w:name="_Toc378069167"/>
      <w:r w:rsidRPr="004E6412">
        <w:t>Projekcija kretanja odabranih pokazatelja za skupinu „čuvari“ u razdoblju 2014.-2020. za Scenarij 2</w:t>
      </w:r>
      <w:bookmarkEnd w:id="1148"/>
    </w:p>
    <w:p w:rsidR="0050036B" w:rsidRPr="007D0CFD" w:rsidRDefault="0050036B" w:rsidP="007D0CFD">
      <w:pPr>
        <w:pStyle w:val="Heading5"/>
        <w:rPr>
          <w:rStyle w:val="IntenseEmphasis"/>
          <w:b/>
          <w:bCs w:val="0"/>
          <w:iCs w:val="0"/>
          <w:color w:val="548DD4" w:themeColor="text2" w:themeTint="99"/>
          <w:sz w:val="20"/>
        </w:rPr>
      </w:pPr>
      <w:bookmarkStart w:id="1149" w:name="_Toc377635324"/>
      <w:r w:rsidRPr="007D0CFD">
        <w:rPr>
          <w:rStyle w:val="IntenseEmphasis"/>
          <w:b/>
          <w:bCs w:val="0"/>
          <w:iCs w:val="0"/>
          <w:color w:val="548DD4" w:themeColor="text2" w:themeTint="99"/>
          <w:sz w:val="20"/>
        </w:rPr>
        <w:t>Tablica 123. Scenarij 2 – „čuvari“</w:t>
      </w:r>
      <w:bookmarkEnd w:id="1149"/>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4688"/>
        <w:gridCol w:w="1214"/>
        <w:gridCol w:w="1214"/>
        <w:gridCol w:w="1378"/>
        <w:gridCol w:w="1378"/>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0,00%</w:t>
            </w:r>
          </w:p>
        </w:tc>
        <w:tc>
          <w:tcPr>
            <w:tcW w:w="430"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2,50%</w:t>
            </w:r>
          </w:p>
        </w:tc>
        <w:tc>
          <w:tcPr>
            <w:tcW w:w="488" w:type="pct"/>
            <w:vAlign w:val="center"/>
          </w:tcPr>
          <w:p w:rsidR="0050036B" w:rsidRPr="004E6412" w:rsidRDefault="0050036B" w:rsidP="00B31D5A">
            <w:pPr>
              <w:jc w:val="right"/>
              <w:rPr>
                <w:sz w:val="22"/>
              </w:rPr>
            </w:pPr>
            <w:r w:rsidRPr="004E6412">
              <w:rPr>
                <w:sz w:val="22"/>
              </w:rPr>
              <w:t>3,00%</w:t>
            </w:r>
          </w:p>
        </w:tc>
        <w:tc>
          <w:tcPr>
            <w:tcW w:w="488" w:type="pct"/>
            <w:vAlign w:val="center"/>
          </w:tcPr>
          <w:p w:rsidR="0050036B" w:rsidRPr="004E6412" w:rsidRDefault="0050036B" w:rsidP="00B31D5A">
            <w:pPr>
              <w:jc w:val="right"/>
              <w:rPr>
                <w:sz w:val="22"/>
              </w:rPr>
            </w:pPr>
            <w:r w:rsidRPr="004E6412">
              <w:rPr>
                <w:sz w:val="22"/>
              </w:rPr>
              <w:t>4,00%</w:t>
            </w:r>
          </w:p>
        </w:tc>
        <w:tc>
          <w:tcPr>
            <w:tcW w:w="527" w:type="pct"/>
            <w:vAlign w:val="center"/>
          </w:tcPr>
          <w:p w:rsidR="0050036B" w:rsidRPr="004E6412" w:rsidRDefault="0050036B" w:rsidP="00B31D5A">
            <w:pPr>
              <w:jc w:val="right"/>
              <w:rPr>
                <w:sz w:val="22"/>
              </w:rPr>
            </w:pPr>
            <w:r w:rsidRPr="004E6412">
              <w:rPr>
                <w:sz w:val="22"/>
              </w:rPr>
              <w:t>4,00%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bottom"/>
          </w:tcPr>
          <w:p w:rsidR="0050036B" w:rsidRPr="004E6412" w:rsidRDefault="0050036B" w:rsidP="00B31D5A">
            <w:pPr>
              <w:jc w:val="right"/>
              <w:rPr>
                <w:color w:val="000000"/>
                <w:sz w:val="22"/>
              </w:rPr>
            </w:pPr>
            <w:r w:rsidRPr="004E6412">
              <w:rPr>
                <w:color w:val="000000"/>
                <w:sz w:val="22"/>
              </w:rPr>
              <w:t>11.541.062</w:t>
            </w:r>
          </w:p>
        </w:tc>
        <w:tc>
          <w:tcPr>
            <w:tcW w:w="430" w:type="pct"/>
            <w:vAlign w:val="bottom"/>
          </w:tcPr>
          <w:p w:rsidR="0050036B" w:rsidRPr="004E6412" w:rsidRDefault="0050036B" w:rsidP="00B31D5A">
            <w:pPr>
              <w:jc w:val="right"/>
              <w:rPr>
                <w:color w:val="000000"/>
                <w:sz w:val="22"/>
              </w:rPr>
            </w:pPr>
            <w:r w:rsidRPr="004E6412">
              <w:rPr>
                <w:color w:val="000000"/>
                <w:sz w:val="22"/>
              </w:rPr>
              <w:t>12.792.167</w:t>
            </w:r>
          </w:p>
        </w:tc>
        <w:tc>
          <w:tcPr>
            <w:tcW w:w="488" w:type="pct"/>
            <w:vAlign w:val="bottom"/>
          </w:tcPr>
          <w:p w:rsidR="0050036B" w:rsidRPr="004E6412" w:rsidRDefault="0050036B" w:rsidP="00B31D5A">
            <w:pPr>
              <w:jc w:val="right"/>
              <w:rPr>
                <w:color w:val="000000"/>
                <w:sz w:val="22"/>
              </w:rPr>
            </w:pPr>
            <w:r w:rsidRPr="004E6412">
              <w:rPr>
                <w:color w:val="000000"/>
                <w:sz w:val="22"/>
              </w:rPr>
              <w:t>14.204.846</w:t>
            </w:r>
          </w:p>
        </w:tc>
        <w:tc>
          <w:tcPr>
            <w:tcW w:w="488" w:type="pct"/>
            <w:vAlign w:val="bottom"/>
          </w:tcPr>
          <w:p w:rsidR="0050036B" w:rsidRPr="004E6412" w:rsidRDefault="0050036B" w:rsidP="00B31D5A">
            <w:pPr>
              <w:jc w:val="right"/>
              <w:rPr>
                <w:color w:val="000000"/>
                <w:sz w:val="22"/>
              </w:rPr>
            </w:pPr>
            <w:r w:rsidRPr="004E6412">
              <w:rPr>
                <w:color w:val="000000"/>
                <w:sz w:val="22"/>
              </w:rPr>
              <w:t>16.522.275</w:t>
            </w:r>
          </w:p>
        </w:tc>
        <w:tc>
          <w:tcPr>
            <w:tcW w:w="488" w:type="pct"/>
            <w:vAlign w:val="bottom"/>
          </w:tcPr>
          <w:p w:rsidR="0050036B" w:rsidRPr="004E6412" w:rsidRDefault="0050036B" w:rsidP="00B31D5A">
            <w:pPr>
              <w:jc w:val="right"/>
              <w:rPr>
                <w:color w:val="000000"/>
                <w:sz w:val="22"/>
              </w:rPr>
            </w:pPr>
            <w:r w:rsidRPr="004E6412">
              <w:rPr>
                <w:color w:val="000000"/>
                <w:sz w:val="22"/>
              </w:rPr>
              <w:t>19.707.467</w:t>
            </w:r>
          </w:p>
        </w:tc>
        <w:tc>
          <w:tcPr>
            <w:tcW w:w="488" w:type="pct"/>
            <w:vAlign w:val="bottom"/>
          </w:tcPr>
          <w:p w:rsidR="0050036B" w:rsidRPr="004E6412" w:rsidRDefault="0050036B" w:rsidP="00B31D5A">
            <w:pPr>
              <w:jc w:val="right"/>
              <w:rPr>
                <w:color w:val="000000"/>
                <w:sz w:val="22"/>
              </w:rPr>
            </w:pPr>
            <w:r w:rsidRPr="004E6412">
              <w:rPr>
                <w:color w:val="000000"/>
                <w:sz w:val="22"/>
              </w:rPr>
              <w:t>23.264.789</w:t>
            </w:r>
          </w:p>
        </w:tc>
        <w:tc>
          <w:tcPr>
            <w:tcW w:w="527" w:type="pct"/>
            <w:vAlign w:val="bottom"/>
          </w:tcPr>
          <w:p w:rsidR="0050036B" w:rsidRPr="004E6412" w:rsidRDefault="0050036B" w:rsidP="00B31D5A">
            <w:pPr>
              <w:jc w:val="right"/>
              <w:rPr>
                <w:color w:val="000000"/>
                <w:sz w:val="22"/>
              </w:rPr>
            </w:pPr>
            <w:r w:rsidRPr="004E6412">
              <w:rPr>
                <w:color w:val="000000"/>
                <w:sz w:val="22"/>
              </w:rPr>
              <w:t>27.450.405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732</w:t>
            </w:r>
          </w:p>
        </w:tc>
        <w:tc>
          <w:tcPr>
            <w:tcW w:w="488" w:type="pct"/>
            <w:vAlign w:val="center"/>
          </w:tcPr>
          <w:p w:rsidR="0050036B" w:rsidRPr="004E6412" w:rsidRDefault="0050036B" w:rsidP="00B31D5A">
            <w:pPr>
              <w:jc w:val="right"/>
              <w:rPr>
                <w:sz w:val="22"/>
              </w:rPr>
            </w:pPr>
            <w:r w:rsidRPr="004E6412">
              <w:rPr>
                <w:sz w:val="22"/>
              </w:rPr>
              <w:t>1.471</w:t>
            </w:r>
          </w:p>
        </w:tc>
        <w:tc>
          <w:tcPr>
            <w:tcW w:w="488" w:type="pct"/>
            <w:vAlign w:val="center"/>
          </w:tcPr>
          <w:p w:rsidR="0050036B" w:rsidRPr="004E6412" w:rsidRDefault="0050036B" w:rsidP="00B31D5A">
            <w:pPr>
              <w:jc w:val="right"/>
              <w:rPr>
                <w:sz w:val="22"/>
              </w:rPr>
            </w:pPr>
            <w:r w:rsidRPr="004E6412">
              <w:rPr>
                <w:sz w:val="22"/>
              </w:rPr>
              <w:t>3.338</w:t>
            </w:r>
          </w:p>
        </w:tc>
        <w:tc>
          <w:tcPr>
            <w:tcW w:w="488" w:type="pct"/>
            <w:vAlign w:val="center"/>
          </w:tcPr>
          <w:p w:rsidR="0050036B" w:rsidRPr="004E6412" w:rsidRDefault="0050036B" w:rsidP="00B31D5A">
            <w:pPr>
              <w:jc w:val="right"/>
              <w:rPr>
                <w:sz w:val="22"/>
              </w:rPr>
            </w:pPr>
            <w:r w:rsidRPr="004E6412">
              <w:rPr>
                <w:sz w:val="22"/>
              </w:rPr>
              <w:t>5.635</w:t>
            </w:r>
          </w:p>
        </w:tc>
        <w:tc>
          <w:tcPr>
            <w:tcW w:w="488" w:type="pct"/>
            <w:vAlign w:val="center"/>
          </w:tcPr>
          <w:p w:rsidR="0050036B" w:rsidRPr="004E6412" w:rsidRDefault="0050036B" w:rsidP="00B31D5A">
            <w:pPr>
              <w:jc w:val="right"/>
              <w:rPr>
                <w:sz w:val="22"/>
              </w:rPr>
            </w:pPr>
            <w:r w:rsidRPr="004E6412">
              <w:rPr>
                <w:sz w:val="22"/>
              </w:rPr>
              <w:t>8.788</w:t>
            </w:r>
          </w:p>
        </w:tc>
        <w:tc>
          <w:tcPr>
            <w:tcW w:w="527" w:type="pct"/>
            <w:vAlign w:val="center"/>
          </w:tcPr>
          <w:p w:rsidR="0050036B" w:rsidRPr="004E6412" w:rsidRDefault="0050036B" w:rsidP="00B31D5A">
            <w:pPr>
              <w:jc w:val="right"/>
              <w:rPr>
                <w:sz w:val="22"/>
              </w:rPr>
            </w:pPr>
            <w:r w:rsidRPr="004E6412">
              <w:rPr>
                <w:sz w:val="22"/>
              </w:rPr>
              <w:t>12.068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157.656</w:t>
            </w:r>
          </w:p>
        </w:tc>
        <w:tc>
          <w:tcPr>
            <w:tcW w:w="430" w:type="pct"/>
            <w:vAlign w:val="center"/>
          </w:tcPr>
          <w:p w:rsidR="0050036B" w:rsidRPr="004E6412" w:rsidRDefault="0050036B" w:rsidP="00B31D5A">
            <w:pPr>
              <w:jc w:val="right"/>
              <w:rPr>
                <w:color w:val="000000"/>
                <w:sz w:val="22"/>
              </w:rPr>
            </w:pPr>
            <w:r w:rsidRPr="004E6412">
              <w:rPr>
                <w:color w:val="000000"/>
                <w:sz w:val="22"/>
              </w:rPr>
              <w:t>173.017</w:t>
            </w:r>
          </w:p>
        </w:tc>
        <w:tc>
          <w:tcPr>
            <w:tcW w:w="488" w:type="pct"/>
            <w:vAlign w:val="center"/>
          </w:tcPr>
          <w:p w:rsidR="0050036B" w:rsidRPr="004E6412" w:rsidRDefault="0050036B" w:rsidP="00B31D5A">
            <w:pPr>
              <w:jc w:val="right"/>
              <w:rPr>
                <w:color w:val="000000"/>
                <w:sz w:val="22"/>
              </w:rPr>
            </w:pPr>
            <w:r w:rsidRPr="004E6412">
              <w:rPr>
                <w:color w:val="000000"/>
                <w:sz w:val="22"/>
              </w:rPr>
              <w:t>190.222</w:t>
            </w:r>
          </w:p>
        </w:tc>
        <w:tc>
          <w:tcPr>
            <w:tcW w:w="488" w:type="pct"/>
            <w:vAlign w:val="center"/>
          </w:tcPr>
          <w:p w:rsidR="0050036B" w:rsidRPr="004E6412" w:rsidRDefault="0050036B" w:rsidP="00B31D5A">
            <w:pPr>
              <w:jc w:val="right"/>
              <w:rPr>
                <w:color w:val="000000"/>
                <w:sz w:val="22"/>
              </w:rPr>
            </w:pPr>
            <w:r w:rsidRPr="004E6412">
              <w:rPr>
                <w:color w:val="000000"/>
                <w:sz w:val="22"/>
              </w:rPr>
              <w:t>215.859</w:t>
            </w:r>
          </w:p>
        </w:tc>
        <w:tc>
          <w:tcPr>
            <w:tcW w:w="488" w:type="pct"/>
            <w:vAlign w:val="center"/>
          </w:tcPr>
          <w:p w:rsidR="0050036B" w:rsidRPr="004E6412" w:rsidRDefault="0050036B" w:rsidP="00B31D5A">
            <w:pPr>
              <w:jc w:val="right"/>
              <w:rPr>
                <w:color w:val="000000"/>
                <w:sz w:val="22"/>
              </w:rPr>
            </w:pPr>
            <w:r w:rsidRPr="004E6412">
              <w:rPr>
                <w:color w:val="000000"/>
                <w:sz w:val="22"/>
              </w:rPr>
              <w:t>249.971</w:t>
            </w:r>
          </w:p>
        </w:tc>
        <w:tc>
          <w:tcPr>
            <w:tcW w:w="488" w:type="pct"/>
            <w:vAlign w:val="center"/>
          </w:tcPr>
          <w:p w:rsidR="0050036B" w:rsidRPr="004E6412" w:rsidRDefault="0050036B" w:rsidP="00B31D5A">
            <w:pPr>
              <w:jc w:val="right"/>
              <w:rPr>
                <w:color w:val="000000"/>
                <w:sz w:val="22"/>
              </w:rPr>
            </w:pPr>
            <w:r w:rsidRPr="004E6412">
              <w:rPr>
                <w:color w:val="000000"/>
                <w:sz w:val="22"/>
              </w:rPr>
              <w:t>283.745</w:t>
            </w:r>
          </w:p>
        </w:tc>
        <w:tc>
          <w:tcPr>
            <w:tcW w:w="527" w:type="pct"/>
            <w:vAlign w:val="center"/>
          </w:tcPr>
          <w:p w:rsidR="0050036B" w:rsidRPr="004E6412" w:rsidRDefault="0050036B" w:rsidP="00B31D5A">
            <w:pPr>
              <w:jc w:val="right"/>
              <w:rPr>
                <w:color w:val="000000"/>
                <w:sz w:val="22"/>
              </w:rPr>
            </w:pPr>
            <w:r w:rsidRPr="004E6412">
              <w:rPr>
                <w:color w:val="000000"/>
                <w:sz w:val="22"/>
              </w:rPr>
              <w:t>321.916</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w:t>
            </w:r>
          </w:p>
        </w:tc>
        <w:tc>
          <w:tcPr>
            <w:tcW w:w="430" w:type="pct"/>
            <w:vAlign w:val="center"/>
          </w:tcPr>
          <w:p w:rsidR="0050036B" w:rsidRPr="004E6412" w:rsidRDefault="0050036B" w:rsidP="00B31D5A">
            <w:pPr>
              <w:jc w:val="right"/>
              <w:rPr>
                <w:sz w:val="22"/>
              </w:rPr>
            </w:pPr>
            <w:r w:rsidRPr="004E6412">
              <w:rPr>
                <w:sz w:val="22"/>
              </w:rPr>
              <w:t>194.210.378</w:t>
            </w:r>
          </w:p>
        </w:tc>
        <w:tc>
          <w:tcPr>
            <w:tcW w:w="488" w:type="pct"/>
            <w:vAlign w:val="center"/>
          </w:tcPr>
          <w:p w:rsidR="0050036B" w:rsidRPr="004E6412" w:rsidRDefault="0050036B" w:rsidP="00B31D5A">
            <w:pPr>
              <w:jc w:val="right"/>
              <w:rPr>
                <w:sz w:val="22"/>
              </w:rPr>
            </w:pPr>
            <w:r w:rsidRPr="004E6412">
              <w:rPr>
                <w:sz w:val="22"/>
              </w:rPr>
              <w:t>390.360.825</w:t>
            </w:r>
          </w:p>
        </w:tc>
        <w:tc>
          <w:tcPr>
            <w:tcW w:w="488" w:type="pct"/>
            <w:vAlign w:val="center"/>
          </w:tcPr>
          <w:p w:rsidR="0050036B" w:rsidRPr="004E6412" w:rsidRDefault="0050036B" w:rsidP="00B31D5A">
            <w:pPr>
              <w:jc w:val="right"/>
              <w:rPr>
                <w:sz w:val="22"/>
              </w:rPr>
            </w:pPr>
            <w:r w:rsidRPr="004E6412">
              <w:rPr>
                <w:sz w:val="22"/>
              </w:rPr>
              <w:t>885.640.702</w:t>
            </w:r>
          </w:p>
        </w:tc>
        <w:tc>
          <w:tcPr>
            <w:tcW w:w="488" w:type="pct"/>
            <w:vAlign w:val="center"/>
          </w:tcPr>
          <w:p w:rsidR="0050036B" w:rsidRPr="004E6412" w:rsidRDefault="0050036B" w:rsidP="00B31D5A">
            <w:pPr>
              <w:jc w:val="right"/>
              <w:rPr>
                <w:sz w:val="22"/>
              </w:rPr>
            </w:pPr>
            <w:r w:rsidRPr="004E6412">
              <w:rPr>
                <w:sz w:val="22"/>
              </w:rPr>
              <w:t>1.494.834.952</w:t>
            </w:r>
          </w:p>
        </w:tc>
        <w:tc>
          <w:tcPr>
            <w:tcW w:w="488" w:type="pct"/>
            <w:vAlign w:val="center"/>
          </w:tcPr>
          <w:p w:rsidR="0050036B" w:rsidRPr="004E6412" w:rsidRDefault="0050036B" w:rsidP="00B31D5A">
            <w:pPr>
              <w:jc w:val="right"/>
              <w:rPr>
                <w:sz w:val="22"/>
              </w:rPr>
            </w:pPr>
            <w:r w:rsidRPr="004E6412">
              <w:rPr>
                <w:sz w:val="22"/>
              </w:rPr>
              <w:t>2.331.461.720</w:t>
            </w:r>
          </w:p>
        </w:tc>
        <w:tc>
          <w:tcPr>
            <w:tcW w:w="527" w:type="pct"/>
            <w:vAlign w:val="center"/>
          </w:tcPr>
          <w:p w:rsidR="0050036B" w:rsidRPr="004E6412" w:rsidRDefault="0050036B" w:rsidP="00B31D5A">
            <w:pPr>
              <w:jc w:val="right"/>
              <w:rPr>
                <w:sz w:val="22"/>
              </w:rPr>
            </w:pPr>
            <w:r w:rsidRPr="004E6412">
              <w:rPr>
                <w:sz w:val="22"/>
              </w:rPr>
              <w:t>3.201.553.560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48.565.245</w:t>
            </w:r>
          </w:p>
        </w:tc>
        <w:tc>
          <w:tcPr>
            <w:tcW w:w="488" w:type="pct"/>
            <w:vAlign w:val="center"/>
          </w:tcPr>
          <w:p w:rsidR="0050036B" w:rsidRPr="004E6412" w:rsidRDefault="0050036B" w:rsidP="00B31D5A">
            <w:pPr>
              <w:jc w:val="right"/>
              <w:rPr>
                <w:sz w:val="22"/>
              </w:rPr>
            </w:pPr>
            <w:r w:rsidRPr="004E6412">
              <w:rPr>
                <w:sz w:val="22"/>
              </w:rPr>
              <w:t>49.050.897</w:t>
            </w:r>
          </w:p>
        </w:tc>
        <w:tc>
          <w:tcPr>
            <w:tcW w:w="488" w:type="pct"/>
            <w:vAlign w:val="center"/>
          </w:tcPr>
          <w:p w:rsidR="0050036B" w:rsidRPr="004E6412" w:rsidRDefault="0050036B" w:rsidP="00B31D5A">
            <w:pPr>
              <w:jc w:val="right"/>
              <w:rPr>
                <w:sz w:val="22"/>
              </w:rPr>
            </w:pPr>
            <w:r w:rsidRPr="004E6412">
              <w:rPr>
                <w:sz w:val="22"/>
              </w:rPr>
              <w:t>123.853.515</w:t>
            </w:r>
          </w:p>
        </w:tc>
        <w:tc>
          <w:tcPr>
            <w:tcW w:w="488" w:type="pct"/>
            <w:vAlign w:val="center"/>
          </w:tcPr>
          <w:p w:rsidR="0050036B" w:rsidRPr="004E6412" w:rsidRDefault="0050036B" w:rsidP="00B31D5A">
            <w:pPr>
              <w:jc w:val="right"/>
              <w:rPr>
                <w:sz w:val="22"/>
              </w:rPr>
            </w:pPr>
            <w:r w:rsidRPr="004E6412">
              <w:rPr>
                <w:sz w:val="22"/>
              </w:rPr>
              <w:t>152.339.824</w:t>
            </w:r>
          </w:p>
        </w:tc>
        <w:tc>
          <w:tcPr>
            <w:tcW w:w="488" w:type="pct"/>
            <w:vAlign w:val="center"/>
          </w:tcPr>
          <w:p w:rsidR="0050036B" w:rsidRPr="004E6412" w:rsidRDefault="0050036B" w:rsidP="00B31D5A">
            <w:pPr>
              <w:jc w:val="right"/>
              <w:rPr>
                <w:sz w:val="22"/>
              </w:rPr>
            </w:pPr>
            <w:r w:rsidRPr="004E6412">
              <w:rPr>
                <w:sz w:val="22"/>
              </w:rPr>
              <w:t>209.213.358</w:t>
            </w:r>
          </w:p>
        </w:tc>
        <w:tc>
          <w:tcPr>
            <w:tcW w:w="527" w:type="pct"/>
            <w:vAlign w:val="center"/>
          </w:tcPr>
          <w:p w:rsidR="0050036B" w:rsidRPr="004E6412" w:rsidRDefault="0050036B" w:rsidP="00B31D5A">
            <w:pPr>
              <w:jc w:val="right"/>
              <w:rPr>
                <w:sz w:val="22"/>
              </w:rPr>
            </w:pPr>
            <w:r w:rsidRPr="004E6412">
              <w:rPr>
                <w:sz w:val="22"/>
              </w:rPr>
              <w:t>217.581.892</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166</w:t>
            </w:r>
          </w:p>
        </w:tc>
        <w:tc>
          <w:tcPr>
            <w:tcW w:w="488" w:type="pct"/>
            <w:vAlign w:val="center"/>
          </w:tcPr>
          <w:p w:rsidR="0050036B" w:rsidRPr="004E6412" w:rsidRDefault="0050036B" w:rsidP="00B31D5A">
            <w:pPr>
              <w:jc w:val="right"/>
              <w:rPr>
                <w:sz w:val="22"/>
              </w:rPr>
            </w:pPr>
            <w:r w:rsidRPr="004E6412">
              <w:rPr>
                <w:sz w:val="22"/>
              </w:rPr>
              <w:t>333</w:t>
            </w:r>
          </w:p>
        </w:tc>
        <w:tc>
          <w:tcPr>
            <w:tcW w:w="488" w:type="pct"/>
            <w:vAlign w:val="center"/>
          </w:tcPr>
          <w:p w:rsidR="0050036B" w:rsidRPr="004E6412" w:rsidRDefault="0050036B" w:rsidP="00B31D5A">
            <w:pPr>
              <w:jc w:val="right"/>
              <w:rPr>
                <w:sz w:val="22"/>
              </w:rPr>
            </w:pPr>
            <w:r w:rsidRPr="004E6412">
              <w:rPr>
                <w:sz w:val="22"/>
              </w:rPr>
              <w:t>755</w:t>
            </w:r>
          </w:p>
        </w:tc>
        <w:tc>
          <w:tcPr>
            <w:tcW w:w="488" w:type="pct"/>
            <w:vAlign w:val="center"/>
          </w:tcPr>
          <w:p w:rsidR="0050036B" w:rsidRPr="004E6412" w:rsidRDefault="0050036B" w:rsidP="00B31D5A">
            <w:pPr>
              <w:jc w:val="right"/>
              <w:rPr>
                <w:sz w:val="22"/>
              </w:rPr>
            </w:pPr>
            <w:r w:rsidRPr="004E6412">
              <w:rPr>
                <w:sz w:val="22"/>
              </w:rPr>
              <w:t>1.275</w:t>
            </w:r>
          </w:p>
        </w:tc>
        <w:tc>
          <w:tcPr>
            <w:tcW w:w="488" w:type="pct"/>
            <w:vAlign w:val="center"/>
          </w:tcPr>
          <w:p w:rsidR="0050036B" w:rsidRPr="004E6412" w:rsidRDefault="0050036B" w:rsidP="00B31D5A">
            <w:pPr>
              <w:jc w:val="right"/>
              <w:rPr>
                <w:sz w:val="22"/>
              </w:rPr>
            </w:pPr>
            <w:r w:rsidRPr="004E6412">
              <w:rPr>
                <w:sz w:val="22"/>
              </w:rPr>
              <w:t>1.988</w:t>
            </w:r>
          </w:p>
        </w:tc>
        <w:tc>
          <w:tcPr>
            <w:tcW w:w="527" w:type="pct"/>
            <w:vAlign w:val="center"/>
          </w:tcPr>
          <w:p w:rsidR="0050036B" w:rsidRPr="004E6412" w:rsidRDefault="0050036B" w:rsidP="00B31D5A">
            <w:pPr>
              <w:jc w:val="right"/>
              <w:rPr>
                <w:sz w:val="22"/>
              </w:rPr>
            </w:pPr>
            <w:r w:rsidRPr="004E6412">
              <w:rPr>
                <w:sz w:val="22"/>
              </w:rPr>
              <w:t>2.731</w:t>
            </w:r>
          </w:p>
        </w:tc>
      </w:tr>
    </w:tbl>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Title"/>
      </w:pPr>
      <w:bookmarkStart w:id="1150" w:name="_Toc378069168"/>
      <w:r w:rsidRPr="004E6412">
        <w:lastRenderedPageBreak/>
        <w:t>Prioritetna područja i mjere realizacije strateških ciljeva</w:t>
      </w:r>
      <w:bookmarkEnd w:id="1150"/>
    </w:p>
    <w:p w:rsidR="0050036B" w:rsidRPr="004E6412" w:rsidRDefault="0050036B" w:rsidP="0050036B"/>
    <w:p w:rsidR="0050036B" w:rsidRPr="004E6412" w:rsidRDefault="0050036B" w:rsidP="00C81B3E">
      <w:pPr>
        <w:numPr>
          <w:ilvl w:val="0"/>
          <w:numId w:val="264"/>
        </w:numPr>
        <w:rPr>
          <w:sz w:val="22"/>
        </w:rPr>
      </w:pPr>
      <w:r w:rsidRPr="004E6412">
        <w:rPr>
          <w:sz w:val="22"/>
        </w:rPr>
        <w:t xml:space="preserve">Strateški ciljevi razvoja industrije definirani su temeljem rezultata provedenih kvantitativnih i kvalitativnih analiza i, kao što je vidljivo u prethodnom dijelu dokumenta, usmjereni su na četiri osnovna područja: (1) obujam industrijske proizvodnje, (2) zaposlenost, (3) produktivnost i (4) izvoz. Pri definiranju operativnih mjera realizacije strateških ciljeva posebna pozornost posvećena je odnosu horizontalnih i sektorskih mjera. </w:t>
      </w:r>
    </w:p>
    <w:p w:rsidR="0050036B" w:rsidRPr="004E6412" w:rsidRDefault="0050036B" w:rsidP="0050036B">
      <w:pPr>
        <w:ind w:left="720"/>
        <w:rPr>
          <w:sz w:val="22"/>
        </w:rPr>
      </w:pPr>
    </w:p>
    <w:p w:rsidR="0050036B" w:rsidRPr="004E6412" w:rsidRDefault="0050036B" w:rsidP="00C81B3E">
      <w:pPr>
        <w:numPr>
          <w:ilvl w:val="0"/>
          <w:numId w:val="265"/>
        </w:numPr>
        <w:rPr>
          <w:sz w:val="22"/>
        </w:rPr>
      </w:pPr>
      <w:r w:rsidRPr="004E6412">
        <w:rPr>
          <w:sz w:val="22"/>
        </w:rPr>
        <w:t>Horizontalne mjere su usmjerene na uređivanje institucionalnog okvira koji bi trebao osigurati poticajno i sigurno okruženje za obavljanje poslovnih aktivnosti na svim razinama i za sve djelatnosti industrije. Međutim, zbog složene i heterogene strukture industrije potrebno je definirati i sektorske</w:t>
      </w:r>
      <w:r w:rsidR="003E78A4">
        <w:rPr>
          <w:sz w:val="22"/>
        </w:rPr>
        <w:t xml:space="preserve"> (vertikalne)</w:t>
      </w:r>
      <w:r w:rsidRPr="004E6412">
        <w:rPr>
          <w:sz w:val="22"/>
        </w:rPr>
        <w:t xml:space="preserve"> mjere koje će uvažiti složenost i specifičnost određenih djelatnosti industrije.</w:t>
      </w:r>
      <w:r w:rsidR="003E78A4">
        <w:rPr>
          <w:sz w:val="22"/>
        </w:rPr>
        <w:t xml:space="preserve"> Uz svaku od mjera prikazanih u okviru prioritetnih područja naznačeno je radi li se o horizontalnoj ili vertikalnoj mjeri.</w:t>
      </w:r>
    </w:p>
    <w:p w:rsidR="0050036B" w:rsidRPr="004E6412" w:rsidRDefault="0050036B" w:rsidP="0050036B">
      <w:pPr>
        <w:ind w:left="720"/>
        <w:rPr>
          <w:sz w:val="22"/>
        </w:rPr>
      </w:pPr>
    </w:p>
    <w:p w:rsidR="0050036B" w:rsidRPr="004E6412" w:rsidRDefault="0050036B" w:rsidP="00C81B3E">
      <w:pPr>
        <w:numPr>
          <w:ilvl w:val="0"/>
          <w:numId w:val="266"/>
        </w:numPr>
        <w:rPr>
          <w:sz w:val="22"/>
        </w:rPr>
      </w:pPr>
      <w:r w:rsidRPr="004E6412">
        <w:rPr>
          <w:sz w:val="22"/>
        </w:rPr>
        <w:t xml:space="preserve">Pri definiranju operativnih industrijskih mjera težilo se: </w:t>
      </w:r>
    </w:p>
    <w:p w:rsidR="0050036B" w:rsidRPr="004E6412" w:rsidRDefault="0050036B" w:rsidP="00C81B3E">
      <w:pPr>
        <w:numPr>
          <w:ilvl w:val="1"/>
          <w:numId w:val="266"/>
        </w:numPr>
        <w:rPr>
          <w:sz w:val="22"/>
        </w:rPr>
      </w:pPr>
      <w:r w:rsidRPr="004E6412">
        <w:rPr>
          <w:sz w:val="22"/>
        </w:rPr>
        <w:t>Dominantnoj orijentaciji na strateške prioritete razvoja</w:t>
      </w:r>
    </w:p>
    <w:p w:rsidR="0050036B" w:rsidRPr="004E6412" w:rsidRDefault="0050036B" w:rsidP="00C81B3E">
      <w:pPr>
        <w:numPr>
          <w:ilvl w:val="1"/>
          <w:numId w:val="266"/>
        </w:numPr>
        <w:rPr>
          <w:sz w:val="22"/>
        </w:rPr>
      </w:pPr>
      <w:r w:rsidRPr="004E6412">
        <w:rPr>
          <w:sz w:val="22"/>
        </w:rPr>
        <w:t xml:space="preserve">Orijentaciji na definiranje dugoročnih mjera </w:t>
      </w:r>
    </w:p>
    <w:p w:rsidR="0050036B" w:rsidRPr="004E6412" w:rsidRDefault="0050036B" w:rsidP="00C81B3E">
      <w:pPr>
        <w:numPr>
          <w:ilvl w:val="1"/>
          <w:numId w:val="266"/>
        </w:numPr>
        <w:rPr>
          <w:sz w:val="22"/>
        </w:rPr>
      </w:pPr>
      <w:r w:rsidRPr="004E6412">
        <w:rPr>
          <w:sz w:val="22"/>
        </w:rPr>
        <w:t>Usmjerenosti mjera na razvoj novih kompetencija i vještina</w:t>
      </w:r>
    </w:p>
    <w:p w:rsidR="0050036B" w:rsidRPr="004E6412" w:rsidRDefault="0050036B" w:rsidP="00C81B3E">
      <w:pPr>
        <w:numPr>
          <w:ilvl w:val="1"/>
          <w:numId w:val="266"/>
        </w:numPr>
        <w:rPr>
          <w:sz w:val="22"/>
        </w:rPr>
      </w:pPr>
      <w:r w:rsidRPr="004E6412">
        <w:rPr>
          <w:sz w:val="22"/>
        </w:rPr>
        <w:t>Razvoju postojećih konkurentnih prednosti.</w:t>
      </w:r>
    </w:p>
    <w:p w:rsidR="0050036B" w:rsidRPr="004E6412" w:rsidRDefault="0050036B" w:rsidP="0050036B">
      <w:pPr>
        <w:ind w:left="1440"/>
        <w:rPr>
          <w:sz w:val="22"/>
        </w:rPr>
      </w:pPr>
    </w:p>
    <w:p w:rsidR="0050036B" w:rsidRPr="004E6412" w:rsidRDefault="0050036B" w:rsidP="00C81B3E">
      <w:pPr>
        <w:numPr>
          <w:ilvl w:val="0"/>
          <w:numId w:val="267"/>
        </w:numPr>
        <w:rPr>
          <w:sz w:val="22"/>
        </w:rPr>
      </w:pPr>
      <w:r w:rsidRPr="004E6412">
        <w:rPr>
          <w:sz w:val="22"/>
        </w:rPr>
        <w:t>Osnovni principi korišteni u procesu definiranja operativnih mjera industrijske strategije su:</w:t>
      </w:r>
    </w:p>
    <w:p w:rsidR="0050036B" w:rsidRPr="004E6412" w:rsidRDefault="0050036B" w:rsidP="00C81B3E">
      <w:pPr>
        <w:numPr>
          <w:ilvl w:val="1"/>
          <w:numId w:val="267"/>
        </w:numPr>
        <w:rPr>
          <w:sz w:val="22"/>
        </w:rPr>
      </w:pPr>
      <w:r w:rsidRPr="004E6412">
        <w:rPr>
          <w:sz w:val="22"/>
        </w:rPr>
        <w:t>Usmjerenost na stvaranje novih izvora konkurentnih prednosti - poticaji od strane države prema privatnom sektoru biti će usmjereni na aktivnosti koje doprinose uvođenju novih proizvoda na tržište i/ili uvođenje novih tehnologija za proizvodnju već postojećih proizvoda,</w:t>
      </w:r>
    </w:p>
    <w:p w:rsidR="0050036B" w:rsidRPr="004E6412" w:rsidRDefault="0050036B" w:rsidP="00C81B3E">
      <w:pPr>
        <w:numPr>
          <w:ilvl w:val="1"/>
          <w:numId w:val="267"/>
        </w:numPr>
        <w:rPr>
          <w:sz w:val="22"/>
        </w:rPr>
      </w:pPr>
      <w:r w:rsidRPr="004E6412">
        <w:rPr>
          <w:sz w:val="22"/>
        </w:rPr>
        <w:t>Ključna orijentacija operativnih mjera je na poticanje onih aktivnosti koje će imati utjecaj na veći broj industrijskih djelatnosti umjesto na izolirane podrške određenoj djelatnosti.</w:t>
      </w:r>
    </w:p>
    <w:p w:rsidR="0050036B" w:rsidRPr="004E6412" w:rsidRDefault="0050036B" w:rsidP="0050036B">
      <w:pPr>
        <w:rPr>
          <w:sz w:val="22"/>
        </w:rPr>
      </w:pPr>
    </w:p>
    <w:p w:rsidR="0050036B" w:rsidRPr="004E6412" w:rsidRDefault="0050036B" w:rsidP="00C81B3E">
      <w:pPr>
        <w:numPr>
          <w:ilvl w:val="0"/>
          <w:numId w:val="268"/>
        </w:numPr>
        <w:spacing w:after="120"/>
        <w:ind w:left="714" w:hanging="357"/>
        <w:rPr>
          <w:sz w:val="22"/>
        </w:rPr>
      </w:pPr>
      <w:r w:rsidRPr="004E6412">
        <w:rPr>
          <w:sz w:val="22"/>
        </w:rPr>
        <w:t>Sukladno strateškim razvojnim ciljevima, definirana  su 4  ključna prioritetna područja industrijske strategije kako slijedi:</w:t>
      </w:r>
    </w:p>
    <w:p w:rsidR="0050036B" w:rsidRPr="004E6412" w:rsidRDefault="00FF7EFD" w:rsidP="00EC02B1">
      <w:pPr>
        <w:numPr>
          <w:ilvl w:val="0"/>
          <w:numId w:val="269"/>
        </w:numPr>
        <w:ind w:left="1434" w:hanging="357"/>
        <w:rPr>
          <w:sz w:val="22"/>
        </w:rPr>
      </w:pPr>
      <w:r w:rsidRPr="004E6412">
        <w:rPr>
          <w:sz w:val="22"/>
        </w:rPr>
        <w:t>STVARANJE STABILNOG</w:t>
      </w:r>
      <w:r w:rsidR="0050036B" w:rsidRPr="004E6412">
        <w:rPr>
          <w:sz w:val="22"/>
        </w:rPr>
        <w:t xml:space="preserve"> INVESTICIJSKOG OKRUŽENJA</w:t>
      </w:r>
    </w:p>
    <w:p w:rsidR="0050036B" w:rsidRPr="004E6412" w:rsidRDefault="0050036B" w:rsidP="00EC02B1">
      <w:pPr>
        <w:numPr>
          <w:ilvl w:val="0"/>
          <w:numId w:val="269"/>
        </w:numPr>
        <w:ind w:left="1434" w:hanging="357"/>
        <w:rPr>
          <w:sz w:val="22"/>
        </w:rPr>
      </w:pPr>
      <w:r w:rsidRPr="004E6412">
        <w:rPr>
          <w:sz w:val="22"/>
        </w:rPr>
        <w:t>POTICANJE STRATEŠKE SURADNJE INDUSTRIJE I OBRAZOVNOG SUSTAVA</w:t>
      </w:r>
    </w:p>
    <w:p w:rsidR="0050036B" w:rsidRPr="004E6412" w:rsidRDefault="0050036B" w:rsidP="00EC02B1">
      <w:pPr>
        <w:numPr>
          <w:ilvl w:val="0"/>
          <w:numId w:val="269"/>
        </w:numPr>
        <w:ind w:left="1434" w:hanging="357"/>
        <w:rPr>
          <w:sz w:val="22"/>
        </w:rPr>
      </w:pPr>
      <w:r w:rsidRPr="004E6412">
        <w:rPr>
          <w:sz w:val="22"/>
        </w:rPr>
        <w:t>RESTRUKTURIRANJE JAVNE UPRAVE I ADMINISTRACIJE</w:t>
      </w:r>
    </w:p>
    <w:p w:rsidR="0050036B" w:rsidRPr="004E6412" w:rsidRDefault="0050036B" w:rsidP="00EC02B1">
      <w:pPr>
        <w:numPr>
          <w:ilvl w:val="0"/>
          <w:numId w:val="269"/>
        </w:numPr>
        <w:ind w:left="1434" w:hanging="357"/>
        <w:rPr>
          <w:sz w:val="22"/>
        </w:rPr>
      </w:pPr>
      <w:r w:rsidRPr="004E6412">
        <w:rPr>
          <w:sz w:val="22"/>
        </w:rPr>
        <w:t>RAZVOJ TRŽIŠTA KAPITALA (ALTERNATIVNIH IZVORA FINANCIRANJA)</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EC02B1" w:rsidRPr="004E6412" w:rsidRDefault="00EC02B1"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1" w:name="_Toc378069169"/>
      <w:r w:rsidRPr="004E6412">
        <w:lastRenderedPageBreak/>
        <w:t>P</w:t>
      </w:r>
      <w:r w:rsidR="008260F9" w:rsidRPr="004E6412">
        <w:t>rioritet 1: Stvaranje stabilnog</w:t>
      </w:r>
      <w:r w:rsidRPr="004E6412">
        <w:t xml:space="preserve"> investicijskog okruženja</w:t>
      </w:r>
      <w:bookmarkEnd w:id="1151"/>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0"/>
        </w:numPr>
        <w:rPr>
          <w:sz w:val="22"/>
        </w:rPr>
      </w:pPr>
      <w:r w:rsidRPr="004E6412">
        <w:rPr>
          <w:sz w:val="22"/>
        </w:rPr>
        <w:t>Osnova gospodarskog rasta i razvoja ovisna je o razini, strukturi i veličina investicija. Kada se govori o investicijama u kontekstu industrijske strategije misli se na dva osnovna tipa investicija: (1) investicije u fiksni kapital i (2) investicije u istraživanje i razvoj. Investicije u opremu, tehnologiju i druga materijalna sredstva predstavljaju nužnost za razvoj industrije, a to znači rast produktivnosti, povećanje zaposlenosti te, u konačnici, novu razinu  konkurentnosti. Investicije u istraživanje i razvoj, s ciljem ostvarivanja efekata koji proizlaze iz komercijalizacije inovacija, predstavljaju osnovu za postizanje dugoročne konkurentnosti, ali i nužan preduvjet za ostvarivanje glavnog strateškog cilja industrije (repozicioniranje identificiranih strateških djelatnosti na globalnom lancu vrijednosti prema proizvodnji proizvoda veće dodane vrijednosti).</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Uz navedene operativne mjere, a s ciljem stvaranja poticajnog investicijskog okruženja izrađena je i strategija poticanja investicija koja obuhvaća mjere na razini ukupnog gospodarstva.</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Osnovni cilj ovog prioriteta je osiguranje sigurnog poslovnog okružja investitorima, odnosno „sklapanje ugovora“ između države i investitora na razdoblje od  10 godina uz garanciju o nepromjenjivosti uvjeta poslovanja u odnosu na one koji su bili u trenutku pokretanja investicije za sve one projekte za koje država procijeni da pridonose ostvarenju strateških ciljeva industrije.</w:t>
      </w:r>
    </w:p>
    <w:p w:rsidR="0050036B" w:rsidRPr="004E6412" w:rsidRDefault="0050036B" w:rsidP="0050036B">
      <w:pPr>
        <w:rPr>
          <w:sz w:val="22"/>
        </w:rPr>
      </w:pPr>
    </w:p>
    <w:p w:rsidR="0050036B" w:rsidRPr="004E6412" w:rsidRDefault="0050036B" w:rsidP="00C81B3E">
      <w:pPr>
        <w:numPr>
          <w:ilvl w:val="0"/>
          <w:numId w:val="271"/>
        </w:numPr>
        <w:rPr>
          <w:b/>
          <w:sz w:val="22"/>
        </w:rPr>
      </w:pPr>
      <w:r w:rsidRPr="004E6412">
        <w:rPr>
          <w:b/>
          <w:sz w:val="22"/>
        </w:rPr>
        <w:t>Operativne mjere:</w:t>
      </w:r>
    </w:p>
    <w:p w:rsidR="0050036B" w:rsidRPr="004E6412" w:rsidRDefault="0050036B" w:rsidP="0050036B">
      <w:pPr>
        <w:rPr>
          <w:b/>
          <w:sz w:val="22"/>
        </w:rPr>
      </w:pPr>
    </w:p>
    <w:p w:rsidR="0050036B" w:rsidRPr="003E78A4" w:rsidRDefault="0050036B" w:rsidP="003E78A4">
      <w:pPr>
        <w:numPr>
          <w:ilvl w:val="1"/>
          <w:numId w:val="262"/>
        </w:numPr>
        <w:ind w:left="1429"/>
        <w:rPr>
          <w:sz w:val="22"/>
        </w:rPr>
      </w:pPr>
      <w:r w:rsidRPr="004E6412">
        <w:rPr>
          <w:sz w:val="22"/>
        </w:rPr>
        <w:t xml:space="preserve">Definiranje </w:t>
      </w:r>
      <w:r w:rsidR="008F21CF">
        <w:rPr>
          <w:sz w:val="22"/>
        </w:rPr>
        <w:t>odgovarajućih pravnih</w:t>
      </w:r>
      <w:r w:rsidR="00A15B7E">
        <w:rPr>
          <w:sz w:val="22"/>
        </w:rPr>
        <w:t xml:space="preserve"> propisa koji</w:t>
      </w:r>
      <w:r w:rsidRPr="004E6412">
        <w:rPr>
          <w:sz w:val="22"/>
        </w:rPr>
        <w:t xml:space="preserve"> će osigurati stabilne i nepromjenjive ključne uvjete poslovanja </w:t>
      </w:r>
      <w:r w:rsidR="00A15B7E" w:rsidRPr="00A15B7E">
        <w:rPr>
          <w:sz w:val="22"/>
        </w:rPr>
        <w:t>koji nisu pod utjecajem političkih promjena (porezna politika, troškovi radne snage, inflacija i druga regulatorna opterećenja)</w:t>
      </w:r>
      <w:r w:rsidR="00A15B7E">
        <w:rPr>
          <w:sz w:val="22"/>
        </w:rPr>
        <w:t xml:space="preserve"> </w:t>
      </w:r>
      <w:r w:rsidRPr="004E6412">
        <w:rPr>
          <w:sz w:val="22"/>
        </w:rPr>
        <w:t>za s</w:t>
      </w:r>
      <w:r w:rsidR="009A491D">
        <w:rPr>
          <w:sz w:val="22"/>
        </w:rPr>
        <w:t>ve investicije u fiksni kapital</w:t>
      </w:r>
      <w:r w:rsidRPr="004E6412">
        <w:rPr>
          <w:sz w:val="22"/>
        </w:rPr>
        <w:t xml:space="preserve"> za razdoblje od 10 godina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Posebne porezne olakšice za svako ulaganje koje se odnosi na transfer tehnologije i znanja (nema plaćanja poreza na dobit bez obzira na veličinu investicije na razdoblje od 10 godina uz uvjet zapošljavanja minimalno 5 osoba)</w:t>
      </w:r>
      <w:r w:rsidR="003E78A4">
        <w:rPr>
          <w:sz w:val="22"/>
        </w:rPr>
        <w:t xml:space="preserve"> </w:t>
      </w:r>
      <w:r w:rsidR="003E78A4" w:rsidRPr="003E78A4">
        <w:rPr>
          <w:sz w:val="22"/>
        </w:rPr>
        <w:t>–</w:t>
      </w:r>
      <w:r w:rsid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 Financijski poticaji pri zapošljavanju visoko obrazovane radne snage  (nema plaćanja doprinosa u prve dvije godine rada, a nakon toga porezne olakšice za edukaciju, stanovanje, usavršavanje)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Najam materijalnih resursa u vlasništvu RH  (poslovni prostori, zemljišta, industrijske zone ili drugi objekti koji su bez namjene) bez naknade za  investicije u tehnološko – istraživačke centre - „RH kao regionalni centar </w:t>
      </w:r>
      <w:r w:rsidR="008260F9" w:rsidRPr="004E6412">
        <w:rPr>
          <w:sz w:val="22"/>
        </w:rPr>
        <w:t>za istraživanje i razvoj naprednih</w:t>
      </w:r>
      <w:r w:rsidRPr="004E6412">
        <w:rPr>
          <w:sz w:val="22"/>
        </w:rPr>
        <w:t xml:space="preserve"> tehnologija“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Podrška (financijska i nematerijalna) za ulaganja u istraživanje, razvoj i inovacije kroz subvencioniranje do 25% prihvatljivih troškova i osiguranje adekvatne pomoći od znanstvene zajednice kroz materijalne i ljudske resurse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lastRenderedPageBreak/>
        <w:t>Sustav poticaja za zapošljavanje osoba starijih od 50 godina u izvozno orijentiranim poduzećima (osobe starije od 60 godina uz plaćanje 25% doprinosa, osobe starosti od 50 do 60 godina uz plaćanje 50% doprinosa)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Pojednostavljenje standarda i regulatornih mjera u procesu uvođenja novih proizvoda i usluga na tržište</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Sustav „dogovaranja“ investicijskih uvjeta za sve projekte od strateške važnosti</w:t>
      </w:r>
      <w:r w:rsidR="001A2375" w:rsidRPr="004E6412">
        <w:rPr>
          <w:rStyle w:val="FootnoteReference"/>
          <w:sz w:val="22"/>
        </w:rPr>
        <w:footnoteReference w:id="31"/>
      </w:r>
      <w:r w:rsidRPr="004E6412">
        <w:rPr>
          <w:sz w:val="22"/>
        </w:rPr>
        <w:t xml:space="preserve"> za razvoj industrije (potrebna infrastruktura, dozvole, porezi, ljudski resursi)</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1A2375" w:rsidP="00C81B3E">
      <w:pPr>
        <w:numPr>
          <w:ilvl w:val="1"/>
          <w:numId w:val="262"/>
        </w:numPr>
        <w:ind w:left="1429"/>
        <w:rPr>
          <w:sz w:val="22"/>
        </w:rPr>
      </w:pPr>
      <w:r w:rsidRPr="004E6412">
        <w:rPr>
          <w:sz w:val="22"/>
        </w:rPr>
        <w:t xml:space="preserve">Unapređenje, odnosno povećanje učinkovitosti </w:t>
      </w:r>
      <w:r w:rsidR="0050036B" w:rsidRPr="004E6412">
        <w:rPr>
          <w:sz w:val="22"/>
        </w:rPr>
        <w:t>regulatornog okvira za zaštitu prava intelektualnog vlasništva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Implementacija i kontinuirana prilagodba Strategije poticanja investicija promjenama u okruženju</w:t>
      </w:r>
      <w:r w:rsidR="003E78A4">
        <w:rPr>
          <w:sz w:val="22"/>
        </w:rPr>
        <w:t xml:space="preserve"> </w:t>
      </w:r>
      <w:r w:rsidR="003E78A4" w:rsidRPr="003E78A4">
        <w:rPr>
          <w:sz w:val="22"/>
        </w:rPr>
        <w:t xml:space="preserve">– </w:t>
      </w:r>
      <w:r w:rsidR="003E78A4" w:rsidRPr="003E78A4">
        <w:rPr>
          <w:i/>
          <w:sz w:val="22"/>
        </w:rPr>
        <w:t>horizontalna mjera</w:t>
      </w:r>
      <w:r w:rsidRPr="004E6412">
        <w:rPr>
          <w:sz w:val="22"/>
        </w:rPr>
        <w:t>.</w:t>
      </w:r>
    </w:p>
    <w:p w:rsidR="0050036B" w:rsidRPr="004E6412" w:rsidRDefault="0050036B" w:rsidP="0050036B">
      <w:pPr>
        <w:ind w:left="1429" w:hanging="720"/>
        <w:rPr>
          <w:sz w:val="22"/>
        </w:rPr>
      </w:pP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pStyle w:val="Heading2"/>
      </w:pPr>
      <w:bookmarkStart w:id="1152" w:name="_Toc378069170"/>
      <w:r w:rsidRPr="004E6412">
        <w:t>Prioritet 2: Poticanje strateške suradnje industrije i obrazovnog sustava</w:t>
      </w:r>
      <w:bookmarkEnd w:id="1152"/>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2"/>
        </w:numPr>
        <w:rPr>
          <w:sz w:val="22"/>
        </w:rPr>
      </w:pPr>
      <w:r w:rsidRPr="004E6412">
        <w:rPr>
          <w:sz w:val="22"/>
        </w:rPr>
        <w:t>Znanja, vještine i sposobnosti ljudskih resursa predstavljaju osnovu za ostvarivanje konkurentne prednosti poduzeća, industrije i gospodarstva. Najveći doprinos razvoju industrije i gospodarstva država može dati upravo kroz kvalitetan sustav obrazovanja. Osnova za privlačenje bilo kakvih investicija, uz stabilno političko i makroekonomsko okruženje, nalazi se u dostupnosti obrazovane radne snage. Važno je da država investicije u obrazovni sustav usmjerava u područja koju su važna i nužna za buduće potrebe razvoja industrije. S obzirom na brze i učestale promjene koje se događaju u okruženju, i time stvaraju kontinuiranu potrebu za novim znanjima i vještinama, izuzetno je važno da obrazovni sustav „prikuplja“ informacije iz okruženja i industrije te kontinuirano prilagođava obrazovni sustav novim potrebama za znanjem, a sve sa ciljem kako bi se kroz nova znanja potaknulo i novo zapošljavanje.</w:t>
      </w:r>
    </w:p>
    <w:p w:rsidR="0050036B" w:rsidRPr="004E6412" w:rsidRDefault="0050036B" w:rsidP="0050036B">
      <w:pPr>
        <w:rPr>
          <w:sz w:val="22"/>
        </w:rPr>
      </w:pPr>
    </w:p>
    <w:p w:rsidR="0050036B" w:rsidRPr="004E6412" w:rsidRDefault="0050036B" w:rsidP="00C81B3E">
      <w:pPr>
        <w:numPr>
          <w:ilvl w:val="0"/>
          <w:numId w:val="272"/>
        </w:numPr>
        <w:spacing w:after="120"/>
        <w:rPr>
          <w:b/>
          <w:sz w:val="22"/>
        </w:rPr>
      </w:pPr>
      <w:r w:rsidRPr="004E6412">
        <w:rPr>
          <w:b/>
          <w:sz w:val="22"/>
        </w:rPr>
        <w:t>Operativne mjere:</w:t>
      </w:r>
    </w:p>
    <w:p w:rsidR="00391679" w:rsidRPr="004E6412" w:rsidRDefault="0050036B" w:rsidP="00391679">
      <w:pPr>
        <w:numPr>
          <w:ilvl w:val="1"/>
          <w:numId w:val="263"/>
        </w:numPr>
        <w:ind w:left="1428"/>
        <w:rPr>
          <w:sz w:val="22"/>
        </w:rPr>
      </w:pPr>
      <w:r w:rsidRPr="004E6412">
        <w:rPr>
          <w:sz w:val="22"/>
        </w:rPr>
        <w:t>Zajednički sustav planiranja potreba za ljudskim resursima  industrije i obrazovnog sustava u ciklusima od 10 godina (u nekim industrijskim djelatnostima kontinuirano se javlja nedostatak ljudskih resursa potrebnih znanja i vještina, dok se, s druge strane, određena zanimanja kontinuirano „proizvode za skladište“ pri čemu se javlja nekoliko razina negativnih efekata po gospodarstvo)</w:t>
      </w:r>
      <w:r w:rsidR="008F21CF">
        <w:rPr>
          <w:sz w:val="22"/>
        </w:rPr>
        <w:t xml:space="preserve"> </w:t>
      </w:r>
      <w:r w:rsidR="008F21CF" w:rsidRPr="008F21CF">
        <w:rPr>
          <w:sz w:val="22"/>
        </w:rPr>
        <w:t xml:space="preserve">– </w:t>
      </w:r>
      <w:r w:rsidR="008F21CF" w:rsidRPr="008F21CF">
        <w:rPr>
          <w:i/>
          <w:sz w:val="22"/>
        </w:rPr>
        <w:t>horizontalna mjera</w:t>
      </w:r>
    </w:p>
    <w:p w:rsidR="00391679" w:rsidRPr="004E6412" w:rsidRDefault="00391679" w:rsidP="00391679">
      <w:pPr>
        <w:ind w:left="1428"/>
        <w:rPr>
          <w:sz w:val="22"/>
        </w:rPr>
      </w:pPr>
    </w:p>
    <w:p w:rsidR="00391679" w:rsidRPr="004E6412" w:rsidRDefault="00391679" w:rsidP="00391679">
      <w:pPr>
        <w:numPr>
          <w:ilvl w:val="1"/>
          <w:numId w:val="263"/>
        </w:numPr>
        <w:ind w:left="1428"/>
        <w:rPr>
          <w:sz w:val="22"/>
        </w:rPr>
      </w:pPr>
      <w:r w:rsidRPr="004E6412">
        <w:rPr>
          <w:sz w:val="22"/>
        </w:rPr>
        <w:t xml:space="preserve">Uskladiti </w:t>
      </w:r>
      <w:r w:rsidR="00E65626" w:rsidRPr="004E6412">
        <w:rPr>
          <w:sz w:val="22"/>
        </w:rPr>
        <w:t>prioritete i razvojne ciljeve Strategije</w:t>
      </w:r>
      <w:r w:rsidRPr="004E6412">
        <w:rPr>
          <w:sz w:val="22"/>
        </w:rPr>
        <w:t xml:space="preserve"> obrazov</w:t>
      </w:r>
      <w:r w:rsidR="00823A7F" w:rsidRPr="004E6412">
        <w:rPr>
          <w:sz w:val="22"/>
        </w:rPr>
        <w:t>a</w:t>
      </w:r>
      <w:r w:rsidRPr="004E6412">
        <w:rPr>
          <w:sz w:val="22"/>
        </w:rPr>
        <w:t>nja, znanosti i tehnologije i Industrijsk</w:t>
      </w:r>
      <w:r w:rsidR="00E65626" w:rsidRPr="004E6412">
        <w:rPr>
          <w:sz w:val="22"/>
        </w:rPr>
        <w:t>e</w:t>
      </w:r>
      <w:r w:rsidRPr="004E6412">
        <w:rPr>
          <w:sz w:val="22"/>
        </w:rPr>
        <w:t xml:space="preserve"> strategij</w:t>
      </w:r>
      <w:r w:rsidR="00E65626" w:rsidRPr="004E6412">
        <w:rPr>
          <w:sz w:val="22"/>
        </w:rPr>
        <w:t>e</w:t>
      </w:r>
      <w:r w:rsidRPr="004E6412">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E65626" w:rsidP="00C81B3E">
      <w:pPr>
        <w:numPr>
          <w:ilvl w:val="1"/>
          <w:numId w:val="263"/>
        </w:numPr>
        <w:ind w:left="1428"/>
        <w:rPr>
          <w:sz w:val="22"/>
        </w:rPr>
      </w:pPr>
      <w:r w:rsidRPr="004E6412">
        <w:rPr>
          <w:sz w:val="22"/>
        </w:rPr>
        <w:lastRenderedPageBreak/>
        <w:t>Sustav obrazovanja i znanosti</w:t>
      </w:r>
      <w:r w:rsidR="0050036B" w:rsidRPr="004E6412">
        <w:rPr>
          <w:sz w:val="22"/>
        </w:rPr>
        <w:t xml:space="preserve"> prilagoditi potrebama novih tehnologija i potrebama „zelene ekonomije“, odnosno sa 6 prioritetnih područja industrijske politike EU („key enabling technologies“: (1) napredne proizvodne tehnologije, (2) bioproizvodi, (3) čisti transport, (5) pametne mreže te (6) energetska i resursna efikasnost) koji bi trebali biti osnovni pokretač zapošljavanja mladih, takozvana „nov</w:t>
      </w:r>
      <w:r w:rsidR="008F21CF">
        <w:rPr>
          <w:sz w:val="22"/>
        </w:rPr>
        <w:t xml:space="preserve">a znanja za nova zapošljavanja“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9"/>
        <w:rPr>
          <w:sz w:val="22"/>
        </w:rPr>
      </w:pPr>
      <w:r w:rsidRPr="004E6412">
        <w:rPr>
          <w:sz w:val="22"/>
        </w:rPr>
        <w:t xml:space="preserve">Pojednostavniti sustav zapošljavanja stručnjaka iz inozemstva u područjima industrije gdje ne postoji dovoljna ili adekvatna ponuda radne snage na domaćem tržištu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poticajni model dodatne edukacije i zapošljavanja starije iskusne radne snage za potrebe industrije (subvencioniranje troškova edukacije i smanjenje doprinosa)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391679" w:rsidP="00C81B3E">
      <w:pPr>
        <w:numPr>
          <w:ilvl w:val="1"/>
          <w:numId w:val="263"/>
        </w:numPr>
        <w:ind w:left="1428"/>
        <w:rPr>
          <w:sz w:val="22"/>
        </w:rPr>
      </w:pPr>
      <w:r w:rsidRPr="004E6412">
        <w:rPr>
          <w:sz w:val="22"/>
        </w:rPr>
        <w:t>Razviti poticajni sustav za</w:t>
      </w:r>
      <w:r w:rsidR="0050036B" w:rsidRPr="004E6412">
        <w:rPr>
          <w:sz w:val="22"/>
        </w:rPr>
        <w:t xml:space="preserve"> privlačenje kvalitetne i obrazovane radne snage u industriju (u zadnjih 20 godina proces je bio obrnut, odnosno kvalitetna radna snaga zamjenjivala je područje industrije uslužnim i administrativnim poslovima)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Implementacija operativnih mjera Inovacijske strategije s naglaskom na jačanje inovacijskog potencijala gospodarstva te poticanje suradnje između poslovnog, javnog i znanstveno-istraživačkog sektora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 xml:space="preserve">Kontinuirano raditi na povećanju atraktivnosti strukovnih zanimanja </w:t>
      </w:r>
      <w:r w:rsidR="00E65626" w:rsidRPr="004E6412">
        <w:rPr>
          <w:sz w:val="22"/>
        </w:rPr>
        <w:t xml:space="preserve">iz područja strateških i povezanih djelatnosti </w:t>
      </w:r>
      <w:r w:rsidRPr="004E6412">
        <w:rPr>
          <w:sz w:val="22"/>
        </w:rPr>
        <w:t>(izrada plana promocije novih zanimanja na kojima se zasniva „zelena ekonomija“)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Potaknuti jači razvoj sustava stipendiranja i mentorstva kroz smanjenje doprinosa za zapošljavanje stipendiranih osoba u prvih 5 godina rada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sustav „identificiranja“, vrednovanja, privlačenja i zadržavanja talentiranih i „najpametnijih“ ljudi (osigurati stanovanje, razvoj, edukaciju i posao za minimalno 1000 osoba u razdoblju 2014. – 2020)</w:t>
      </w:r>
      <w:r w:rsidR="008F21CF">
        <w:rPr>
          <w:sz w:val="22"/>
        </w:rPr>
        <w:t xml:space="preserve"> </w:t>
      </w:r>
      <w:r w:rsidR="008F21CF" w:rsidRPr="008F21CF">
        <w:rPr>
          <w:sz w:val="22"/>
        </w:rPr>
        <w:t xml:space="preserve">– </w:t>
      </w:r>
      <w:r w:rsidR="008F21CF" w:rsidRPr="008F21CF">
        <w:rPr>
          <w:i/>
          <w:sz w:val="22"/>
        </w:rPr>
        <w:t>horizontalna mjera</w:t>
      </w:r>
      <w:r w:rsidRPr="004E6412">
        <w:rPr>
          <w:sz w:val="22"/>
        </w:rPr>
        <w:t>.</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3" w:name="_Toc378069171"/>
      <w:r w:rsidRPr="004E6412">
        <w:t>Prioritet 3: Restrukturiranje javne uprave i administracije</w:t>
      </w:r>
      <w:bookmarkEnd w:id="1153"/>
    </w:p>
    <w:p w:rsidR="0050036B" w:rsidRPr="004E6412" w:rsidRDefault="0050036B" w:rsidP="0050036B">
      <w:pPr>
        <w:rPr>
          <w:b/>
          <w:sz w:val="22"/>
        </w:rPr>
      </w:pPr>
    </w:p>
    <w:p w:rsidR="0050036B" w:rsidRPr="004E6412" w:rsidRDefault="0050036B" w:rsidP="0050036B">
      <w:pPr>
        <w:rPr>
          <w:b/>
          <w:sz w:val="22"/>
        </w:rPr>
      </w:pPr>
    </w:p>
    <w:p w:rsidR="0050036B" w:rsidRDefault="0050036B" w:rsidP="0050036B">
      <w:pPr>
        <w:numPr>
          <w:ilvl w:val="0"/>
          <w:numId w:val="273"/>
        </w:numPr>
        <w:rPr>
          <w:sz w:val="22"/>
        </w:rPr>
      </w:pPr>
      <w:r w:rsidRPr="004E6412">
        <w:rPr>
          <w:sz w:val="22"/>
        </w:rPr>
        <w:t xml:space="preserve">Jedan od ključnih čimbenika konkurentnosti poslovanja predstavlja efikasnost javne uprave i administracije. U gotovo svim analizama koje su se bavile ključnim problemima hrvatske industrije na prvom mjestu pojavljuje se institucionalno okruženje, odnosno neefikasna državna administracija, pravna nesigurnost, korupcija, opterećujuće administrativne procedure, nerazumljivi propisi te visoko i složeno porezno opterećenje. Unatoč činjenici da su određeni procesi na području restrukturiranja javne uprave pokrenuti, potrebno je naglasiti da još uvijek nije došlo do suštinskih promjena u načinu rada i razmišljanja. Proces implementacije industrijske strategije ne može se kvalitetno provesti bez temeljite </w:t>
      </w:r>
      <w:r w:rsidRPr="004E6412">
        <w:rPr>
          <w:sz w:val="22"/>
        </w:rPr>
        <w:lastRenderedPageBreak/>
        <w:t xml:space="preserve">reorganizacije poslovnih procesa u javnoj upravi, ali i ono što je važnije, promjena u pristupu radnim zadacima i poslu koji se obavlja. Sve dok rad za javnu upravu ili državu ne postane stvar prestiža ili ponosa teško da se može zaključiti da je proces restrukturiranja uspješno proveden. </w:t>
      </w:r>
    </w:p>
    <w:p w:rsidR="008F21CF" w:rsidRPr="004E6412" w:rsidRDefault="008F21CF" w:rsidP="008F21CF">
      <w:pPr>
        <w:ind w:left="720"/>
        <w:rPr>
          <w:sz w:val="22"/>
        </w:rPr>
      </w:pPr>
    </w:p>
    <w:p w:rsidR="008F21CF" w:rsidRPr="008F21CF" w:rsidRDefault="0050036B" w:rsidP="008F21CF">
      <w:pPr>
        <w:numPr>
          <w:ilvl w:val="0"/>
          <w:numId w:val="273"/>
        </w:numPr>
        <w:rPr>
          <w:sz w:val="22"/>
        </w:rPr>
      </w:pPr>
      <w:r w:rsidRPr="004E6412">
        <w:rPr>
          <w:sz w:val="22"/>
        </w:rPr>
        <w:t>Osnovni cilj ovog prioriteta je pružanje kvalitetne usluge privatnom sektoru koje se temelji na utvrđenim potrebama i kontinuiranoj interakciji između javnog i privatnog sektora, odnosno postizanje strateškog partnerstva.</w:t>
      </w:r>
    </w:p>
    <w:p w:rsidR="0050036B" w:rsidRPr="004E6412" w:rsidRDefault="0050036B" w:rsidP="0050036B">
      <w:pPr>
        <w:rPr>
          <w:sz w:val="22"/>
        </w:rPr>
      </w:pPr>
    </w:p>
    <w:p w:rsidR="0050036B" w:rsidRPr="004E6412" w:rsidRDefault="0050036B" w:rsidP="00C81B3E">
      <w:pPr>
        <w:numPr>
          <w:ilvl w:val="0"/>
          <w:numId w:val="273"/>
        </w:numPr>
        <w:spacing w:after="120"/>
        <w:rPr>
          <w:b/>
          <w:sz w:val="22"/>
        </w:rPr>
      </w:pPr>
      <w:r w:rsidRPr="004E6412">
        <w:rPr>
          <w:b/>
          <w:sz w:val="22"/>
        </w:rPr>
        <w:t>Operativne mjere:</w:t>
      </w: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numPr>
          <w:ilvl w:val="1"/>
          <w:numId w:val="274"/>
        </w:numPr>
        <w:ind w:left="1429" w:hanging="720"/>
        <w:rPr>
          <w:sz w:val="22"/>
        </w:rPr>
      </w:pPr>
      <w:r w:rsidRPr="004E6412">
        <w:rPr>
          <w:sz w:val="22"/>
        </w:rPr>
        <w:t>Kontinuirana prilagodba administrativnih procedura i propisa promjenama koje se događaju u okruženju s ciljem olakšavanja i stvaranja uvjeta za efikasnije poslovanje</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Uvođenje sustava ocjenjivanja i vrednovanja kvalitete usluga (rada) javne administracije od strane korisnika (privatni sektor) na kvartalnoj razini</w:t>
      </w:r>
      <w:r w:rsidR="00E65626" w:rsidRPr="004E6412">
        <w:rPr>
          <w:sz w:val="22"/>
        </w:rPr>
        <w:t xml:space="preserve">, te s time povezan sustav nagrađivanja i sankcioniranja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 xml:space="preserve">Informatizacija i transparentnost rada javne administracije u internim procesima, ali  i u obavljanju poslova s privatnim sektorom </w:t>
      </w:r>
    </w:p>
    <w:p w:rsidR="0050036B" w:rsidRPr="004E6412" w:rsidRDefault="0050036B" w:rsidP="0050036B">
      <w:pPr>
        <w:ind w:left="1429" w:hanging="720"/>
        <w:rPr>
          <w:sz w:val="22"/>
        </w:rPr>
      </w:pPr>
    </w:p>
    <w:p w:rsidR="0050036B" w:rsidRPr="004E6412" w:rsidRDefault="00EE13A9" w:rsidP="00C81B3E">
      <w:pPr>
        <w:numPr>
          <w:ilvl w:val="1"/>
          <w:numId w:val="274"/>
        </w:numPr>
        <w:ind w:left="1429" w:hanging="720"/>
        <w:rPr>
          <w:sz w:val="22"/>
        </w:rPr>
      </w:pPr>
      <w:r w:rsidRPr="004E6412">
        <w:rPr>
          <w:sz w:val="22"/>
        </w:rPr>
        <w:t>Reorganizacija rada javne uprave i administracije</w:t>
      </w:r>
      <w:r w:rsidR="0050036B" w:rsidRPr="004E6412">
        <w:rPr>
          <w:sz w:val="22"/>
        </w:rPr>
        <w:t xml:space="preserve"> na temelju sustava definiranja ciljeva, mjerenja radne efikasnosti i uspostave sustava nagrađivanja</w:t>
      </w:r>
    </w:p>
    <w:p w:rsidR="0050036B" w:rsidRPr="004E6412" w:rsidRDefault="0050036B" w:rsidP="0050036B">
      <w:pPr>
        <w:ind w:left="1429" w:hanging="720"/>
        <w:rPr>
          <w:sz w:val="22"/>
        </w:rPr>
      </w:pPr>
    </w:p>
    <w:p w:rsidR="00EE13A9" w:rsidRPr="004E6412" w:rsidRDefault="00EE13A9" w:rsidP="0050036B">
      <w:pPr>
        <w:numPr>
          <w:ilvl w:val="1"/>
          <w:numId w:val="274"/>
        </w:numPr>
        <w:ind w:left="1429" w:hanging="720"/>
        <w:rPr>
          <w:sz w:val="22"/>
        </w:rPr>
      </w:pPr>
      <w:r w:rsidRPr="004E6412">
        <w:rPr>
          <w:sz w:val="22"/>
        </w:rPr>
        <w:t xml:space="preserve">Unapređenje internog sustava praćenja efikasnosti i izvještavanja javne uprave i administracije </w:t>
      </w:r>
    </w:p>
    <w:p w:rsidR="0050036B" w:rsidRPr="004E6412" w:rsidRDefault="0050036B" w:rsidP="00EE13A9">
      <w:pPr>
        <w:ind w:left="1429"/>
        <w:rPr>
          <w:sz w:val="22"/>
        </w:rPr>
      </w:pPr>
    </w:p>
    <w:p w:rsidR="0050036B" w:rsidRPr="004E6412" w:rsidRDefault="00810BCF" w:rsidP="00C81B3E">
      <w:pPr>
        <w:numPr>
          <w:ilvl w:val="1"/>
          <w:numId w:val="274"/>
        </w:numPr>
        <w:ind w:left="1429" w:hanging="720"/>
        <w:rPr>
          <w:sz w:val="22"/>
        </w:rPr>
      </w:pPr>
      <w:r w:rsidRPr="004E6412">
        <w:rPr>
          <w:sz w:val="22"/>
        </w:rPr>
        <w:t xml:space="preserve">Povećanje </w:t>
      </w:r>
      <w:r w:rsidR="00344E5A" w:rsidRPr="004E6412">
        <w:rPr>
          <w:sz w:val="22"/>
        </w:rPr>
        <w:t>efikasnosti postojeće institucionalne infrastrukture agencija,</w:t>
      </w:r>
      <w:r w:rsidR="0050036B" w:rsidRPr="004E6412">
        <w:rPr>
          <w:sz w:val="22"/>
        </w:rPr>
        <w:t xml:space="preserve"> ureda</w:t>
      </w:r>
      <w:r w:rsidR="00344E5A" w:rsidRPr="004E6412">
        <w:rPr>
          <w:sz w:val="22"/>
        </w:rPr>
        <w:t xml:space="preserve"> i ministarstava usklađivanjem i koordinaci</w:t>
      </w:r>
      <w:r w:rsidRPr="004E6412">
        <w:rPr>
          <w:sz w:val="22"/>
        </w:rPr>
        <w:t>j</w:t>
      </w:r>
      <w:r w:rsidR="00344E5A" w:rsidRPr="004E6412">
        <w:rPr>
          <w:sz w:val="22"/>
        </w:rPr>
        <w:t xml:space="preserve">om djelovanja te potrebnom reorganizacijom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Razvoj analitičkih i savjetodavnih vještina s ciljem pružanja operativnih savjeta privatnom sektoru po ključnim pitanjima financiranja, pripreme projekata, transfera znanja i povezivanja s međunarodnom zajednicom</w:t>
      </w:r>
    </w:p>
    <w:p w:rsidR="0050036B" w:rsidRDefault="0050036B" w:rsidP="0050036B">
      <w:pPr>
        <w:rPr>
          <w:sz w:val="22"/>
        </w:rPr>
      </w:pPr>
    </w:p>
    <w:p w:rsidR="008F21CF" w:rsidRPr="004E6412" w:rsidRDefault="008F21CF" w:rsidP="008F21CF">
      <w:pPr>
        <w:numPr>
          <w:ilvl w:val="0"/>
          <w:numId w:val="285"/>
        </w:numPr>
        <w:rPr>
          <w:sz w:val="22"/>
        </w:rPr>
      </w:pPr>
      <w:r>
        <w:rPr>
          <w:sz w:val="22"/>
        </w:rPr>
        <w:t>Sve operativne mjere prioriteta 3 su horizontalne.</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4" w:name="_Toc378069172"/>
      <w:r w:rsidRPr="004E6412">
        <w:t>Prioritet 4: Razvoj tržišta kapitala – alternativni izvori financiranja</w:t>
      </w:r>
      <w:bookmarkEnd w:id="1154"/>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5"/>
        </w:numPr>
        <w:rPr>
          <w:sz w:val="22"/>
        </w:rPr>
      </w:pPr>
      <w:r w:rsidRPr="004E6412">
        <w:rPr>
          <w:sz w:val="22"/>
        </w:rPr>
        <w:t xml:space="preserve">S obzirom na činjenicu da se kao osnovni i dominantni izvor financiranja poduzetnika koriste bankarski krediti jasno je da uslijed bankarske krize dolazi do zaustavljanja investicijske aktivnosti, ali i drugih negativnih posljedica na gospodarstvo. Upravo je velika ovisnost industrije o bankarskom sektoru jedan od značajnih problema u procesu oporavka gospodarstva. Navedeni problem posebno je izražen u segmentu malih i srednjih poduzeća. Stoga razvoj tržišta kapitala kao alternativa financiranju investicija klasičnim bankarskim kreditima predstavlja kvalitetnu opciju. Relativno velika štednja građana u bankama </w:t>
      </w:r>
      <w:r w:rsidRPr="004E6412">
        <w:rPr>
          <w:sz w:val="22"/>
        </w:rPr>
        <w:lastRenderedPageBreak/>
        <w:t>predstavlja veliki potencijal koji bi se mogao iskoristiti za pokretanje specifičnih investicijskih projekata kroz alternativne izvore financiranja.</w:t>
      </w:r>
    </w:p>
    <w:p w:rsidR="0050036B" w:rsidRPr="004E6412" w:rsidRDefault="0050036B" w:rsidP="0050036B">
      <w:pPr>
        <w:ind w:left="720"/>
        <w:rPr>
          <w:sz w:val="22"/>
        </w:rPr>
      </w:pPr>
    </w:p>
    <w:p w:rsidR="0050036B" w:rsidRPr="004E6412" w:rsidRDefault="0050036B" w:rsidP="00C81B3E">
      <w:pPr>
        <w:numPr>
          <w:ilvl w:val="0"/>
          <w:numId w:val="275"/>
        </w:numPr>
        <w:spacing w:after="120"/>
        <w:rPr>
          <w:b/>
          <w:sz w:val="22"/>
        </w:rPr>
      </w:pPr>
      <w:r w:rsidRPr="004E6412">
        <w:rPr>
          <w:b/>
          <w:sz w:val="22"/>
        </w:rPr>
        <w:t>Operativne mjere:</w:t>
      </w: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numPr>
          <w:ilvl w:val="1"/>
          <w:numId w:val="261"/>
        </w:numPr>
        <w:ind w:left="1429"/>
        <w:rPr>
          <w:sz w:val="22"/>
        </w:rPr>
      </w:pPr>
      <w:r w:rsidRPr="004E6412">
        <w:rPr>
          <w:sz w:val="22"/>
        </w:rPr>
        <w:t>Donošenje poticajnih mjera za snažniju aktivnost fondova rizičnog kapitala i poslovnih anđela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Aktivno sudjelovanje države u razvoju i radu specijaliziranih fondova rizičnog kapitala (istraživanje i razvoj, mezanin, . . .)</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Osnivanje fonda rizičnog kapitala specijaliziranog za ulaganje u komercijalizaciju registriranih patenata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posebnih programa financiranja (osiguranja) izvoza od strane HBOR-a  za strateške industrije Republike Hrvatske</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poticajnih poreznih mjera za ulaganja fondova rizičnog kapitala u izvozno orijentirana visokotehnološka poduzeća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Organizacija prikupljanja popisa i značajki svih projekata iz područja tehnologije i inovacija koji nisu uspjeli pronaći sredstva za financiranje razvoja s ciljem utvrđivanja potencijala za aktivnu ulogu države u organizaciji financiranja (banka ili fondovi rizičnog kapitala)</w:t>
      </w:r>
      <w:r w:rsidR="008F21CF">
        <w:rPr>
          <w:sz w:val="22"/>
        </w:rPr>
        <w:t xml:space="preserve"> </w:t>
      </w:r>
      <w:r w:rsidR="008F21CF" w:rsidRPr="008F21CF">
        <w:rPr>
          <w:sz w:val="22"/>
        </w:rPr>
        <w:t xml:space="preserve">– </w:t>
      </w:r>
      <w:r w:rsidR="008F21CF" w:rsidRPr="008F21CF">
        <w:rPr>
          <w:i/>
          <w:sz w:val="22"/>
        </w:rPr>
        <w:t>horizontalna mjera</w:t>
      </w:r>
      <w:r w:rsidR="008F21CF">
        <w:rPr>
          <w:i/>
          <w:sz w:val="22"/>
        </w:rPr>
        <w:t>.</w:t>
      </w: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spacing w:after="200"/>
        <w:jc w:val="left"/>
        <w:rPr>
          <w:rFonts w:asciiTheme="majorHAnsi" w:eastAsiaTheme="majorEastAsia" w:hAnsiTheme="majorHAnsi" w:cstheme="majorBidi"/>
          <w:color w:val="17365D" w:themeColor="text2" w:themeShade="BF"/>
          <w:spacing w:val="5"/>
          <w:kern w:val="28"/>
          <w:sz w:val="52"/>
          <w:szCs w:val="52"/>
        </w:rPr>
      </w:pPr>
      <w:r w:rsidRPr="004E6412">
        <w:br w:type="page"/>
      </w:r>
    </w:p>
    <w:p w:rsidR="0050036B" w:rsidRPr="004E6412" w:rsidRDefault="00A27012" w:rsidP="0050036B">
      <w:pPr>
        <w:pStyle w:val="Title"/>
      </w:pPr>
      <w:bookmarkStart w:id="1155" w:name="_Toc378069173"/>
      <w:r>
        <w:lastRenderedPageBreak/>
        <w:t>Provedba</w:t>
      </w:r>
      <w:r w:rsidR="0050036B" w:rsidRPr="004E6412">
        <w:t xml:space="preserve"> strategije</w:t>
      </w:r>
      <w:bookmarkEnd w:id="1155"/>
    </w:p>
    <w:p w:rsidR="0050036B" w:rsidRPr="004E6412" w:rsidRDefault="0050036B" w:rsidP="0050036B"/>
    <w:p w:rsidR="00A27012" w:rsidRPr="007A5251" w:rsidRDefault="00A27012" w:rsidP="00A27012">
      <w:pPr>
        <w:numPr>
          <w:ilvl w:val="0"/>
          <w:numId w:val="248"/>
        </w:numPr>
        <w:rPr>
          <w:sz w:val="22"/>
        </w:rPr>
      </w:pPr>
      <w:r w:rsidRPr="007A5251">
        <w:rPr>
          <w:sz w:val="22"/>
        </w:rPr>
        <w:t>Uspjeh procesa strateškog</w:t>
      </w:r>
      <w:r>
        <w:rPr>
          <w:sz w:val="22"/>
        </w:rPr>
        <w:t>a</w:t>
      </w:r>
      <w:r w:rsidRPr="007A5251">
        <w:rPr>
          <w:sz w:val="22"/>
        </w:rPr>
        <w:t xml:space="preserve"> planiranja ovisi o kvaliteti posljednjeg</w:t>
      </w:r>
      <w:r>
        <w:rPr>
          <w:sz w:val="22"/>
        </w:rPr>
        <w:t>a koraka - provedbe strategije. U procesu izrade I</w:t>
      </w:r>
      <w:r w:rsidRPr="007A5251">
        <w:rPr>
          <w:sz w:val="22"/>
        </w:rPr>
        <w:t>ndustrijske strategije utvrđeni su ključni probl</w:t>
      </w:r>
      <w:r>
        <w:rPr>
          <w:sz w:val="22"/>
        </w:rPr>
        <w:t>emi industrije, a sukladno tome</w:t>
      </w:r>
      <w:r w:rsidRPr="007A5251">
        <w:rPr>
          <w:sz w:val="22"/>
        </w:rPr>
        <w:t xml:space="preserve"> i prioritetna područja za rješavanje utvrđenih problema. Međuti</w:t>
      </w:r>
      <w:r>
        <w:rPr>
          <w:sz w:val="22"/>
        </w:rPr>
        <w:t>m, najvažniji čimbenik uspjeha I</w:t>
      </w:r>
      <w:r w:rsidRPr="007A5251">
        <w:rPr>
          <w:sz w:val="22"/>
        </w:rPr>
        <w:t xml:space="preserve">ndustrijske strategije nalazi se </w:t>
      </w:r>
      <w:r>
        <w:rPr>
          <w:sz w:val="22"/>
        </w:rPr>
        <w:t xml:space="preserve">u načinu i kvaliteti </w:t>
      </w:r>
      <w:r w:rsidRPr="007A5251">
        <w:rPr>
          <w:sz w:val="22"/>
        </w:rPr>
        <w:t>proce</w:t>
      </w:r>
      <w:r>
        <w:rPr>
          <w:sz w:val="22"/>
        </w:rPr>
        <w:t>sa provedbe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Prije navođenja osnovnih problema i definiranja pravila za us</w:t>
      </w:r>
      <w:r>
        <w:rPr>
          <w:sz w:val="22"/>
        </w:rPr>
        <w:t>pješno provođenje Strategije, u nastavku se navodi</w:t>
      </w:r>
      <w:r w:rsidRPr="007A5251">
        <w:rPr>
          <w:sz w:val="22"/>
        </w:rPr>
        <w:t xml:space="preserve"> nekoliko osnovnih zaključaka po pitanju dosadašnjeg</w:t>
      </w:r>
      <w:r>
        <w:rPr>
          <w:sz w:val="22"/>
        </w:rPr>
        <w:t>a</w:t>
      </w:r>
      <w:r w:rsidRPr="007A5251">
        <w:rPr>
          <w:sz w:val="22"/>
        </w:rPr>
        <w:t xml:space="preserve"> procesa strateškog</w:t>
      </w:r>
      <w:r>
        <w:rPr>
          <w:sz w:val="22"/>
        </w:rPr>
        <w:t>a</w:t>
      </w:r>
      <w:r w:rsidRPr="007A5251">
        <w:rPr>
          <w:sz w:val="22"/>
        </w:rPr>
        <w:t xml:space="preserve"> planiranja koji se provodio na razini Ministarstva.</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 xml:space="preserve">Opći zaključak je kako </w:t>
      </w:r>
      <w:r>
        <w:rPr>
          <w:sz w:val="22"/>
        </w:rPr>
        <w:t>ključni nositelji provedbe</w:t>
      </w:r>
      <w:r w:rsidRPr="007A5251">
        <w:rPr>
          <w:sz w:val="22"/>
        </w:rPr>
        <w:t xml:space="preserve"> (srednja razina upravljanja i ključni zapo</w:t>
      </w:r>
      <w:r>
        <w:rPr>
          <w:sz w:val="22"/>
        </w:rPr>
        <w:t xml:space="preserve">slenici) nisu bili upoznati </w:t>
      </w:r>
      <w:r w:rsidRPr="007A5251">
        <w:rPr>
          <w:sz w:val="22"/>
        </w:rPr>
        <w:t>sa sadržajem strateških do</w:t>
      </w:r>
      <w:r>
        <w:rPr>
          <w:sz w:val="22"/>
        </w:rPr>
        <w:t>kumenata, a u nekim situacijama čak ni</w:t>
      </w:r>
      <w:r w:rsidRPr="007A5251">
        <w:rPr>
          <w:sz w:val="22"/>
        </w:rPr>
        <w:t xml:space="preserve"> s činjenicom da određena strateg</w:t>
      </w:r>
      <w:r>
        <w:rPr>
          <w:sz w:val="22"/>
        </w:rPr>
        <w:t>ija postoji i da je službeno</w:t>
      </w:r>
      <w:r w:rsidRPr="007A5251">
        <w:rPr>
          <w:sz w:val="22"/>
        </w:rPr>
        <w:t xml:space="preserve"> usvojena. Tak</w:t>
      </w:r>
      <w:r>
        <w:rPr>
          <w:sz w:val="22"/>
        </w:rPr>
        <w:t>va spoznaja jasno potvrđuje pretpostavku da se određena</w:t>
      </w:r>
      <w:r w:rsidRPr="007A5251">
        <w:rPr>
          <w:sz w:val="22"/>
        </w:rPr>
        <w:t xml:space="preserve"> s</w:t>
      </w:r>
      <w:r>
        <w:rPr>
          <w:sz w:val="22"/>
        </w:rPr>
        <w:t>trategija, ako je do izrade uopće i došlo, izradila</w:t>
      </w:r>
      <w:r w:rsidRPr="007A5251">
        <w:rPr>
          <w:sz w:val="22"/>
        </w:rPr>
        <w:t xml:space="preserve"> isključivo iz formalnih razloga. </w:t>
      </w:r>
    </w:p>
    <w:p w:rsidR="00A27012" w:rsidRPr="007A5251" w:rsidRDefault="00A27012" w:rsidP="00A27012">
      <w:pPr>
        <w:rPr>
          <w:sz w:val="22"/>
        </w:rPr>
      </w:pPr>
    </w:p>
    <w:p w:rsidR="00A27012" w:rsidRPr="007A5251" w:rsidRDefault="00A27012" w:rsidP="00A27012">
      <w:pPr>
        <w:numPr>
          <w:ilvl w:val="0"/>
          <w:numId w:val="249"/>
        </w:numPr>
        <w:rPr>
          <w:sz w:val="22"/>
        </w:rPr>
      </w:pPr>
      <w:r>
        <w:rPr>
          <w:sz w:val="22"/>
        </w:rPr>
        <w:t>Prema raspoloživim</w:t>
      </w:r>
      <w:r w:rsidRPr="007A5251">
        <w:rPr>
          <w:sz w:val="22"/>
        </w:rPr>
        <w:t xml:space="preserve"> informacijama, osim dokumenta koji je izrađen tijekom 2009.</w:t>
      </w:r>
      <w:r w:rsidRPr="007A5251">
        <w:rPr>
          <w:sz w:val="22"/>
          <w:vertAlign w:val="superscript"/>
        </w:rPr>
        <w:footnoteReference w:id="32"/>
      </w:r>
      <w:r w:rsidRPr="007A5251">
        <w:rPr>
          <w:sz w:val="22"/>
        </w:rPr>
        <w:t xml:space="preserve"> </w:t>
      </w:r>
      <w:r w:rsidRPr="007A5251">
        <w:rPr>
          <w:i/>
          <w:sz w:val="22"/>
        </w:rPr>
        <w:t xml:space="preserve">kao „... jedne od sastavnica za buduće strateško pozicioniranje prerađivačke industrije RH s približavanjem i ulaskom u EU“, </w:t>
      </w:r>
      <w:r>
        <w:rPr>
          <w:sz w:val="22"/>
        </w:rPr>
        <w:t xml:space="preserve">od samostalnosti Republike Hrvatske </w:t>
      </w:r>
      <w:r w:rsidRPr="007A5251">
        <w:rPr>
          <w:sz w:val="22"/>
        </w:rPr>
        <w:t>do sada nije izrađena strategija industrijskog</w:t>
      </w:r>
      <w:r>
        <w:rPr>
          <w:sz w:val="22"/>
        </w:rPr>
        <w:t>a</w:t>
      </w:r>
      <w:r w:rsidRPr="007A5251">
        <w:rPr>
          <w:sz w:val="22"/>
        </w:rPr>
        <w:t xml:space="preserve"> razvoja Republike Hrvatske</w:t>
      </w:r>
      <w:r w:rsidRPr="007A5251">
        <w:rPr>
          <w:i/>
          <w:sz w:val="22"/>
        </w:rPr>
        <w:t>.</w:t>
      </w:r>
      <w:r w:rsidRPr="007A5251">
        <w:rPr>
          <w:sz w:val="22"/>
        </w:rPr>
        <w:t xml:space="preserve"> Činjenica koja najbolje prikazuje odnos djelatnika Ministarstva prema navedenom</w:t>
      </w:r>
      <w:r>
        <w:rPr>
          <w:sz w:val="22"/>
        </w:rPr>
        <w:t>e</w:t>
      </w:r>
      <w:r w:rsidRPr="007A5251">
        <w:rPr>
          <w:sz w:val="22"/>
        </w:rPr>
        <w:t xml:space="preserve"> strateškom</w:t>
      </w:r>
      <w:r>
        <w:rPr>
          <w:sz w:val="22"/>
        </w:rPr>
        <w:t>e</w:t>
      </w:r>
      <w:r w:rsidRPr="007A5251">
        <w:rPr>
          <w:sz w:val="22"/>
        </w:rPr>
        <w:t xml:space="preserve"> dokumentu jest da većina zaposlenika nije n</w:t>
      </w:r>
      <w:r>
        <w:rPr>
          <w:sz w:val="22"/>
        </w:rPr>
        <w:t>i</w:t>
      </w:r>
      <w:r w:rsidRPr="007A5251">
        <w:rPr>
          <w:sz w:val="22"/>
        </w:rPr>
        <w:t xml:space="preserve"> znala za postojanje istog.</w:t>
      </w:r>
    </w:p>
    <w:p w:rsidR="00A27012" w:rsidRPr="007A5251" w:rsidRDefault="00A27012" w:rsidP="00A27012">
      <w:pPr>
        <w:rPr>
          <w:sz w:val="22"/>
        </w:rPr>
      </w:pPr>
    </w:p>
    <w:p w:rsidR="00A27012" w:rsidRPr="007A5251" w:rsidRDefault="00A27012" w:rsidP="00A27012">
      <w:pPr>
        <w:numPr>
          <w:ilvl w:val="0"/>
          <w:numId w:val="250"/>
        </w:numPr>
        <w:rPr>
          <w:sz w:val="22"/>
        </w:rPr>
      </w:pPr>
      <w:r>
        <w:rPr>
          <w:sz w:val="22"/>
        </w:rPr>
        <w:t>Nadalje, u procesu izrade I</w:t>
      </w:r>
      <w:r w:rsidRPr="007A5251">
        <w:rPr>
          <w:sz w:val="22"/>
        </w:rPr>
        <w:t>ndust</w:t>
      </w:r>
      <w:r>
        <w:rPr>
          <w:sz w:val="22"/>
        </w:rPr>
        <w:t>rijske strategije 2014. – 2020.</w:t>
      </w:r>
      <w:r w:rsidRPr="007A5251">
        <w:rPr>
          <w:sz w:val="22"/>
        </w:rPr>
        <w:t xml:space="preserve"> bilo je gotovo nemoguće doći do bilo kakvih podataka i informacija temeljem kojih bi se moglo napraviti vrednovanje operativnih mjera i aktivnosti koje je Ministarstvo provodil</w:t>
      </w:r>
      <w:r>
        <w:rPr>
          <w:sz w:val="22"/>
        </w:rPr>
        <w:t>o u zadnjih nekoliko godina. Na</w:t>
      </w:r>
      <w:r w:rsidRPr="007A5251">
        <w:rPr>
          <w:sz w:val="22"/>
        </w:rPr>
        <w:t xml:space="preserve">žalost, ne postoji informacijski </w:t>
      </w:r>
      <w:r>
        <w:rPr>
          <w:sz w:val="22"/>
        </w:rPr>
        <w:t>sustav koji prati provedbu S</w:t>
      </w:r>
      <w:r w:rsidRPr="007A5251">
        <w:rPr>
          <w:sz w:val="22"/>
        </w:rPr>
        <w:t>trategije (operativni programi i mjere Min</w:t>
      </w:r>
      <w:r>
        <w:rPr>
          <w:sz w:val="22"/>
        </w:rPr>
        <w:t>istarstva), ne postoji centralna</w:t>
      </w:r>
      <w:r w:rsidRPr="007A5251">
        <w:rPr>
          <w:sz w:val="22"/>
        </w:rPr>
        <w:t xml:space="preserve"> baza informacija o korisnicima potpora, ne postoji sustav i prak</w:t>
      </w:r>
      <w:r>
        <w:rPr>
          <w:sz w:val="22"/>
        </w:rPr>
        <w:t>sa praćenja realizacije potpora niti postoje</w:t>
      </w:r>
      <w:r w:rsidRPr="007A5251">
        <w:rPr>
          <w:sz w:val="22"/>
        </w:rPr>
        <w:t xml:space="preserve"> želja i motivacija djelatnika za aktivnim uklju</w:t>
      </w:r>
      <w:r>
        <w:rPr>
          <w:sz w:val="22"/>
        </w:rPr>
        <w:t>čivanjem u proces provedbe</w:t>
      </w:r>
      <w:r w:rsidRPr="007A5251">
        <w:rPr>
          <w:sz w:val="22"/>
        </w:rPr>
        <w:t xml:space="preserve">. Postojeći sustav i organizacija funkcioniraju na </w:t>
      </w:r>
      <w:r w:rsidRPr="007A5251">
        <w:rPr>
          <w:i/>
          <w:sz w:val="22"/>
        </w:rPr>
        <w:t>ad hoc</w:t>
      </w:r>
      <w:r w:rsidRPr="007A5251">
        <w:rPr>
          <w:sz w:val="22"/>
        </w:rPr>
        <w:t xml:space="preserve"> osnovi bez jasno definiranih ciljeva i kriterija uspješnosti. </w:t>
      </w:r>
    </w:p>
    <w:p w:rsidR="00A27012" w:rsidRPr="007A5251" w:rsidRDefault="00A27012" w:rsidP="00A27012">
      <w:pPr>
        <w:rPr>
          <w:sz w:val="22"/>
        </w:rPr>
      </w:pPr>
    </w:p>
    <w:p w:rsidR="00A27012" w:rsidRPr="007A5251" w:rsidRDefault="00A27012" w:rsidP="00A27012">
      <w:pPr>
        <w:numPr>
          <w:ilvl w:val="0"/>
          <w:numId w:val="251"/>
        </w:numPr>
        <w:rPr>
          <w:sz w:val="22"/>
        </w:rPr>
      </w:pPr>
      <w:r w:rsidRPr="007A5251">
        <w:rPr>
          <w:sz w:val="22"/>
        </w:rPr>
        <w:t xml:space="preserve">Osnovne karakteristike postojećeg sustava su: </w:t>
      </w:r>
    </w:p>
    <w:p w:rsidR="00A27012" w:rsidRPr="007A5251" w:rsidRDefault="00A27012" w:rsidP="00A27012">
      <w:pPr>
        <w:numPr>
          <w:ilvl w:val="1"/>
          <w:numId w:val="251"/>
        </w:numPr>
        <w:rPr>
          <w:sz w:val="22"/>
        </w:rPr>
      </w:pPr>
      <w:r w:rsidRPr="007A5251">
        <w:rPr>
          <w:sz w:val="22"/>
        </w:rPr>
        <w:t>Inertnost, otpor prema promjenama i nedostatak jasnih prioriteta</w:t>
      </w:r>
      <w:r>
        <w:rPr>
          <w:sz w:val="22"/>
        </w:rPr>
        <w:t xml:space="preserve"> kod srednje razine menadžmenta;</w:t>
      </w:r>
    </w:p>
    <w:p w:rsidR="00A27012" w:rsidRPr="007A5251" w:rsidRDefault="00A27012" w:rsidP="00A27012">
      <w:pPr>
        <w:numPr>
          <w:ilvl w:val="1"/>
          <w:numId w:val="251"/>
        </w:numPr>
        <w:rPr>
          <w:sz w:val="22"/>
        </w:rPr>
      </w:pPr>
      <w:r w:rsidRPr="007A5251">
        <w:rPr>
          <w:sz w:val="22"/>
        </w:rPr>
        <w:t>Nedostatak povjerenja; strategija i ciljevi pos</w:t>
      </w:r>
      <w:r>
        <w:rPr>
          <w:sz w:val="22"/>
        </w:rPr>
        <w:t>lovanja nisu kvalitetno predstavljeni i objašnjeni zaposlenicima;</w:t>
      </w:r>
      <w:r w:rsidRPr="007A5251">
        <w:rPr>
          <w:sz w:val="22"/>
        </w:rPr>
        <w:t xml:space="preserve"> </w:t>
      </w:r>
    </w:p>
    <w:p w:rsidR="00A27012" w:rsidRPr="007A5251" w:rsidRDefault="00A27012" w:rsidP="00A27012">
      <w:pPr>
        <w:numPr>
          <w:ilvl w:val="1"/>
          <w:numId w:val="251"/>
        </w:numPr>
        <w:rPr>
          <w:sz w:val="22"/>
        </w:rPr>
      </w:pPr>
      <w:r w:rsidRPr="007A5251">
        <w:rPr>
          <w:sz w:val="22"/>
        </w:rPr>
        <w:t>Nedisciplina; posljedica ignoriranja ili zane</w:t>
      </w:r>
      <w:r>
        <w:rPr>
          <w:sz w:val="22"/>
        </w:rPr>
        <w:t>marivanja procesa provedbe</w:t>
      </w:r>
      <w:r w:rsidRPr="007A5251">
        <w:rPr>
          <w:sz w:val="22"/>
        </w:rPr>
        <w:t xml:space="preserve"> strategije od strane „ključnih osoba“ što je dovelo do odmaka od definiranog</w:t>
      </w:r>
      <w:r>
        <w:rPr>
          <w:sz w:val="22"/>
        </w:rPr>
        <w:t>a</w:t>
      </w:r>
      <w:r w:rsidRPr="007A5251">
        <w:rPr>
          <w:sz w:val="22"/>
        </w:rPr>
        <w:t xml:space="preserve"> pravca djelovanja i dezorijentacije</w:t>
      </w:r>
      <w:r>
        <w:rPr>
          <w:sz w:val="22"/>
        </w:rPr>
        <w:t>;</w:t>
      </w:r>
    </w:p>
    <w:p w:rsidR="00A27012" w:rsidRPr="007A5251" w:rsidRDefault="00A27012" w:rsidP="00A27012">
      <w:pPr>
        <w:numPr>
          <w:ilvl w:val="1"/>
          <w:numId w:val="251"/>
        </w:numPr>
        <w:rPr>
          <w:sz w:val="22"/>
        </w:rPr>
      </w:pPr>
      <w:r w:rsidRPr="007A5251">
        <w:rPr>
          <w:sz w:val="22"/>
        </w:rPr>
        <w:lastRenderedPageBreak/>
        <w:t>„Razvodnjavanje“ strategije; nepovjerenje u strateške ciljeve i nemogućn</w:t>
      </w:r>
      <w:r>
        <w:rPr>
          <w:sz w:val="22"/>
        </w:rPr>
        <w:t>ost realizacije dovodi do nerazumijevanja</w:t>
      </w:r>
      <w:r w:rsidRPr="007A5251">
        <w:rPr>
          <w:sz w:val="22"/>
        </w:rPr>
        <w:t xml:space="preserve"> i nepovjerenja u strategiju</w:t>
      </w:r>
      <w:r>
        <w:rPr>
          <w:sz w:val="22"/>
        </w:rPr>
        <w:t>;</w:t>
      </w:r>
    </w:p>
    <w:p w:rsidR="00A27012" w:rsidRPr="007A5251" w:rsidRDefault="00A27012" w:rsidP="00A27012">
      <w:pPr>
        <w:numPr>
          <w:ilvl w:val="1"/>
          <w:numId w:val="251"/>
        </w:numPr>
        <w:rPr>
          <w:sz w:val="22"/>
        </w:rPr>
      </w:pPr>
      <w:r w:rsidRPr="007A5251">
        <w:rPr>
          <w:sz w:val="22"/>
        </w:rPr>
        <w:t>„Izolacija“ strategije; loši ili nepostojeći komunikacijski kanali između strategije</w:t>
      </w:r>
      <w:r>
        <w:rPr>
          <w:sz w:val="22"/>
        </w:rPr>
        <w:t xml:space="preserve"> i provedbe</w:t>
      </w:r>
      <w:r w:rsidRPr="007A5251">
        <w:rPr>
          <w:sz w:val="22"/>
        </w:rPr>
        <w:t xml:space="preserve"> (zaposlenika)</w:t>
      </w:r>
      <w:r>
        <w:rPr>
          <w:sz w:val="22"/>
        </w:rPr>
        <w:t>;</w:t>
      </w:r>
    </w:p>
    <w:p w:rsidR="00A27012" w:rsidRPr="007A5251" w:rsidRDefault="00A27012" w:rsidP="00A27012">
      <w:pPr>
        <w:numPr>
          <w:ilvl w:val="1"/>
          <w:numId w:val="251"/>
        </w:numPr>
        <w:rPr>
          <w:sz w:val="22"/>
        </w:rPr>
      </w:pPr>
      <w:r w:rsidRPr="007A5251">
        <w:rPr>
          <w:sz w:val="22"/>
        </w:rPr>
        <w:t>Nepostojanje sustava mjerenja i kontrole, odnosno kvantitat</w:t>
      </w:r>
      <w:r>
        <w:rPr>
          <w:sz w:val="22"/>
        </w:rPr>
        <w:t>ivnih i kvalitativnih pokazatelja</w:t>
      </w:r>
      <w:r w:rsidRPr="007A5251">
        <w:rPr>
          <w:sz w:val="22"/>
        </w:rPr>
        <w:t xml:space="preserve"> uspješnosti realizacije strateških ciljeva</w:t>
      </w:r>
      <w:r>
        <w:rPr>
          <w:sz w:val="22"/>
        </w:rPr>
        <w:t>;</w:t>
      </w:r>
    </w:p>
    <w:p w:rsidR="00A27012" w:rsidRPr="007A5251" w:rsidRDefault="00A27012" w:rsidP="00A27012">
      <w:pPr>
        <w:numPr>
          <w:ilvl w:val="1"/>
          <w:numId w:val="251"/>
        </w:numPr>
        <w:rPr>
          <w:sz w:val="22"/>
        </w:rPr>
      </w:pPr>
      <w:r w:rsidRPr="007A5251">
        <w:rPr>
          <w:sz w:val="22"/>
        </w:rPr>
        <w:t xml:space="preserve">„Zamor organizacije“; puno </w:t>
      </w:r>
      <w:r>
        <w:rPr>
          <w:sz w:val="22"/>
        </w:rPr>
        <w:t xml:space="preserve">se toga </w:t>
      </w:r>
      <w:r w:rsidRPr="007A5251">
        <w:rPr>
          <w:sz w:val="22"/>
        </w:rPr>
        <w:t>započelo, a</w:t>
      </w:r>
      <w:r>
        <w:rPr>
          <w:sz w:val="22"/>
        </w:rPr>
        <w:t xml:space="preserve"> nikad se nije </w:t>
      </w:r>
      <w:r w:rsidRPr="007A5251">
        <w:rPr>
          <w:sz w:val="22"/>
        </w:rPr>
        <w:t>završilo</w:t>
      </w:r>
      <w:r>
        <w:rPr>
          <w:sz w:val="22"/>
        </w:rPr>
        <w:t>;</w:t>
      </w:r>
    </w:p>
    <w:p w:rsidR="00A27012" w:rsidRPr="007A5251" w:rsidRDefault="00A27012" w:rsidP="00A27012">
      <w:pPr>
        <w:numPr>
          <w:ilvl w:val="1"/>
          <w:numId w:val="251"/>
        </w:numPr>
        <w:rPr>
          <w:sz w:val="22"/>
        </w:rPr>
      </w:pPr>
      <w:r w:rsidRPr="007A5251">
        <w:rPr>
          <w:sz w:val="22"/>
        </w:rPr>
        <w:t xml:space="preserve">Nepostojanje sustava nagrađivanja; nije razvijena organizacijska kultura prepoznavanja i nagrađivanja uspjeha.  </w:t>
      </w:r>
    </w:p>
    <w:p w:rsidR="00A27012" w:rsidRPr="007A5251" w:rsidRDefault="00A27012" w:rsidP="00A27012">
      <w:pPr>
        <w:rPr>
          <w:sz w:val="22"/>
        </w:rPr>
      </w:pPr>
    </w:p>
    <w:p w:rsidR="00A27012" w:rsidRPr="007A5251" w:rsidRDefault="00A27012" w:rsidP="00A27012">
      <w:pPr>
        <w:numPr>
          <w:ilvl w:val="0"/>
          <w:numId w:val="251"/>
        </w:numPr>
        <w:rPr>
          <w:sz w:val="22"/>
        </w:rPr>
      </w:pPr>
      <w:r>
        <w:rPr>
          <w:sz w:val="22"/>
        </w:rPr>
        <w:t>Primjereno</w:t>
      </w:r>
      <w:r w:rsidRPr="007A5251">
        <w:rPr>
          <w:sz w:val="22"/>
        </w:rPr>
        <w:t xml:space="preserve"> upravljanje</w:t>
      </w:r>
      <w:r>
        <w:rPr>
          <w:sz w:val="22"/>
        </w:rPr>
        <w:t xml:space="preserve"> procesom provedbe</w:t>
      </w:r>
      <w:r w:rsidRPr="007A5251">
        <w:rPr>
          <w:sz w:val="22"/>
        </w:rPr>
        <w:t xml:space="preserve"> predstavlja najvažniji dio cjelo</w:t>
      </w:r>
      <w:r>
        <w:rPr>
          <w:sz w:val="22"/>
        </w:rPr>
        <w:t>kupne I</w:t>
      </w:r>
      <w:r w:rsidRPr="007A5251">
        <w:rPr>
          <w:sz w:val="22"/>
        </w:rPr>
        <w:t>ndustrijske strategije. Stoga su definirani i ključni problemi</w:t>
      </w:r>
      <w:r>
        <w:rPr>
          <w:sz w:val="22"/>
        </w:rPr>
        <w:t xml:space="preserve"> provedbe S</w:t>
      </w:r>
      <w:r w:rsidRPr="007A5251">
        <w:rPr>
          <w:sz w:val="22"/>
        </w:rPr>
        <w:t>trategije kako bi</w:t>
      </w:r>
      <w:r>
        <w:rPr>
          <w:sz w:val="22"/>
        </w:rPr>
        <w:t xml:space="preserve"> se</w:t>
      </w:r>
      <w:r w:rsidRPr="007A5251">
        <w:rPr>
          <w:sz w:val="22"/>
        </w:rPr>
        <w:t xml:space="preserve"> u konačnici odredila ključna područja i aktivnosti </w:t>
      </w:r>
      <w:r>
        <w:rPr>
          <w:sz w:val="22"/>
        </w:rPr>
        <w:t>koje</w:t>
      </w:r>
      <w:r w:rsidRPr="007A5251">
        <w:rPr>
          <w:sz w:val="22"/>
        </w:rPr>
        <w:t xml:space="preserve"> se trebaju</w:t>
      </w:r>
      <w:r>
        <w:rPr>
          <w:sz w:val="22"/>
        </w:rPr>
        <w:t xml:space="preserve"> provesti</w:t>
      </w:r>
      <w:r w:rsidRPr="007A5251">
        <w:rPr>
          <w:sz w:val="22"/>
        </w:rPr>
        <w:t xml:space="preserve"> kako bi se ostvarili zacrtani strateški ciljevi.</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Ključni p</w:t>
      </w:r>
      <w:r>
        <w:rPr>
          <w:sz w:val="22"/>
        </w:rPr>
        <w:t>roblemi u procesu provedbe S</w:t>
      </w:r>
      <w:r w:rsidRPr="007A5251">
        <w:rPr>
          <w:sz w:val="22"/>
        </w:rPr>
        <w:t xml:space="preserve">trategije su: </w:t>
      </w:r>
    </w:p>
    <w:p w:rsidR="00A27012" w:rsidRPr="007A5251" w:rsidRDefault="00A27012" w:rsidP="00A27012">
      <w:pPr>
        <w:numPr>
          <w:ilvl w:val="0"/>
          <w:numId w:val="253"/>
        </w:numPr>
        <w:rPr>
          <w:sz w:val="22"/>
        </w:rPr>
      </w:pPr>
      <w:r w:rsidRPr="007A5251">
        <w:rPr>
          <w:sz w:val="22"/>
        </w:rPr>
        <w:t>loša komunikacija (razmjena informacija) između zaposlenika i „ključnih zaposlenika“ odg</w:t>
      </w:r>
      <w:r>
        <w:rPr>
          <w:sz w:val="22"/>
        </w:rPr>
        <w:t>ovornih za proces provedbe</w:t>
      </w:r>
      <w:r w:rsidRPr="007A5251">
        <w:rPr>
          <w:sz w:val="22"/>
        </w:rPr>
        <w:t xml:space="preserve"> strategije, </w:t>
      </w:r>
    </w:p>
    <w:p w:rsidR="00A27012" w:rsidRPr="007A5251" w:rsidRDefault="00A27012" w:rsidP="00A27012">
      <w:pPr>
        <w:numPr>
          <w:ilvl w:val="0"/>
          <w:numId w:val="253"/>
        </w:numPr>
        <w:rPr>
          <w:sz w:val="22"/>
        </w:rPr>
      </w:pPr>
      <w:r w:rsidRPr="007A5251">
        <w:rPr>
          <w:sz w:val="22"/>
        </w:rPr>
        <w:t xml:space="preserve">neusklađivanje organizacijske strukture s definiranom strategijom, </w:t>
      </w:r>
    </w:p>
    <w:p w:rsidR="00A27012" w:rsidRPr="007A5251" w:rsidRDefault="00A27012" w:rsidP="00A27012">
      <w:pPr>
        <w:numPr>
          <w:ilvl w:val="0"/>
          <w:numId w:val="253"/>
        </w:numPr>
        <w:rPr>
          <w:sz w:val="22"/>
        </w:rPr>
      </w:pPr>
      <w:r w:rsidRPr="007A5251">
        <w:rPr>
          <w:sz w:val="22"/>
        </w:rPr>
        <w:t xml:space="preserve">nedovoljno jasno definirani osnovni zadaci i aktivnosti svih </w:t>
      </w:r>
      <w:r>
        <w:rPr>
          <w:sz w:val="22"/>
        </w:rPr>
        <w:t>sudionika procesa provedbe</w:t>
      </w:r>
      <w:r w:rsidRPr="007A5251">
        <w:rPr>
          <w:sz w:val="22"/>
        </w:rPr>
        <w:t xml:space="preserve">, </w:t>
      </w:r>
    </w:p>
    <w:p w:rsidR="00A27012" w:rsidRPr="007A5251" w:rsidRDefault="00A27012" w:rsidP="00A27012">
      <w:pPr>
        <w:numPr>
          <w:ilvl w:val="0"/>
          <w:numId w:val="253"/>
        </w:numPr>
        <w:rPr>
          <w:sz w:val="22"/>
        </w:rPr>
      </w:pPr>
      <w:r>
        <w:rPr>
          <w:sz w:val="22"/>
        </w:rPr>
        <w:t>neprikladan</w:t>
      </w:r>
      <w:r w:rsidRPr="007A5251">
        <w:rPr>
          <w:sz w:val="22"/>
        </w:rPr>
        <w:t xml:space="preserve"> informacijski sustav za</w:t>
      </w:r>
      <w:r>
        <w:rPr>
          <w:sz w:val="22"/>
        </w:rPr>
        <w:t xml:space="preserve"> kontrolu procesa provedbe S</w:t>
      </w:r>
      <w:r w:rsidRPr="007A5251">
        <w:rPr>
          <w:sz w:val="22"/>
        </w:rPr>
        <w:t xml:space="preserve">trategije, </w:t>
      </w:r>
    </w:p>
    <w:p w:rsidR="00A27012" w:rsidRPr="007A5251" w:rsidRDefault="00A27012" w:rsidP="00A27012">
      <w:pPr>
        <w:numPr>
          <w:ilvl w:val="0"/>
          <w:numId w:val="253"/>
        </w:numPr>
        <w:rPr>
          <w:sz w:val="22"/>
        </w:rPr>
      </w:pPr>
      <w:r w:rsidRPr="007A5251">
        <w:rPr>
          <w:sz w:val="22"/>
        </w:rPr>
        <w:t>nedefinirani jasni operativni planovi i upute za provođ</w:t>
      </w:r>
      <w:r>
        <w:rPr>
          <w:sz w:val="22"/>
        </w:rPr>
        <w:t>enje S</w:t>
      </w:r>
      <w:r w:rsidRPr="007A5251">
        <w:rPr>
          <w:sz w:val="22"/>
        </w:rPr>
        <w:t xml:space="preserve">trategije, </w:t>
      </w:r>
    </w:p>
    <w:p w:rsidR="00A27012" w:rsidRPr="007A5251" w:rsidRDefault="00A27012" w:rsidP="00A27012">
      <w:pPr>
        <w:numPr>
          <w:ilvl w:val="0"/>
          <w:numId w:val="253"/>
        </w:numPr>
        <w:rPr>
          <w:sz w:val="22"/>
        </w:rPr>
      </w:pPr>
      <w:r w:rsidRPr="007A5251">
        <w:rPr>
          <w:sz w:val="22"/>
        </w:rPr>
        <w:t>nedovoljno jasno definirane odgovornosti i ovlaštenja z</w:t>
      </w:r>
      <w:r>
        <w:rPr>
          <w:sz w:val="22"/>
        </w:rPr>
        <w:t>aposlenika ključnih za provedbu S</w:t>
      </w:r>
      <w:r w:rsidRPr="007A5251">
        <w:rPr>
          <w:sz w:val="22"/>
        </w:rPr>
        <w:t>trategije.</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U skladu s navedenim, ključna područja i aktivnos</w:t>
      </w:r>
      <w:r>
        <w:rPr>
          <w:sz w:val="22"/>
        </w:rPr>
        <w:t>ti za provedbu S</w:t>
      </w:r>
      <w:r w:rsidRPr="007A5251">
        <w:rPr>
          <w:sz w:val="22"/>
        </w:rPr>
        <w:t>trategije su:</w:t>
      </w:r>
    </w:p>
    <w:p w:rsidR="00A27012" w:rsidRPr="007A5251" w:rsidRDefault="00A27012" w:rsidP="00A27012">
      <w:pPr>
        <w:numPr>
          <w:ilvl w:val="1"/>
          <w:numId w:val="252"/>
        </w:numPr>
        <w:rPr>
          <w:sz w:val="22"/>
        </w:rPr>
      </w:pPr>
      <w:r>
        <w:rPr>
          <w:sz w:val="22"/>
        </w:rPr>
        <w:t>Komunikacija S</w:t>
      </w:r>
      <w:r w:rsidRPr="007A5251">
        <w:rPr>
          <w:sz w:val="22"/>
        </w:rPr>
        <w:t>trategije</w:t>
      </w:r>
      <w:r>
        <w:rPr>
          <w:sz w:val="22"/>
        </w:rPr>
        <w:t>,</w:t>
      </w:r>
    </w:p>
    <w:p w:rsidR="00A27012" w:rsidRPr="007A5251" w:rsidRDefault="00A27012" w:rsidP="00A27012">
      <w:pPr>
        <w:numPr>
          <w:ilvl w:val="1"/>
          <w:numId w:val="252"/>
        </w:numPr>
        <w:rPr>
          <w:sz w:val="22"/>
        </w:rPr>
      </w:pPr>
      <w:r>
        <w:rPr>
          <w:sz w:val="22"/>
        </w:rPr>
        <w:t>Prikaz S</w:t>
      </w:r>
      <w:r w:rsidRPr="007A5251">
        <w:rPr>
          <w:sz w:val="22"/>
        </w:rPr>
        <w:t>trategije kroz sustav operativnih planova</w:t>
      </w:r>
      <w:r>
        <w:rPr>
          <w:sz w:val="22"/>
        </w:rPr>
        <w:t>,</w:t>
      </w:r>
    </w:p>
    <w:p w:rsidR="00A27012" w:rsidRPr="007A5251" w:rsidRDefault="00A27012" w:rsidP="00A27012">
      <w:pPr>
        <w:numPr>
          <w:ilvl w:val="1"/>
          <w:numId w:val="252"/>
        </w:numPr>
        <w:rPr>
          <w:sz w:val="22"/>
        </w:rPr>
      </w:pPr>
      <w:r w:rsidRPr="007A5251">
        <w:rPr>
          <w:sz w:val="22"/>
        </w:rPr>
        <w:t>Usklađivanje strategije i strukture</w:t>
      </w:r>
      <w:r>
        <w:rPr>
          <w:sz w:val="22"/>
        </w:rPr>
        <w:t>,</w:t>
      </w:r>
    </w:p>
    <w:p w:rsidR="00A27012" w:rsidRPr="007A5251" w:rsidRDefault="00A27012" w:rsidP="00A27012">
      <w:pPr>
        <w:numPr>
          <w:ilvl w:val="1"/>
          <w:numId w:val="252"/>
        </w:numPr>
        <w:rPr>
          <w:sz w:val="22"/>
        </w:rPr>
      </w:pPr>
      <w:r w:rsidRPr="007A5251">
        <w:rPr>
          <w:sz w:val="22"/>
        </w:rPr>
        <w:t>Delegiranje odgovornosti i ovlaštenja</w:t>
      </w:r>
      <w:r>
        <w:rPr>
          <w:sz w:val="22"/>
        </w:rPr>
        <w:t>,</w:t>
      </w:r>
    </w:p>
    <w:p w:rsidR="00A27012" w:rsidRPr="007A5251" w:rsidRDefault="00A27012" w:rsidP="00A27012">
      <w:pPr>
        <w:numPr>
          <w:ilvl w:val="1"/>
          <w:numId w:val="252"/>
        </w:numPr>
        <w:rPr>
          <w:sz w:val="22"/>
        </w:rPr>
      </w:pPr>
      <w:r w:rsidRPr="007A5251">
        <w:rPr>
          <w:sz w:val="22"/>
        </w:rPr>
        <w:t>Oblikovanje sustava izvještavanja i kontinuirana prilagodba strategije</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6" w:name="_Toc378069174"/>
      <w:r w:rsidRPr="007A5251">
        <w:rPr>
          <w:sz w:val="22"/>
        </w:rPr>
        <w:t>Komunikacija strategije</w:t>
      </w:r>
      <w:bookmarkEnd w:id="1156"/>
    </w:p>
    <w:p w:rsidR="00A27012" w:rsidRPr="007A5251" w:rsidRDefault="00A27012" w:rsidP="00A27012">
      <w:pPr>
        <w:numPr>
          <w:ilvl w:val="0"/>
          <w:numId w:val="254"/>
        </w:numPr>
        <w:rPr>
          <w:sz w:val="22"/>
        </w:rPr>
      </w:pPr>
      <w:r>
        <w:rPr>
          <w:sz w:val="22"/>
        </w:rPr>
        <w:t>Komunikacija S</w:t>
      </w:r>
      <w:r w:rsidRPr="007A5251">
        <w:rPr>
          <w:sz w:val="22"/>
        </w:rPr>
        <w:t>trategije, odnosno metode i tehnike koje se koriste u tu svrhu, predstavljaju strate</w:t>
      </w:r>
      <w:r>
        <w:rPr>
          <w:sz w:val="22"/>
        </w:rPr>
        <w:t xml:space="preserve">ške alate procesa provedbe Strategije. </w:t>
      </w:r>
      <w:r w:rsidRPr="007A5251">
        <w:rPr>
          <w:sz w:val="22"/>
        </w:rPr>
        <w:t xml:space="preserve">Vrlo važan element </w:t>
      </w:r>
      <w:r>
        <w:rPr>
          <w:sz w:val="22"/>
        </w:rPr>
        <w:t>procesa provedbe S</w:t>
      </w:r>
      <w:r w:rsidRPr="007A5251">
        <w:rPr>
          <w:sz w:val="22"/>
        </w:rPr>
        <w:t xml:space="preserve">trategije je definiranje </w:t>
      </w:r>
      <w:r>
        <w:rPr>
          <w:sz w:val="22"/>
        </w:rPr>
        <w:t>njezine K</w:t>
      </w:r>
      <w:r w:rsidRPr="007A5251">
        <w:rPr>
          <w:sz w:val="22"/>
        </w:rPr>
        <w:t>omunikac</w:t>
      </w:r>
      <w:r>
        <w:rPr>
          <w:sz w:val="22"/>
        </w:rPr>
        <w:t>ijske strategije</w:t>
      </w:r>
      <w:r w:rsidRPr="007A5251">
        <w:rPr>
          <w:sz w:val="22"/>
        </w:rPr>
        <w:t xml:space="preserve"> ili određivanje </w:t>
      </w:r>
      <w:r>
        <w:rPr>
          <w:sz w:val="22"/>
        </w:rPr>
        <w:t>načina i metoda kako izrađenu S</w:t>
      </w:r>
      <w:r w:rsidRPr="007A5251">
        <w:rPr>
          <w:sz w:val="22"/>
        </w:rPr>
        <w:t xml:space="preserve">trategiju dovesti do krajnjeg potrošača, a u konkretnom slučaju radi se o zaposlenicima koji moraju prihvatiti i provesti zadatke </w:t>
      </w:r>
      <w:r>
        <w:rPr>
          <w:sz w:val="22"/>
        </w:rPr>
        <w:t>definirane planom provedbe</w:t>
      </w:r>
      <w:r w:rsidRPr="007A5251">
        <w:rPr>
          <w:sz w:val="22"/>
        </w:rPr>
        <w:t xml:space="preserve">.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t>Komun</w:t>
      </w:r>
      <w:r>
        <w:rPr>
          <w:sz w:val="22"/>
        </w:rPr>
        <w:t>ikacijski proces uvođenja nove S</w:t>
      </w:r>
      <w:r w:rsidRPr="007A5251">
        <w:rPr>
          <w:sz w:val="22"/>
        </w:rPr>
        <w:t xml:space="preserve">trategije trebao bi </w:t>
      </w:r>
      <w:r>
        <w:rPr>
          <w:sz w:val="22"/>
        </w:rPr>
        <w:t>za</w:t>
      </w:r>
      <w:r w:rsidRPr="007A5251">
        <w:rPr>
          <w:sz w:val="22"/>
        </w:rPr>
        <w:t>p</w:t>
      </w:r>
      <w:r>
        <w:rPr>
          <w:sz w:val="22"/>
        </w:rPr>
        <w:t>očeti s edukacijom zaposlenika u cilju</w:t>
      </w:r>
      <w:r w:rsidRPr="007A5251">
        <w:rPr>
          <w:sz w:val="22"/>
        </w:rPr>
        <w:t xml:space="preserve"> prihvaćanja i pozicioniranj</w:t>
      </w:r>
      <w:r>
        <w:rPr>
          <w:sz w:val="22"/>
        </w:rPr>
        <w:t>a Strategije među zaposlenicima te</w:t>
      </w:r>
      <w:r w:rsidRPr="007A5251">
        <w:rPr>
          <w:sz w:val="22"/>
        </w:rPr>
        <w:t xml:space="preserve"> nastaviti s provjerom razumijevanja strateških ciljeva, razine prihvać</w:t>
      </w:r>
      <w:r>
        <w:rPr>
          <w:sz w:val="22"/>
        </w:rPr>
        <w:t>anja Strategije, kao i stalnim</w:t>
      </w:r>
      <w:r w:rsidRPr="007A5251">
        <w:rPr>
          <w:sz w:val="22"/>
        </w:rPr>
        <w:t xml:space="preserve"> informiranjem o o</w:t>
      </w:r>
      <w:r>
        <w:rPr>
          <w:sz w:val="22"/>
        </w:rPr>
        <w:t>stvarenim rezultatima. Zadatak K</w:t>
      </w:r>
      <w:r w:rsidRPr="007A5251">
        <w:rPr>
          <w:sz w:val="22"/>
        </w:rPr>
        <w:t>omunikacijske strategije je osigurati informacije potrebne z</w:t>
      </w:r>
      <w:r>
        <w:rPr>
          <w:sz w:val="22"/>
        </w:rPr>
        <w:t>aposlenicima kako bi razumjeli S</w:t>
      </w:r>
      <w:r w:rsidRPr="007A5251">
        <w:rPr>
          <w:sz w:val="22"/>
        </w:rPr>
        <w:t>trategiju, odnos</w:t>
      </w:r>
      <w:r>
        <w:rPr>
          <w:sz w:val="22"/>
        </w:rPr>
        <w:t>no pronašli načine za učinkovitije</w:t>
      </w:r>
      <w:r w:rsidRPr="007A5251">
        <w:rPr>
          <w:sz w:val="22"/>
        </w:rPr>
        <w:t xml:space="preserve"> obavljanje svakodnevnih aktivnosti.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lastRenderedPageBreak/>
        <w:t xml:space="preserve">Komunikacija </w:t>
      </w:r>
      <w:r>
        <w:rPr>
          <w:sz w:val="22"/>
        </w:rPr>
        <w:t>Strategije, kao nositelj i važan</w:t>
      </w:r>
      <w:r w:rsidRPr="007A5251">
        <w:rPr>
          <w:sz w:val="22"/>
        </w:rPr>
        <w:t xml:space="preserve"> element ukupnih komunikacijskih procesa u organizaciji, ima sljedeće zadatk</w:t>
      </w:r>
      <w:r>
        <w:rPr>
          <w:sz w:val="22"/>
        </w:rPr>
        <w:t>e: (1) osigurati razumijevanje S</w:t>
      </w:r>
      <w:r w:rsidRPr="007A5251">
        <w:rPr>
          <w:sz w:val="22"/>
        </w:rPr>
        <w:t>trategije od strane svih zaposlenika, (2) oblikova</w:t>
      </w:r>
      <w:r>
        <w:rPr>
          <w:sz w:val="22"/>
        </w:rPr>
        <w:t>ti klimu podrške i prihvaćanja S</w:t>
      </w:r>
      <w:r w:rsidRPr="007A5251">
        <w:rPr>
          <w:sz w:val="22"/>
        </w:rPr>
        <w:t>trategije, (3) predstaviti pokazatelje i sustav mje</w:t>
      </w:r>
      <w:r>
        <w:rPr>
          <w:sz w:val="22"/>
        </w:rPr>
        <w:t>renja uspješnosti provedbe S</w:t>
      </w:r>
      <w:r w:rsidRPr="007A5251">
        <w:rPr>
          <w:sz w:val="22"/>
        </w:rPr>
        <w:t>trategije</w:t>
      </w:r>
      <w:r>
        <w:rPr>
          <w:sz w:val="22"/>
        </w:rPr>
        <w:t>,</w:t>
      </w:r>
      <w:r w:rsidRPr="007A5251">
        <w:rPr>
          <w:sz w:val="22"/>
        </w:rPr>
        <w:t xml:space="preserve"> i (4) organizirati prikup</w:t>
      </w:r>
      <w:r>
        <w:rPr>
          <w:sz w:val="22"/>
        </w:rPr>
        <w:t>ljanje povratnih informacija o S</w:t>
      </w:r>
      <w:r w:rsidRPr="007A5251">
        <w:rPr>
          <w:sz w:val="22"/>
        </w:rPr>
        <w:t xml:space="preserve">trategiji. </w:t>
      </w:r>
    </w:p>
    <w:p w:rsidR="00A27012" w:rsidRPr="007A5251" w:rsidRDefault="00A27012" w:rsidP="00A27012">
      <w:pPr>
        <w:rPr>
          <w:sz w:val="22"/>
        </w:rPr>
      </w:pPr>
    </w:p>
    <w:p w:rsidR="00A27012" w:rsidRPr="007A5251" w:rsidRDefault="00A27012" w:rsidP="00A27012">
      <w:pPr>
        <w:pStyle w:val="Heading3"/>
        <w:rPr>
          <w:sz w:val="22"/>
        </w:rPr>
      </w:pPr>
      <w:bookmarkStart w:id="1157" w:name="_Toc378069175"/>
      <w:r>
        <w:rPr>
          <w:sz w:val="22"/>
        </w:rPr>
        <w:t>Prikaz S</w:t>
      </w:r>
      <w:r w:rsidRPr="007A5251">
        <w:rPr>
          <w:sz w:val="22"/>
        </w:rPr>
        <w:t>trategije kroz sustav operativnih planova</w:t>
      </w:r>
      <w:bookmarkEnd w:id="1157"/>
    </w:p>
    <w:p w:rsidR="00A27012" w:rsidRPr="007A5251" w:rsidRDefault="00A27012" w:rsidP="00A27012">
      <w:pPr>
        <w:numPr>
          <w:ilvl w:val="0"/>
          <w:numId w:val="255"/>
        </w:numPr>
        <w:rPr>
          <w:sz w:val="22"/>
        </w:rPr>
      </w:pPr>
      <w:r w:rsidRPr="007A5251">
        <w:rPr>
          <w:sz w:val="22"/>
        </w:rPr>
        <w:t>Strategija se izvršava na svim organizacijskim razinama i da bi se uspje</w:t>
      </w:r>
      <w:r>
        <w:rPr>
          <w:sz w:val="22"/>
        </w:rPr>
        <w:t>šno proveo proces provedbe</w:t>
      </w:r>
      <w:r w:rsidRPr="007A5251">
        <w:rPr>
          <w:sz w:val="22"/>
        </w:rPr>
        <w:t>, a radi se o procesu upravljanja promjenama, potrebno je da svi sudionici procesa prilagode svoje ponašanje, radne navike, stavove i razmišljanja novom obrascu ponašanja i rada koji z</w:t>
      </w:r>
      <w:r>
        <w:rPr>
          <w:sz w:val="22"/>
        </w:rPr>
        <w:t>ahtijeva nova S</w:t>
      </w:r>
      <w:r w:rsidRPr="007A5251">
        <w:rPr>
          <w:sz w:val="22"/>
        </w:rPr>
        <w:t>trategija</w:t>
      </w:r>
      <w:r>
        <w:rPr>
          <w:sz w:val="22"/>
        </w:rPr>
        <w:t>, odnosno u ovom slučaju uopće postojanje Strategije jer ista dosad nije postojala</w:t>
      </w:r>
      <w:r w:rsidRPr="007A5251">
        <w:rPr>
          <w:sz w:val="22"/>
        </w:rPr>
        <w:t xml:space="preserve">. Može se </w:t>
      </w:r>
      <w:r>
        <w:rPr>
          <w:sz w:val="22"/>
        </w:rPr>
        <w:t>reći da se radi o stalnom procesu pretvorbe</w:t>
      </w:r>
      <w:r w:rsidRPr="007A5251">
        <w:rPr>
          <w:sz w:val="22"/>
        </w:rPr>
        <w:t xml:space="preserve"> i prilagodbe koji, da bi se ostvario, podrazumijeva visoku razinu prihvaćanja i motivacije za p</w:t>
      </w:r>
      <w:r>
        <w:rPr>
          <w:sz w:val="22"/>
        </w:rPr>
        <w:t>rovođenje promjena. Važan</w:t>
      </w:r>
      <w:r w:rsidRPr="007A5251">
        <w:rPr>
          <w:sz w:val="22"/>
        </w:rPr>
        <w:t xml:space="preserve"> čimbenik koji utječe na razinu prihvaćanja promjena je svakako razumijevanje osnovnih elemenata i posljedica koje će promjene izazvati u radu sudionika procesa</w:t>
      </w:r>
      <w:r>
        <w:rPr>
          <w:sz w:val="22"/>
        </w:rPr>
        <w:t>. Rješenje se nalazi u prikazu S</w:t>
      </w:r>
      <w:r w:rsidRPr="007A5251">
        <w:rPr>
          <w:sz w:val="22"/>
        </w:rPr>
        <w:t>trategije koji se temelji na</w:t>
      </w:r>
      <w:r>
        <w:rPr>
          <w:sz w:val="22"/>
        </w:rPr>
        <w:t xml:space="preserve"> modeliranju sustava uzročno-</w:t>
      </w:r>
      <w:r w:rsidRPr="007A5251">
        <w:rPr>
          <w:sz w:val="22"/>
        </w:rPr>
        <w:t xml:space="preserve">posljedičnih operativnih planova koji na jasan način povezuju aktivnosti i procese s ciljem opisivanja načina realizacije strateških ciljeva poduzeća. </w:t>
      </w:r>
    </w:p>
    <w:p w:rsidR="00A27012" w:rsidRPr="007A5251" w:rsidRDefault="00A27012" w:rsidP="00A27012">
      <w:pPr>
        <w:rPr>
          <w:sz w:val="22"/>
        </w:rPr>
      </w:pPr>
    </w:p>
    <w:p w:rsidR="00A27012" w:rsidRPr="007A5251" w:rsidRDefault="00A27012" w:rsidP="00A27012">
      <w:pPr>
        <w:numPr>
          <w:ilvl w:val="0"/>
          <w:numId w:val="255"/>
        </w:numPr>
        <w:rPr>
          <w:sz w:val="22"/>
        </w:rPr>
      </w:pPr>
      <w:r>
        <w:rPr>
          <w:sz w:val="22"/>
        </w:rPr>
        <w:t xml:space="preserve">Strategijska mapa </w:t>
      </w:r>
      <w:r w:rsidRPr="007A5251">
        <w:rPr>
          <w:sz w:val="22"/>
        </w:rPr>
        <w:t xml:space="preserve">organizirani </w:t>
      </w:r>
      <w:r>
        <w:rPr>
          <w:sz w:val="22"/>
        </w:rPr>
        <w:t xml:space="preserve">je </w:t>
      </w:r>
      <w:r w:rsidRPr="007A5251">
        <w:rPr>
          <w:sz w:val="22"/>
        </w:rPr>
        <w:t>prikaz osnovnih ciljeva, aktivnosti, projekata, izvršitelja i njihovih međusobni</w:t>
      </w:r>
      <w:r>
        <w:rPr>
          <w:sz w:val="22"/>
        </w:rPr>
        <w:t>h odnosa. Metodologija prikaza S</w:t>
      </w:r>
      <w:r w:rsidRPr="007A5251">
        <w:rPr>
          <w:sz w:val="22"/>
        </w:rPr>
        <w:t>trategije kroz izradu strategijske mape ukazuje na činjenicu da je kritič</w:t>
      </w:r>
      <w:r>
        <w:rPr>
          <w:sz w:val="22"/>
        </w:rPr>
        <w:t>na točka procesa provedbe S</w:t>
      </w:r>
      <w:r w:rsidRPr="007A5251">
        <w:rPr>
          <w:sz w:val="22"/>
        </w:rPr>
        <w:t xml:space="preserve">trategije </w:t>
      </w:r>
      <w:r>
        <w:rPr>
          <w:sz w:val="22"/>
        </w:rPr>
        <w:t>upravo eksplicitno obrazloženje ili prikaz pretpostavki</w:t>
      </w:r>
      <w:r w:rsidRPr="007A5251">
        <w:rPr>
          <w:sz w:val="22"/>
        </w:rPr>
        <w:t xml:space="preserve"> u</w:t>
      </w:r>
      <w:r>
        <w:rPr>
          <w:sz w:val="22"/>
        </w:rPr>
        <w:t>građenih u definiranu S</w:t>
      </w:r>
      <w:r w:rsidRPr="007A5251">
        <w:rPr>
          <w:sz w:val="22"/>
        </w:rPr>
        <w:t xml:space="preserve">trategiju.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Prikaz S</w:t>
      </w:r>
      <w:r w:rsidRPr="007A5251">
        <w:rPr>
          <w:sz w:val="22"/>
        </w:rPr>
        <w:t>trategije kroz sustav operativnih planova podrazumijeva utvrđivanje i opis ključnih ciljeva od vrha organizacijske piramide pa sve do cilj</w:t>
      </w:r>
      <w:r>
        <w:rPr>
          <w:sz w:val="22"/>
        </w:rPr>
        <w:t>eva koji se odnose na određeno</w:t>
      </w:r>
      <w:r w:rsidRPr="007A5251">
        <w:rPr>
          <w:sz w:val="22"/>
        </w:rPr>
        <w:t xml:space="preserve"> radno mjesto s naglaskom na jasno definiranje međusobnih odnosa između ciljeva, </w:t>
      </w:r>
      <w:r>
        <w:rPr>
          <w:sz w:val="22"/>
        </w:rPr>
        <w:t>organizacijskih jedinica i zaht</w:t>
      </w:r>
      <w:r w:rsidRPr="007A5251">
        <w:rPr>
          <w:sz w:val="22"/>
        </w:rPr>
        <w:t xml:space="preserve">jeva pojedinih radnih mjesta.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Kvalitetan prikaz S</w:t>
      </w:r>
      <w:r w:rsidRPr="007A5251">
        <w:rPr>
          <w:sz w:val="22"/>
        </w:rPr>
        <w:t xml:space="preserve">trategije kroz sustav operativnih planova i </w:t>
      </w:r>
      <w:r>
        <w:rPr>
          <w:sz w:val="22"/>
        </w:rPr>
        <w:t>povezanih aktivnosti doprinijet</w:t>
      </w:r>
      <w:r w:rsidRPr="007A5251">
        <w:rPr>
          <w:sz w:val="22"/>
        </w:rPr>
        <w:t xml:space="preserve"> će: (</w:t>
      </w:r>
      <w:r>
        <w:rPr>
          <w:sz w:val="22"/>
        </w:rPr>
        <w:t>1) razumijevanju i prihvaćanju S</w:t>
      </w:r>
      <w:r w:rsidRPr="007A5251">
        <w:rPr>
          <w:sz w:val="22"/>
        </w:rPr>
        <w:t xml:space="preserve">trategije, (2) povećanju motivacije zaposlenika, (3) poboljšanju i stvaranju pozitivne organizacijske </w:t>
      </w:r>
      <w:r>
        <w:rPr>
          <w:sz w:val="22"/>
        </w:rPr>
        <w:t>klime, (4) povećanju djelotvornosti i učinkovitosti</w:t>
      </w:r>
      <w:r w:rsidRPr="007A5251">
        <w:rPr>
          <w:sz w:val="22"/>
        </w:rPr>
        <w:t xml:space="preserve"> rada, od</w:t>
      </w:r>
      <w:r>
        <w:rPr>
          <w:sz w:val="22"/>
        </w:rPr>
        <w:t>nosno u konačnici provedbi S</w:t>
      </w:r>
      <w:r w:rsidRPr="007A5251">
        <w:rPr>
          <w:sz w:val="22"/>
        </w:rPr>
        <w:t>trategije.</w:t>
      </w:r>
    </w:p>
    <w:p w:rsidR="00A27012" w:rsidRPr="007A5251" w:rsidRDefault="00A27012" w:rsidP="00A27012">
      <w:pPr>
        <w:rPr>
          <w:sz w:val="22"/>
        </w:rPr>
      </w:pPr>
      <w:r w:rsidRPr="007A5251">
        <w:rPr>
          <w:i/>
          <w:sz w:val="22"/>
        </w:rPr>
        <w:t xml:space="preserve"> </w:t>
      </w:r>
    </w:p>
    <w:p w:rsidR="00A27012" w:rsidRPr="007A5251" w:rsidRDefault="00A27012" w:rsidP="00A27012">
      <w:pPr>
        <w:pStyle w:val="Heading3"/>
        <w:rPr>
          <w:sz w:val="22"/>
        </w:rPr>
      </w:pPr>
      <w:bookmarkStart w:id="1158" w:name="_Toc378069176"/>
      <w:r w:rsidRPr="007A5251">
        <w:rPr>
          <w:sz w:val="22"/>
        </w:rPr>
        <w:t>Usklađivanje strategije i strukture</w:t>
      </w:r>
      <w:bookmarkEnd w:id="1158"/>
    </w:p>
    <w:p w:rsidR="00A27012" w:rsidRPr="007A5251" w:rsidRDefault="00A27012" w:rsidP="00A27012">
      <w:pPr>
        <w:numPr>
          <w:ilvl w:val="0"/>
          <w:numId w:val="256"/>
        </w:numPr>
        <w:rPr>
          <w:sz w:val="22"/>
        </w:rPr>
      </w:pPr>
      <w:r w:rsidRPr="007A5251">
        <w:rPr>
          <w:sz w:val="22"/>
        </w:rPr>
        <w:t>Problematika usklađivanja ili postizanj</w:t>
      </w:r>
      <w:r>
        <w:rPr>
          <w:sz w:val="22"/>
        </w:rPr>
        <w:t>a koordinacije između S</w:t>
      </w:r>
      <w:r w:rsidRPr="007A5251">
        <w:rPr>
          <w:sz w:val="22"/>
        </w:rPr>
        <w:t>trategije i organizacijske strukture usmjerena je na dva osnovna područja: (1) ostvarivanje sinergije između različitih organizacijskih jedin</w:t>
      </w:r>
      <w:r>
        <w:rPr>
          <w:sz w:val="22"/>
        </w:rPr>
        <w:t>ica, ali i između krovne S</w:t>
      </w:r>
      <w:r w:rsidRPr="007A5251">
        <w:rPr>
          <w:sz w:val="22"/>
        </w:rPr>
        <w:t xml:space="preserve">trategije i strategija koje podržavaju </w:t>
      </w:r>
      <w:r>
        <w:rPr>
          <w:sz w:val="22"/>
        </w:rPr>
        <w:t>njezinu realizaciju</w:t>
      </w:r>
      <w:r w:rsidRPr="007A5251">
        <w:rPr>
          <w:sz w:val="22"/>
        </w:rPr>
        <w:t xml:space="preserve"> i (2) usklađivanje ili prilagodba organizacijske strukture (vještine, sposobnosti, proces odlučivanja, resursi) sa zahtj</w:t>
      </w:r>
      <w:r>
        <w:rPr>
          <w:sz w:val="22"/>
        </w:rPr>
        <w:t>evima koje postavlja provedba nove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Proces provedbe S</w:t>
      </w:r>
      <w:r w:rsidRPr="007A5251">
        <w:rPr>
          <w:sz w:val="22"/>
        </w:rPr>
        <w:t xml:space="preserve">trategije podrazumijeva definiranje određenih zahtjeva koje organizacija treba ispuniti kako </w:t>
      </w:r>
      <w:r>
        <w:rPr>
          <w:sz w:val="22"/>
        </w:rPr>
        <w:t>bi se ostvarili očekivani učinci</w:t>
      </w:r>
      <w:r w:rsidRPr="007A5251">
        <w:rPr>
          <w:sz w:val="22"/>
        </w:rPr>
        <w:t xml:space="preserve">, odnosno podrazumijeva korištenje i oblikovanje određenih resursa, sposobnosti i vještina s ciljem provođenja procesa </w:t>
      </w:r>
      <w:r>
        <w:rPr>
          <w:sz w:val="22"/>
        </w:rPr>
        <w:t>provedbe</w:t>
      </w:r>
      <w:r w:rsidRPr="007A5251">
        <w:rPr>
          <w:sz w:val="22"/>
        </w:rPr>
        <w:t>. Za usp</w:t>
      </w:r>
      <w:r>
        <w:rPr>
          <w:sz w:val="22"/>
        </w:rPr>
        <w:t>ješno provođenje S</w:t>
      </w:r>
      <w:r w:rsidRPr="007A5251">
        <w:rPr>
          <w:sz w:val="22"/>
        </w:rPr>
        <w:t xml:space="preserve">trategije potrebno </w:t>
      </w:r>
      <w:r>
        <w:rPr>
          <w:sz w:val="22"/>
        </w:rPr>
        <w:t xml:space="preserve">je </w:t>
      </w:r>
      <w:r w:rsidRPr="007A5251">
        <w:rPr>
          <w:sz w:val="22"/>
        </w:rPr>
        <w:t>pronaći ili</w:t>
      </w:r>
      <w:r>
        <w:rPr>
          <w:sz w:val="22"/>
        </w:rPr>
        <w:t xml:space="preserve"> uspostaviti ravnotežu između zaht</w:t>
      </w:r>
      <w:r w:rsidRPr="007A5251">
        <w:rPr>
          <w:sz w:val="22"/>
        </w:rPr>
        <w:t>jeva z</w:t>
      </w:r>
      <w:r>
        <w:rPr>
          <w:sz w:val="22"/>
        </w:rPr>
        <w:t>a organizacijskim resursima koje</w:t>
      </w:r>
      <w:r w:rsidRPr="007A5251">
        <w:rPr>
          <w:sz w:val="22"/>
        </w:rPr>
        <w:t xml:space="preserve"> postavlja strategija i mogućnostima koje može osigurati organizacija</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9" w:name="_Toc378069177"/>
      <w:r w:rsidRPr="007A5251">
        <w:rPr>
          <w:sz w:val="22"/>
        </w:rPr>
        <w:t>Delegiranje odgovornosti i ovlaštenja</w:t>
      </w:r>
      <w:bookmarkEnd w:id="1159"/>
    </w:p>
    <w:p w:rsidR="00A27012" w:rsidRPr="007A5251" w:rsidRDefault="00A27012" w:rsidP="00A27012">
      <w:pPr>
        <w:numPr>
          <w:ilvl w:val="0"/>
          <w:numId w:val="256"/>
        </w:numPr>
        <w:rPr>
          <w:sz w:val="22"/>
        </w:rPr>
      </w:pPr>
      <w:r w:rsidRPr="007A5251">
        <w:rPr>
          <w:sz w:val="22"/>
        </w:rPr>
        <w:t>Osnovni koraci utvrđivanja i prikaza odgovornosti i ovlaštenja u pro</w:t>
      </w:r>
      <w:r>
        <w:rPr>
          <w:sz w:val="22"/>
        </w:rPr>
        <w:t>cesu provedbe S</w:t>
      </w:r>
      <w:r w:rsidRPr="007A5251">
        <w:rPr>
          <w:sz w:val="22"/>
        </w:rPr>
        <w:t xml:space="preserve">trategije jesu: (1) prikaz ciljeva ili očekivanih </w:t>
      </w:r>
      <w:r>
        <w:rPr>
          <w:sz w:val="22"/>
        </w:rPr>
        <w:t>rezultata procesa provedbe</w:t>
      </w:r>
      <w:r w:rsidRPr="007A5251">
        <w:rPr>
          <w:sz w:val="22"/>
        </w:rPr>
        <w:t xml:space="preserve"> na razu</w:t>
      </w:r>
      <w:r>
        <w:rPr>
          <w:sz w:val="22"/>
        </w:rPr>
        <w:t>mljiv i što je moguće precizniji</w:t>
      </w:r>
      <w:r w:rsidRPr="007A5251">
        <w:rPr>
          <w:sz w:val="22"/>
        </w:rPr>
        <w:t xml:space="preserve"> način, (2) definiranje osnovnih zadataka, aktivnosti ili odluka nužnih za realizaciju željenih ciljeva, (3) određivanje vrste i razine odgovornosti koje moraju biti relevantne, ali i jednostavne</w:t>
      </w:r>
      <w:r>
        <w:rPr>
          <w:sz w:val="22"/>
        </w:rPr>
        <w:t>,</w:t>
      </w:r>
      <w:r w:rsidRPr="007A5251">
        <w:rPr>
          <w:sz w:val="22"/>
        </w:rPr>
        <w:t xml:space="preserve"> i ograničenog</w:t>
      </w:r>
      <w:r>
        <w:rPr>
          <w:sz w:val="22"/>
        </w:rPr>
        <w:t>a</w:t>
      </w:r>
      <w:r w:rsidRPr="007A5251">
        <w:rPr>
          <w:sz w:val="22"/>
        </w:rPr>
        <w:t xml:space="preserve"> volumena kako se ne bi dovelo u pitanje upravljanje organizacijom, (4) uključivanje svih upravljačkih struktura u proces izrade matrice odgovornost</w:t>
      </w:r>
      <w:r>
        <w:rPr>
          <w:sz w:val="22"/>
        </w:rPr>
        <w:t>i i ovlaštenja kroz pojedinačno</w:t>
      </w:r>
      <w:r w:rsidRPr="007A5251">
        <w:rPr>
          <w:sz w:val="22"/>
        </w:rPr>
        <w:t xml:space="preserve"> određivanje potrebnih ovlaštenja i odgovornosti za planirane aktivnosti, (5) definiranje zajedničke matrice zadataka, odgovornosti i ovlaštenja temeljem pojedinačnih prijedloga</w:t>
      </w:r>
      <w:r>
        <w:rPr>
          <w:sz w:val="22"/>
        </w:rPr>
        <w:t>,</w:t>
      </w:r>
      <w:r w:rsidRPr="007A5251">
        <w:rPr>
          <w:sz w:val="22"/>
        </w:rPr>
        <w:t xml:space="preserve"> što potencijalno dovodi do određenih komunikacijskih problema koji mogu nastati kao po</w:t>
      </w:r>
      <w:r>
        <w:rPr>
          <w:sz w:val="22"/>
        </w:rPr>
        <w:t>sljedica razlika u pojedinačnim</w:t>
      </w:r>
      <w:r w:rsidRPr="007A5251">
        <w:rPr>
          <w:sz w:val="22"/>
        </w:rPr>
        <w:t xml:space="preserve"> percepcijama po pitanju područja odgovornosti i ovlaštenja upravljanja poslovnim aktivnostima. </w:t>
      </w:r>
    </w:p>
    <w:p w:rsidR="00A27012" w:rsidRPr="007A5251" w:rsidRDefault="00A27012" w:rsidP="00A27012">
      <w:pPr>
        <w:rPr>
          <w:sz w:val="22"/>
        </w:rPr>
      </w:pPr>
    </w:p>
    <w:p w:rsidR="00A27012" w:rsidRPr="007A5251" w:rsidRDefault="00A27012" w:rsidP="00A27012">
      <w:pPr>
        <w:pStyle w:val="Heading3"/>
        <w:rPr>
          <w:sz w:val="22"/>
        </w:rPr>
      </w:pPr>
      <w:bookmarkStart w:id="1160" w:name="_Toc378069178"/>
      <w:r w:rsidRPr="007A5251">
        <w:rPr>
          <w:sz w:val="22"/>
        </w:rPr>
        <w:t>Oblikovanje sust</w:t>
      </w:r>
      <w:r>
        <w:rPr>
          <w:sz w:val="22"/>
        </w:rPr>
        <w:t>ava izvještavanja i stalna prilagodba S</w:t>
      </w:r>
      <w:r w:rsidRPr="007A5251">
        <w:rPr>
          <w:sz w:val="22"/>
        </w:rPr>
        <w:t>trategije</w:t>
      </w:r>
      <w:bookmarkEnd w:id="1160"/>
    </w:p>
    <w:p w:rsidR="00A27012" w:rsidRPr="007A5251" w:rsidRDefault="00A27012" w:rsidP="00A27012">
      <w:pPr>
        <w:numPr>
          <w:ilvl w:val="0"/>
          <w:numId w:val="256"/>
        </w:numPr>
        <w:rPr>
          <w:sz w:val="22"/>
        </w:rPr>
      </w:pPr>
      <w:r>
        <w:rPr>
          <w:sz w:val="22"/>
        </w:rPr>
        <w:t>Promatranjem provedbe S</w:t>
      </w:r>
      <w:r w:rsidRPr="007A5251">
        <w:rPr>
          <w:sz w:val="22"/>
        </w:rPr>
        <w:t>trategije kao proces</w:t>
      </w:r>
      <w:r>
        <w:rPr>
          <w:sz w:val="22"/>
        </w:rPr>
        <w:t>a</w:t>
      </w:r>
      <w:r w:rsidRPr="007A5251">
        <w:rPr>
          <w:sz w:val="22"/>
        </w:rPr>
        <w:t xml:space="preserve"> može se zaključiti kako je upravo organizacija sustava pri</w:t>
      </w:r>
      <w:r>
        <w:rPr>
          <w:sz w:val="22"/>
        </w:rPr>
        <w:t>kupljanja i obrade podataka koji</w:t>
      </w:r>
      <w:r w:rsidRPr="007A5251">
        <w:rPr>
          <w:sz w:val="22"/>
        </w:rPr>
        <w:t xml:space="preserve"> </w:t>
      </w:r>
      <w:r>
        <w:rPr>
          <w:sz w:val="22"/>
        </w:rPr>
        <w:t>pomažu u vrednovanju izvedbe</w:t>
      </w:r>
      <w:r w:rsidRPr="007A5251">
        <w:rPr>
          <w:sz w:val="22"/>
        </w:rPr>
        <w:t xml:space="preserve"> poslovanja i definiranja potrebnih korekcija ili prilagodbi strategije promijenjenim uvjetima poslovanja jedan od kritični</w:t>
      </w:r>
      <w:r>
        <w:rPr>
          <w:sz w:val="22"/>
        </w:rPr>
        <w:t>h čimbenika</w:t>
      </w:r>
      <w:r w:rsidRPr="007A5251">
        <w:rPr>
          <w:sz w:val="22"/>
        </w:rPr>
        <w:t xml:space="preserve"> uspjeha.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Mjerenje i procjenu izvedbe</w:t>
      </w:r>
      <w:r w:rsidRPr="007A5251">
        <w:rPr>
          <w:sz w:val="22"/>
        </w:rPr>
        <w:t xml:space="preserve"> poslovanja  treba promatrati kao višedimenziona</w:t>
      </w:r>
      <w:r>
        <w:rPr>
          <w:sz w:val="22"/>
        </w:rPr>
        <w:t>lni koncept zbog činjenice da se</w:t>
      </w:r>
      <w:r w:rsidRPr="007A5251">
        <w:rPr>
          <w:sz w:val="22"/>
        </w:rPr>
        <w:t xml:space="preserve"> ukupna uspješnost </w:t>
      </w:r>
      <w:r>
        <w:rPr>
          <w:sz w:val="22"/>
        </w:rPr>
        <w:t>poslovanja definitivno sastoji</w:t>
      </w:r>
      <w:r w:rsidRPr="007A5251">
        <w:rPr>
          <w:sz w:val="22"/>
        </w:rPr>
        <w:t xml:space="preserve"> od različitih mjera uspješnosti. U cilju oblikovanja kvalitetnog sustava upravljačkog izvještavanja potrebno je na samom</w:t>
      </w:r>
      <w:r>
        <w:rPr>
          <w:sz w:val="22"/>
        </w:rPr>
        <w:t>e</w:t>
      </w:r>
      <w:r w:rsidRPr="007A5251">
        <w:rPr>
          <w:sz w:val="22"/>
        </w:rPr>
        <w:t xml:space="preserve"> početku procesa definirati odgovore na sedam ključnih pitanja: (1) definiranje perspektive iz koje se procjenj</w:t>
      </w:r>
      <w:r>
        <w:rPr>
          <w:sz w:val="22"/>
        </w:rPr>
        <w:t>uje izvedba</w:t>
      </w:r>
      <w:r w:rsidRPr="007A5251">
        <w:rPr>
          <w:sz w:val="22"/>
        </w:rPr>
        <w:t xml:space="preserve"> poslovanja, (2) određivanje područja procjene, (3) određivanje razine analize, (4) definiranje svrhe provođenja procjene poslovanja, (5) utvrđivanje vremenskog okvira procjene, (6) definiranje podataka koji će se koristiti pri procjeni, (7) određivanje referentne točke za procjenu uspješnosti realizacije.</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Sustav upravljačkog izvj</w:t>
      </w:r>
      <w:r>
        <w:rPr>
          <w:sz w:val="22"/>
        </w:rPr>
        <w:t xml:space="preserve">eštavanja potrebno je osmisliti </w:t>
      </w:r>
      <w:r w:rsidRPr="007A5251">
        <w:rPr>
          <w:sz w:val="22"/>
        </w:rPr>
        <w:t xml:space="preserve">na način da uspostavi ravnotežu između tri osnovne kategorije: (1) </w:t>
      </w:r>
      <w:r>
        <w:rPr>
          <w:sz w:val="22"/>
        </w:rPr>
        <w:t>djelotvornosti</w:t>
      </w:r>
      <w:r w:rsidRPr="007A5251">
        <w:rPr>
          <w:sz w:val="22"/>
        </w:rPr>
        <w:t>, (2)</w:t>
      </w:r>
      <w:r>
        <w:rPr>
          <w:sz w:val="22"/>
        </w:rPr>
        <w:t xml:space="preserve"> učinkovitosti</w:t>
      </w:r>
      <w:r w:rsidRPr="007A5251">
        <w:rPr>
          <w:sz w:val="22"/>
        </w:rPr>
        <w:t xml:space="preserve"> i (3) evolucije (sposobnost prilagodbe promjenama s ciljem zadržavanja konkurentske pozicije). </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 ciljem stvaranja osn</w:t>
      </w:r>
      <w:r>
        <w:rPr>
          <w:sz w:val="22"/>
        </w:rPr>
        <w:t>ova za provođenje S</w:t>
      </w:r>
      <w:r w:rsidRPr="007A5251">
        <w:rPr>
          <w:sz w:val="22"/>
        </w:rPr>
        <w:t>trategije, nužno je</w:t>
      </w:r>
      <w:r>
        <w:rPr>
          <w:sz w:val="22"/>
        </w:rPr>
        <w:t xml:space="preserve"> izdvojiti </w:t>
      </w:r>
      <w:r w:rsidRPr="007A5251">
        <w:rPr>
          <w:sz w:val="22"/>
        </w:rPr>
        <w:t xml:space="preserve">sljedeće </w:t>
      </w:r>
      <w:r w:rsidRPr="007A5251">
        <w:rPr>
          <w:b/>
          <w:sz w:val="22"/>
        </w:rPr>
        <w:t>zaključke</w:t>
      </w:r>
      <w:r w:rsidRPr="007A5251">
        <w:rPr>
          <w:sz w:val="22"/>
        </w:rPr>
        <w:t>:</w:t>
      </w:r>
    </w:p>
    <w:p w:rsidR="00A27012" w:rsidRPr="007A5251" w:rsidRDefault="00A27012" w:rsidP="00A27012">
      <w:pPr>
        <w:numPr>
          <w:ilvl w:val="0"/>
          <w:numId w:val="257"/>
        </w:numPr>
        <w:ind w:left="1068"/>
        <w:rPr>
          <w:sz w:val="22"/>
        </w:rPr>
      </w:pPr>
      <w:r>
        <w:rPr>
          <w:sz w:val="22"/>
        </w:rPr>
        <w:t>Odgovornost za provedbu I</w:t>
      </w:r>
      <w:r w:rsidRPr="007A5251">
        <w:rPr>
          <w:sz w:val="22"/>
        </w:rPr>
        <w:t>ndustrijske strategije mora biti na Vladi RH ili ra</w:t>
      </w:r>
      <w:r>
        <w:rPr>
          <w:sz w:val="22"/>
        </w:rPr>
        <w:t xml:space="preserve">dnoj skupini koju će činiti određeni ministri čija su linijska ministarstva nužna </w:t>
      </w:r>
      <w:r w:rsidRPr="007A5251">
        <w:rPr>
          <w:sz w:val="22"/>
        </w:rPr>
        <w:t>za realizaciju strateških ciljeva (gospodarstvo, podu</w:t>
      </w:r>
      <w:r>
        <w:rPr>
          <w:sz w:val="22"/>
        </w:rPr>
        <w:t>zetništvo, obrazovanje, znanost</w:t>
      </w:r>
      <w:r w:rsidRPr="007A5251">
        <w:rPr>
          <w:sz w:val="22"/>
        </w:rPr>
        <w:t xml:space="preserve"> i tehnologija, f</w:t>
      </w:r>
      <w:r>
        <w:rPr>
          <w:sz w:val="22"/>
        </w:rPr>
        <w:t>inancije, zaštita okoliša, itd.</w:t>
      </w:r>
      <w:r w:rsidRPr="007A5251">
        <w:rPr>
          <w:sz w:val="22"/>
        </w:rPr>
        <w:t xml:space="preserve">). </w:t>
      </w:r>
    </w:p>
    <w:p w:rsidR="00A27012" w:rsidRPr="007A5251" w:rsidRDefault="00A27012" w:rsidP="00A27012">
      <w:pPr>
        <w:numPr>
          <w:ilvl w:val="0"/>
          <w:numId w:val="257"/>
        </w:numPr>
        <w:ind w:left="1068"/>
        <w:rPr>
          <w:sz w:val="22"/>
        </w:rPr>
      </w:pPr>
      <w:r w:rsidRPr="007A5251">
        <w:rPr>
          <w:sz w:val="22"/>
        </w:rPr>
        <w:t xml:space="preserve">Potrebno je hitno </w:t>
      </w:r>
      <w:r>
        <w:rPr>
          <w:sz w:val="22"/>
        </w:rPr>
        <w:t>uskladiti različite strateške dokumente i Industrijsku</w:t>
      </w:r>
      <w:r w:rsidRPr="007A5251">
        <w:rPr>
          <w:sz w:val="22"/>
        </w:rPr>
        <w:t xml:space="preserve"> strategij</w:t>
      </w:r>
      <w:r>
        <w:rPr>
          <w:sz w:val="22"/>
        </w:rPr>
        <w:t xml:space="preserve">u prije nego službeno započne proces njezine provedbe. </w:t>
      </w:r>
      <w:r w:rsidRPr="007A5251">
        <w:rPr>
          <w:sz w:val="22"/>
        </w:rPr>
        <w:t>N</w:t>
      </w:r>
      <w:r>
        <w:rPr>
          <w:sz w:val="22"/>
        </w:rPr>
        <w:t>avedeno se može ostvariti izradom</w:t>
      </w:r>
      <w:r w:rsidRPr="007A5251">
        <w:rPr>
          <w:sz w:val="22"/>
        </w:rPr>
        <w:t xml:space="preserve"> gospodarske strategije.</w:t>
      </w:r>
    </w:p>
    <w:p w:rsidR="00A27012" w:rsidRPr="007A5251" w:rsidRDefault="00A27012" w:rsidP="00A27012">
      <w:pPr>
        <w:numPr>
          <w:ilvl w:val="0"/>
          <w:numId w:val="257"/>
        </w:numPr>
        <w:ind w:left="1068"/>
        <w:rPr>
          <w:sz w:val="22"/>
        </w:rPr>
      </w:pPr>
      <w:r>
        <w:rPr>
          <w:sz w:val="22"/>
        </w:rPr>
        <w:t>Potrebno je oformiti</w:t>
      </w:r>
      <w:r w:rsidRPr="007A5251">
        <w:rPr>
          <w:sz w:val="22"/>
        </w:rPr>
        <w:t xml:space="preserve"> specijalizirani tim na razini Vlade od predstavnika ključnih ministarstava koji će biti operativno zadužen</w:t>
      </w:r>
      <w:r>
        <w:rPr>
          <w:sz w:val="22"/>
        </w:rPr>
        <w:t>i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definirati sustav izvješ</w:t>
      </w:r>
      <w:r>
        <w:rPr>
          <w:sz w:val="22"/>
        </w:rPr>
        <w:t>tavanja i praćenja realizacije I</w:t>
      </w:r>
      <w:r w:rsidRPr="007A5251">
        <w:rPr>
          <w:sz w:val="22"/>
        </w:rPr>
        <w:t>ndustrijske strategije koji mora biti usuglašen s ostalim sustavima izvještavanja na razinama drugih ministarstava.</w:t>
      </w:r>
    </w:p>
    <w:p w:rsidR="00A27012" w:rsidRPr="007A5251" w:rsidRDefault="00A27012" w:rsidP="00A27012">
      <w:pPr>
        <w:numPr>
          <w:ilvl w:val="0"/>
          <w:numId w:val="257"/>
        </w:numPr>
        <w:ind w:left="1068"/>
        <w:rPr>
          <w:sz w:val="22"/>
        </w:rPr>
      </w:pPr>
      <w:r w:rsidRPr="007A5251">
        <w:rPr>
          <w:sz w:val="22"/>
        </w:rPr>
        <w:t>Potrebno je provesti edukaciju zaposlenika i prilagoditi</w:t>
      </w:r>
      <w:r>
        <w:rPr>
          <w:sz w:val="22"/>
        </w:rPr>
        <w:t xml:space="preserve"> organizaciju zahtjevima provedbe I</w:t>
      </w:r>
      <w:r w:rsidRPr="007A5251">
        <w:rPr>
          <w:sz w:val="22"/>
        </w:rPr>
        <w:t>ndustrijske strategije.</w:t>
      </w:r>
    </w:p>
    <w:p w:rsidR="00A27012" w:rsidRPr="007A5251" w:rsidRDefault="00A27012" w:rsidP="00A27012">
      <w:pPr>
        <w:numPr>
          <w:ilvl w:val="0"/>
          <w:numId w:val="257"/>
        </w:numPr>
        <w:ind w:left="1068"/>
        <w:rPr>
          <w:sz w:val="22"/>
        </w:rPr>
      </w:pPr>
      <w:r>
        <w:rPr>
          <w:sz w:val="22"/>
        </w:rPr>
        <w:lastRenderedPageBreak/>
        <w:t>Potrebno je d</w:t>
      </w:r>
      <w:r w:rsidRPr="007A5251">
        <w:rPr>
          <w:sz w:val="22"/>
        </w:rPr>
        <w:t>efinirati strukturu i način razmjene informacij</w:t>
      </w:r>
      <w:r>
        <w:rPr>
          <w:sz w:val="22"/>
        </w:rPr>
        <w:t>a i usuglašavanja budućih aktivnosti</w:t>
      </w:r>
      <w:r w:rsidRPr="007A5251">
        <w:rPr>
          <w:sz w:val="22"/>
        </w:rPr>
        <w:t xml:space="preserve"> s privatnim </w:t>
      </w:r>
      <w:r>
        <w:rPr>
          <w:sz w:val="22"/>
        </w:rPr>
        <w:t>sektorom u tijeku provedbe S</w:t>
      </w:r>
      <w:r w:rsidRPr="007A5251">
        <w:rPr>
          <w:sz w:val="22"/>
        </w:rPr>
        <w:t>trategije.</w:t>
      </w:r>
    </w:p>
    <w:p w:rsidR="00A27012" w:rsidRPr="007A5251" w:rsidRDefault="00A27012" w:rsidP="00A27012">
      <w:pPr>
        <w:numPr>
          <w:ilvl w:val="0"/>
          <w:numId w:val="257"/>
        </w:numPr>
        <w:ind w:left="1068"/>
        <w:rPr>
          <w:sz w:val="22"/>
        </w:rPr>
      </w:pPr>
      <w:r>
        <w:rPr>
          <w:sz w:val="22"/>
        </w:rPr>
        <w:t>Proces provedbe Industrijske strategije (</w:t>
      </w:r>
      <w:r w:rsidRPr="007A5251">
        <w:rPr>
          <w:sz w:val="22"/>
        </w:rPr>
        <w:t>i svih drugih strategija) treba označiti kao početak procesa restrukt</w:t>
      </w:r>
      <w:r>
        <w:rPr>
          <w:sz w:val="22"/>
        </w:rPr>
        <w:t>uriranja javne uprave koji je potrebno</w:t>
      </w:r>
      <w:r w:rsidRPr="007A5251">
        <w:rPr>
          <w:sz w:val="22"/>
        </w:rPr>
        <w:t xml:space="preserve"> provesti tako da se stvore osnove za uspješnu realizaciju strateških ciljeva.</w:t>
      </w:r>
    </w:p>
    <w:p w:rsidR="00A27012" w:rsidRPr="007A5251" w:rsidRDefault="00A27012" w:rsidP="00A27012">
      <w:pPr>
        <w:numPr>
          <w:ilvl w:val="0"/>
          <w:numId w:val="257"/>
        </w:numPr>
        <w:ind w:left="1068"/>
        <w:rPr>
          <w:sz w:val="22"/>
        </w:rPr>
      </w:pPr>
      <w:r>
        <w:rPr>
          <w:sz w:val="22"/>
        </w:rPr>
        <w:t>Predlaže</w:t>
      </w:r>
      <w:r w:rsidRPr="007A5251">
        <w:rPr>
          <w:sz w:val="22"/>
        </w:rPr>
        <w:t xml:space="preserve"> se </w:t>
      </w:r>
      <w:r>
        <w:rPr>
          <w:sz w:val="22"/>
        </w:rPr>
        <w:t xml:space="preserve">primjena </w:t>
      </w:r>
      <w:r w:rsidRPr="005501FC">
        <w:rPr>
          <w:i/>
          <w:sz w:val="22"/>
        </w:rPr>
        <w:t>Balanced Scorecard</w:t>
      </w:r>
      <w:r>
        <w:rPr>
          <w:i/>
          <w:sz w:val="22"/>
        </w:rPr>
        <w:t>a</w:t>
      </w:r>
      <w:r>
        <w:rPr>
          <w:sz w:val="22"/>
        </w:rPr>
        <w:t xml:space="preserve"> </w:t>
      </w:r>
      <w:r w:rsidRPr="007A5251">
        <w:rPr>
          <w:sz w:val="22"/>
        </w:rPr>
        <w:t>kao model</w:t>
      </w:r>
      <w:r>
        <w:rPr>
          <w:sz w:val="22"/>
        </w:rPr>
        <w:t xml:space="preserve">a provedbe Strategije </w:t>
      </w:r>
      <w:r w:rsidRPr="007A5251">
        <w:rPr>
          <w:sz w:val="22"/>
        </w:rPr>
        <w:t>jer na najbolji način može r</w:t>
      </w:r>
      <w:r>
        <w:rPr>
          <w:sz w:val="22"/>
        </w:rPr>
        <w:t>i</w:t>
      </w:r>
      <w:r w:rsidRPr="007A5251">
        <w:rPr>
          <w:sz w:val="22"/>
        </w:rPr>
        <w:t>ješiti probleme koj</w:t>
      </w:r>
      <w:r>
        <w:rPr>
          <w:sz w:val="22"/>
        </w:rPr>
        <w:t xml:space="preserve">i proizlaze iz trenutne </w:t>
      </w:r>
      <w:r w:rsidRPr="007A5251">
        <w:rPr>
          <w:sz w:val="22"/>
        </w:rPr>
        <w:t>organizacije ministarstva.</w:t>
      </w:r>
    </w:p>
    <w:p w:rsidR="00A27012" w:rsidRPr="007A5251" w:rsidRDefault="00A27012" w:rsidP="00A27012">
      <w:pPr>
        <w:numPr>
          <w:ilvl w:val="0"/>
          <w:numId w:val="257"/>
        </w:numPr>
        <w:ind w:left="1068"/>
        <w:rPr>
          <w:sz w:val="22"/>
        </w:rPr>
      </w:pPr>
      <w:r>
        <w:rPr>
          <w:sz w:val="22"/>
        </w:rPr>
        <w:t>Smatra</w:t>
      </w:r>
      <w:r w:rsidRPr="007A5251">
        <w:rPr>
          <w:sz w:val="22"/>
        </w:rPr>
        <w:t xml:space="preserve"> </w:t>
      </w:r>
      <w:r>
        <w:rPr>
          <w:sz w:val="22"/>
        </w:rPr>
        <w:t>se nužnim angažiranje savjetnika (konzultanata) koji će pružiti operativnu</w:t>
      </w:r>
      <w:r w:rsidRPr="007A5251">
        <w:rPr>
          <w:sz w:val="22"/>
        </w:rPr>
        <w:t xml:space="preserve"> pomoć u strukturiranju i definira</w:t>
      </w:r>
      <w:r>
        <w:rPr>
          <w:sz w:val="22"/>
        </w:rPr>
        <w:t>n</w:t>
      </w:r>
      <w:r w:rsidRPr="007A5251">
        <w:rPr>
          <w:sz w:val="22"/>
        </w:rPr>
        <w:t>ju organizaci</w:t>
      </w:r>
      <w:r>
        <w:rPr>
          <w:sz w:val="22"/>
        </w:rPr>
        <w:t>je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razviti sustav komunik</w:t>
      </w:r>
      <w:r>
        <w:rPr>
          <w:sz w:val="22"/>
        </w:rPr>
        <w:t>acije prema unutarnjem i vanjskom</w:t>
      </w:r>
      <w:r w:rsidRPr="007A5251">
        <w:rPr>
          <w:sz w:val="22"/>
        </w:rPr>
        <w:t xml:space="preserve"> okruženju s ciljem stvaranja podrške realizaciji strateških ciljeva, ali i prikupljanja </w:t>
      </w:r>
      <w:r>
        <w:rPr>
          <w:sz w:val="22"/>
        </w:rPr>
        <w:t>povratnih informacija o učincima I</w:t>
      </w:r>
      <w:r w:rsidRPr="007A5251">
        <w:rPr>
          <w:sz w:val="22"/>
        </w:rPr>
        <w:t xml:space="preserve">ndustrijske strategije. </w:t>
      </w:r>
    </w:p>
    <w:p w:rsidR="00A27012" w:rsidRPr="007A5251" w:rsidRDefault="00A27012" w:rsidP="00A27012">
      <w:pPr>
        <w:ind w:left="348"/>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1B41B0">
      <w:pPr>
        <w:spacing w:after="200"/>
        <w:jc w:val="left"/>
        <w:rPr>
          <w:lang w:eastAsia="hr-HR"/>
        </w:rPr>
      </w:pPr>
    </w:p>
    <w:p w:rsidR="001B41B0" w:rsidRPr="004E6412" w:rsidRDefault="001B41B0" w:rsidP="001B41B0">
      <w:pPr>
        <w:pStyle w:val="Title"/>
        <w:rPr>
          <w:rFonts w:ascii="Times New Roman" w:hAnsi="Times New Roman"/>
          <w:lang w:eastAsia="hr-HR"/>
        </w:rPr>
      </w:pPr>
      <w:bookmarkStart w:id="1161" w:name="_Toc366154469"/>
      <w:bookmarkStart w:id="1162" w:name="_Toc366410016"/>
      <w:r w:rsidRPr="004E6412">
        <w:rPr>
          <w:rFonts w:ascii="Times New Roman" w:hAnsi="Times New Roman"/>
          <w:lang w:eastAsia="hr-HR"/>
        </w:rPr>
        <w:br w:type="page"/>
      </w:r>
    </w:p>
    <w:p w:rsidR="001B41B0" w:rsidRPr="004E6412" w:rsidRDefault="001B41B0" w:rsidP="001B41B0">
      <w:pPr>
        <w:pStyle w:val="Title"/>
        <w:rPr>
          <w:rFonts w:ascii="Times New Roman" w:hAnsi="Times New Roman"/>
          <w:lang w:eastAsia="hr-HR"/>
        </w:rPr>
      </w:pPr>
      <w:bookmarkStart w:id="1163" w:name="_Toc378069179"/>
      <w:r w:rsidRPr="004E6412">
        <w:rPr>
          <w:rFonts w:ascii="Times New Roman" w:hAnsi="Times New Roman"/>
          <w:lang w:eastAsia="hr-HR"/>
        </w:rPr>
        <w:lastRenderedPageBreak/>
        <w:t>Literatura</w:t>
      </w:r>
      <w:bookmarkEnd w:id="1161"/>
      <w:bookmarkEnd w:id="1162"/>
      <w:bookmarkEnd w:id="1163"/>
    </w:p>
    <w:p w:rsidR="00B31D5A" w:rsidRPr="004E6412" w:rsidRDefault="00B31D5A" w:rsidP="001B41B0">
      <w:pPr>
        <w:tabs>
          <w:tab w:val="left" w:pos="1417"/>
        </w:tabs>
        <w:rPr>
          <w:b/>
          <w:sz w:val="20"/>
          <w:szCs w:val="20"/>
        </w:rPr>
      </w:pPr>
    </w:p>
    <w:p w:rsidR="001B41B0" w:rsidRPr="004E6412" w:rsidRDefault="001B41B0" w:rsidP="001B41B0">
      <w:pPr>
        <w:tabs>
          <w:tab w:val="left" w:pos="1417"/>
        </w:tabs>
        <w:rPr>
          <w:b/>
          <w:sz w:val="20"/>
          <w:szCs w:val="20"/>
        </w:rPr>
      </w:pPr>
      <w:r w:rsidRPr="004E6412">
        <w:rPr>
          <w:b/>
          <w:sz w:val="20"/>
          <w:szCs w:val="20"/>
        </w:rPr>
        <w:t>Uvod</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Aghion, P., Dewatripont, M., Du, L., Harrison, A.,  Legros, P. (2012) Industrial Policy and Competition. Dostupno na:  </w:t>
      </w:r>
      <w:hyperlink r:id="rId73" w:history="1">
        <w:r w:rsidRPr="004E6412">
          <w:rPr>
            <w:sz w:val="20"/>
            <w:szCs w:val="20"/>
          </w:rPr>
          <w:t>http://scholar.harvard.edu/aghion/files/industrial_policy_and_competition.pdf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Alvesson, M. (1996) Leadership Studies: From Procedure and abstraction to reflexivity and situation, </w:t>
      </w:r>
      <w:r w:rsidRPr="004E6412">
        <w:rPr>
          <w:i/>
          <w:sz w:val="20"/>
          <w:szCs w:val="20"/>
        </w:rPr>
        <w:t>Leadership Quarterly</w:t>
      </w:r>
      <w:r w:rsidRPr="004E6412">
        <w:rPr>
          <w:sz w:val="20"/>
          <w:szCs w:val="20"/>
        </w:rPr>
        <w:t>, 7 (4), str. 455-485.</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Atesoglu, H. S. (1994) An application of a Kaldorian export-led model of growth to the  United States, </w:t>
      </w:r>
      <w:r w:rsidRPr="004E6412">
        <w:rPr>
          <w:rFonts w:ascii="Times New Roman" w:hAnsi="Times New Roman"/>
          <w:i/>
          <w:sz w:val="20"/>
          <w:szCs w:val="20"/>
        </w:rPr>
        <w:t>Applied Economics</w:t>
      </w:r>
      <w:r w:rsidRPr="004E6412">
        <w:rPr>
          <w:rFonts w:ascii="Times New Roman" w:hAnsi="Times New Roman"/>
          <w:sz w:val="20"/>
          <w:szCs w:val="20"/>
        </w:rPr>
        <w:t>, 26 (5), 479-483.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Beckerman, W.  (1965) Demand, Exports and Growth.U: Beckerman, W. i sur. (eds)  </w:t>
      </w:r>
      <w:r w:rsidRPr="004E6412">
        <w:rPr>
          <w:rFonts w:ascii="Times New Roman" w:hAnsi="Times New Roman"/>
          <w:i/>
          <w:sz w:val="20"/>
          <w:szCs w:val="20"/>
        </w:rPr>
        <w:t>The British Economy in 1975</w:t>
      </w:r>
      <w:r w:rsidRPr="004E6412">
        <w:rPr>
          <w:rFonts w:ascii="Times New Roman" w:hAnsi="Times New Roman"/>
          <w:sz w:val="20"/>
          <w:szCs w:val="20"/>
        </w:rPr>
        <w:t>. The National Institute of Economic and Social Research, str. 44-72.</w:t>
      </w:r>
    </w:p>
    <w:p w:rsidR="001B41B0" w:rsidRPr="004E6412" w:rsidRDefault="001B41B0" w:rsidP="006A331D">
      <w:pPr>
        <w:numPr>
          <w:ilvl w:val="0"/>
          <w:numId w:val="113"/>
        </w:numPr>
        <w:spacing w:line="240" w:lineRule="auto"/>
        <w:rPr>
          <w:sz w:val="20"/>
          <w:szCs w:val="20"/>
        </w:rPr>
      </w:pPr>
      <w:r w:rsidRPr="004E6412">
        <w:rPr>
          <w:sz w:val="20"/>
          <w:szCs w:val="20"/>
        </w:rPr>
        <w:t>Boyce, C., Neale, P. (2006) Conductingin-depthinterviews: A guide for designing and conducting in-depth interviews for evaluation input. Pathfinder International Tool Series, Monitoring and Evaluation – 2, str. 3.</w:t>
      </w:r>
    </w:p>
    <w:p w:rsidR="001B41B0" w:rsidRPr="004E6412" w:rsidRDefault="001B41B0" w:rsidP="006A331D">
      <w:pPr>
        <w:numPr>
          <w:ilvl w:val="0"/>
          <w:numId w:val="113"/>
        </w:numPr>
        <w:spacing w:line="240" w:lineRule="auto"/>
        <w:rPr>
          <w:sz w:val="20"/>
          <w:szCs w:val="20"/>
        </w:rPr>
      </w:pPr>
      <w:r w:rsidRPr="004E6412">
        <w:rPr>
          <w:sz w:val="20"/>
          <w:szCs w:val="20"/>
        </w:rPr>
        <w:t>Braima, S. J.  (2011) Sierra Leone: IMF crisis solution report.  Action Aid International Sierra Leone.   Dostupno na: http://www.actionaid.org/sites/files/actionaid/sierra_leone_imf_crisis_solution_report.pdf [10.7.2013.].</w:t>
      </w:r>
    </w:p>
    <w:p w:rsidR="001B41B0" w:rsidRPr="004E6412" w:rsidRDefault="00141C68" w:rsidP="006A331D">
      <w:pPr>
        <w:numPr>
          <w:ilvl w:val="0"/>
          <w:numId w:val="113"/>
        </w:numPr>
        <w:autoSpaceDE w:val="0"/>
        <w:autoSpaceDN w:val="0"/>
        <w:adjustRightInd w:val="0"/>
        <w:spacing w:line="240" w:lineRule="auto"/>
        <w:rPr>
          <w:iCs/>
          <w:sz w:val="20"/>
          <w:szCs w:val="20"/>
          <w:lang w:eastAsia="zh-CN"/>
        </w:rPr>
      </w:pPr>
      <w:r w:rsidRPr="004E6412">
        <w:rPr>
          <w:sz w:val="20"/>
          <w:szCs w:val="20"/>
        </w:rPr>
        <w:t>Central</w:t>
      </w:r>
      <w:r w:rsidR="001B41B0" w:rsidRPr="004E6412">
        <w:rPr>
          <w:sz w:val="20"/>
          <w:szCs w:val="20"/>
        </w:rPr>
        <w:t xml:space="preserve"> Economic Development Commission (2009) </w:t>
      </w:r>
      <w:r w:rsidR="001B41B0" w:rsidRPr="004E6412">
        <w:rPr>
          <w:iCs/>
          <w:sz w:val="20"/>
          <w:szCs w:val="20"/>
          <w:lang w:eastAsia="zh-CN"/>
        </w:rPr>
        <w:t>Advanced Manufacturing Target Industry Report. NY: CEDC.</w:t>
      </w:r>
    </w:p>
    <w:p w:rsidR="001B41B0" w:rsidRPr="004E6412" w:rsidRDefault="001B41B0" w:rsidP="006A331D">
      <w:pPr>
        <w:numPr>
          <w:ilvl w:val="0"/>
          <w:numId w:val="113"/>
        </w:numPr>
        <w:spacing w:line="240" w:lineRule="auto"/>
        <w:rPr>
          <w:sz w:val="20"/>
          <w:szCs w:val="20"/>
        </w:rPr>
      </w:pPr>
      <w:r w:rsidRPr="004E6412">
        <w:rPr>
          <w:sz w:val="20"/>
          <w:szCs w:val="20"/>
        </w:rPr>
        <w:t xml:space="preserve">Conger, J. (1998) Qualitative Research as the cornerstone methodology for understanding leadership, </w:t>
      </w:r>
      <w:r w:rsidRPr="004E6412">
        <w:rPr>
          <w:i/>
          <w:sz w:val="20"/>
          <w:szCs w:val="20"/>
        </w:rPr>
        <w:t>Leadership Quarterly,</w:t>
      </w:r>
      <w:r w:rsidRPr="004E6412">
        <w:rPr>
          <w:sz w:val="20"/>
          <w:szCs w:val="20"/>
        </w:rPr>
        <w:t xml:space="preserve"> 9 (1), str. 107-121.</w:t>
      </w:r>
    </w:p>
    <w:p w:rsidR="001B41B0" w:rsidRPr="004E6412" w:rsidRDefault="001B41B0" w:rsidP="006A331D">
      <w:pPr>
        <w:numPr>
          <w:ilvl w:val="0"/>
          <w:numId w:val="113"/>
        </w:numPr>
        <w:spacing w:line="240" w:lineRule="auto"/>
        <w:rPr>
          <w:sz w:val="20"/>
          <w:szCs w:val="20"/>
        </w:rPr>
      </w:pPr>
      <w:r w:rsidRPr="004E6412">
        <w:rPr>
          <w:sz w:val="20"/>
          <w:szCs w:val="20"/>
        </w:rPr>
        <w:t xml:space="preserve">Creswell, J. W. (2009) </w:t>
      </w:r>
      <w:r w:rsidRPr="004E6412">
        <w:rPr>
          <w:i/>
          <w:sz w:val="20"/>
          <w:szCs w:val="20"/>
        </w:rPr>
        <w:t>Research Design: Qualitative, Quantitative and Mixed Methods Approach</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Denzin N., Lincoln Y. (ur.) (2000) </w:t>
      </w:r>
      <w:r w:rsidRPr="004E6412">
        <w:rPr>
          <w:i/>
          <w:sz w:val="20"/>
          <w:szCs w:val="20"/>
        </w:rPr>
        <w:t>Handbook of Qualitative Research</w:t>
      </w:r>
      <w:r w:rsidRPr="004E6412">
        <w:rPr>
          <w:sz w:val="20"/>
          <w:szCs w:val="20"/>
        </w:rPr>
        <w:t>. London: Sage Publication Inc.</w:t>
      </w:r>
    </w:p>
    <w:p w:rsidR="001B41B0" w:rsidRPr="004E6412" w:rsidRDefault="001B41B0" w:rsidP="006A331D">
      <w:pPr>
        <w:numPr>
          <w:ilvl w:val="0"/>
          <w:numId w:val="113"/>
        </w:numPr>
        <w:spacing w:line="240" w:lineRule="auto"/>
        <w:rPr>
          <w:sz w:val="20"/>
          <w:szCs w:val="20"/>
        </w:rPr>
      </w:pPr>
      <w:r w:rsidRPr="004E6412">
        <w:rPr>
          <w:sz w:val="20"/>
          <w:szCs w:val="20"/>
        </w:rPr>
        <w:t xml:space="preserve">Dey, I. (1993) </w:t>
      </w:r>
      <w:r w:rsidRPr="004E6412">
        <w:rPr>
          <w:i/>
          <w:sz w:val="20"/>
          <w:szCs w:val="20"/>
        </w:rPr>
        <w:t>Qualitative data analysis: a user-friendly guide for social scientists</w:t>
      </w:r>
      <w:r w:rsidRPr="004E6412">
        <w:rPr>
          <w:sz w:val="20"/>
          <w:szCs w:val="20"/>
        </w:rPr>
        <w:t>. London: Routlegde.</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Ding, M., Chen, Y.i S.L. Bressler (2006) Granger causality: Basic theory and application to neuroscience. U: J. Timmer, B. Schelter, M. Winterhalder (eds) </w:t>
      </w:r>
      <w:r w:rsidRPr="004E6412">
        <w:rPr>
          <w:rFonts w:ascii="Times New Roman" w:hAnsi="Times New Roman"/>
          <w:i/>
          <w:sz w:val="20"/>
          <w:szCs w:val="20"/>
        </w:rPr>
        <w:t>Handbook of Time Series Analysis</w:t>
      </w:r>
      <w:r w:rsidRPr="004E6412">
        <w:rPr>
          <w:rFonts w:ascii="Times New Roman" w:hAnsi="Times New Roman"/>
          <w:sz w:val="20"/>
          <w:szCs w:val="20"/>
        </w:rPr>
        <w:t>. Verlage: Wiley-VCH, str.  451.-474.</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Dixon, R.J., Thirlwall, A.P.  (1975) A model of regional growth differences on Kaldorian lines, </w:t>
      </w:r>
      <w:r w:rsidRPr="004E6412">
        <w:rPr>
          <w:rFonts w:ascii="Times New Roman" w:hAnsi="Times New Roman"/>
          <w:i/>
          <w:sz w:val="20"/>
          <w:szCs w:val="20"/>
        </w:rPr>
        <w:t>Oxford Economic Papers</w:t>
      </w:r>
      <w:r w:rsidRPr="004E6412">
        <w:rPr>
          <w:rFonts w:ascii="Times New Roman" w:hAnsi="Times New Roman"/>
          <w:sz w:val="20"/>
          <w:szCs w:val="20"/>
        </w:rPr>
        <w:t>, 27, str. 201.-214.</w:t>
      </w:r>
    </w:p>
    <w:p w:rsidR="001B41B0" w:rsidRPr="004E6412" w:rsidRDefault="001B41B0" w:rsidP="006A331D">
      <w:pPr>
        <w:numPr>
          <w:ilvl w:val="0"/>
          <w:numId w:val="113"/>
        </w:numPr>
        <w:spacing w:line="240" w:lineRule="auto"/>
        <w:rPr>
          <w:sz w:val="20"/>
          <w:szCs w:val="20"/>
        </w:rPr>
      </w:pPr>
      <w:r w:rsidRPr="004E6412">
        <w:rPr>
          <w:sz w:val="20"/>
          <w:szCs w:val="20"/>
        </w:rPr>
        <w:t>Ekonomski Institut Zagreb (2009) Strateške odrednice razvitka i konkurentnost prerađivačke industrije Hrvatske do 2013. godine. Zagreb</w:t>
      </w:r>
    </w:p>
    <w:p w:rsidR="001B41B0" w:rsidRPr="004E6412" w:rsidRDefault="001B41B0" w:rsidP="006A331D">
      <w:pPr>
        <w:numPr>
          <w:ilvl w:val="0"/>
          <w:numId w:val="113"/>
        </w:numPr>
        <w:spacing w:line="240" w:lineRule="auto"/>
        <w:rPr>
          <w:sz w:val="20"/>
          <w:szCs w:val="20"/>
        </w:rPr>
      </w:pPr>
      <w:r w:rsidRPr="004E6412">
        <w:rPr>
          <w:sz w:val="20"/>
          <w:szCs w:val="20"/>
        </w:rPr>
        <w:t>Eliot &amp; Associates (2005) Guidelines for Conducting a Focus Group. Dostupno na: http://assessment.aas.duke.edu/documents/How_to_Conduct_a_Focus_Group.pdf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Engle, R. F., Granger, C. W. J., (1987) Co-Integration and Error Correction: Representation, Estimation, and Testing,  </w:t>
      </w:r>
      <w:r w:rsidRPr="004E6412">
        <w:rPr>
          <w:rFonts w:ascii="Times New Roman" w:hAnsi="Times New Roman"/>
          <w:i/>
          <w:sz w:val="20"/>
          <w:szCs w:val="20"/>
        </w:rPr>
        <w:t>Econometrica</w:t>
      </w:r>
      <w:r w:rsidRPr="004E6412">
        <w:rPr>
          <w:rFonts w:ascii="Times New Roman" w:hAnsi="Times New Roman"/>
          <w:sz w:val="20"/>
          <w:szCs w:val="20"/>
        </w:rPr>
        <w:t>, 55, (2). str. 251-276.</w:t>
      </w:r>
    </w:p>
    <w:p w:rsidR="001B41B0" w:rsidRPr="004E6412" w:rsidRDefault="001B41B0" w:rsidP="006A331D">
      <w:pPr>
        <w:numPr>
          <w:ilvl w:val="0"/>
          <w:numId w:val="113"/>
        </w:numPr>
        <w:autoSpaceDE w:val="0"/>
        <w:autoSpaceDN w:val="0"/>
        <w:adjustRightInd w:val="0"/>
        <w:spacing w:line="240" w:lineRule="auto"/>
        <w:rPr>
          <w:bCs/>
          <w:sz w:val="20"/>
          <w:szCs w:val="20"/>
          <w:lang w:eastAsia="zh-CN"/>
        </w:rPr>
      </w:pPr>
      <w:r w:rsidRPr="004E6412">
        <w:rPr>
          <w:sz w:val="20"/>
          <w:szCs w:val="20"/>
        </w:rPr>
        <w:t xml:space="preserve">European Commission (2009) </w:t>
      </w:r>
      <w:r w:rsidRPr="004E6412">
        <w:rPr>
          <w:sz w:val="20"/>
          <w:szCs w:val="20"/>
          <w:lang w:eastAsia="zh-CN"/>
        </w:rPr>
        <w:t>Comprehensive sectoral analysis of emerging competences and economic activities in the European Union</w:t>
      </w:r>
      <w:r w:rsidRPr="004E6412">
        <w:rPr>
          <w:sz w:val="20"/>
          <w:szCs w:val="20"/>
        </w:rPr>
        <w:t xml:space="preserve">: </w:t>
      </w:r>
      <w:r w:rsidRPr="004E6412">
        <w:rPr>
          <w:bCs/>
          <w:sz w:val="20"/>
          <w:szCs w:val="20"/>
          <w:lang w:eastAsia="zh-CN"/>
        </w:rPr>
        <w:t xml:space="preserve">Computers, electronic and optical products. Dostupno na: http://ec.europa.eu/social/main.jsp?langId=en&amp;catId=89&amp;newsId=566&amp;furtherNews=yes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European Commission (2009) The future of transport.  Focus Groups’ Report. Dostupno na: </w:t>
      </w:r>
      <w:hyperlink r:id="rId74" w:history="1">
        <w:r w:rsidRPr="004E6412">
          <w:rPr>
            <w:sz w:val="20"/>
            <w:szCs w:val="20"/>
          </w:rPr>
          <w:t>http://ec.europa.eu/transport/themes/strategies/doc/2009_future_of_transport/2009_the_future_of_transport.pdf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Fern, E. F. (2001) </w:t>
      </w:r>
      <w:r w:rsidRPr="004E6412">
        <w:rPr>
          <w:i/>
          <w:sz w:val="20"/>
          <w:szCs w:val="20"/>
        </w:rPr>
        <w:t>Advanced Focus Group Research</w:t>
      </w:r>
      <w:r w:rsidRPr="004E6412">
        <w:rPr>
          <w:sz w:val="20"/>
          <w:szCs w:val="20"/>
        </w:rPr>
        <w:t xml:space="preserv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Gibbs, A.  (1997) Focus groups, </w:t>
      </w:r>
      <w:r w:rsidRPr="004E6412">
        <w:rPr>
          <w:i/>
          <w:iCs/>
          <w:sz w:val="20"/>
          <w:szCs w:val="20"/>
        </w:rPr>
        <w:t xml:space="preserve">Social Research Update, </w:t>
      </w:r>
      <w:r w:rsidRPr="004E6412">
        <w:rPr>
          <w:iCs/>
          <w:sz w:val="20"/>
          <w:szCs w:val="20"/>
        </w:rPr>
        <w:t>19</w:t>
      </w:r>
      <w:r w:rsidRPr="004E6412">
        <w:rPr>
          <w:i/>
          <w:iCs/>
          <w:sz w:val="20"/>
          <w:szCs w:val="20"/>
        </w:rPr>
        <w:t xml:space="preserve">, </w:t>
      </w:r>
      <w:r w:rsidRPr="004E6412">
        <w:rPr>
          <w:iCs/>
          <w:sz w:val="20"/>
          <w:szCs w:val="20"/>
        </w:rPr>
        <w:t>str. 1-5</w:t>
      </w:r>
      <w:r w:rsidRPr="004E6412">
        <w:rPr>
          <w:i/>
          <w:sz w:val="20"/>
          <w:szCs w:val="20"/>
        </w:rPr>
        <w:t xml:space="preserve">. </w:t>
      </w:r>
    </w:p>
    <w:p w:rsidR="001B41B0" w:rsidRPr="004E6412" w:rsidRDefault="001B41B0" w:rsidP="006A331D">
      <w:pPr>
        <w:numPr>
          <w:ilvl w:val="0"/>
          <w:numId w:val="113"/>
        </w:numPr>
        <w:spacing w:line="240" w:lineRule="auto"/>
        <w:rPr>
          <w:sz w:val="20"/>
          <w:szCs w:val="20"/>
        </w:rPr>
      </w:pPr>
      <w:r w:rsidRPr="004E6412">
        <w:rPr>
          <w:sz w:val="20"/>
          <w:szCs w:val="20"/>
        </w:rPr>
        <w:t xml:space="preserve">Groves, R. M., Fowler, F.J., Couper, M. P., Lepkowski, J. M., Singer, E., Tourangeau, R. (2004)  </w:t>
      </w:r>
      <w:r w:rsidRPr="004E6412">
        <w:rPr>
          <w:i/>
          <w:iCs/>
          <w:sz w:val="20"/>
          <w:szCs w:val="20"/>
        </w:rPr>
        <w:t>Survey methodology</w:t>
      </w:r>
      <w:r w:rsidRPr="004E6412">
        <w:rPr>
          <w:sz w:val="20"/>
          <w:szCs w:val="20"/>
        </w:rPr>
        <w:t>. Hoboken, NY: John Wiley&amp;Sons.</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Hruška, D. (2010) </w:t>
      </w:r>
      <w:r w:rsidRPr="004E6412">
        <w:rPr>
          <w:i/>
          <w:sz w:val="20"/>
          <w:szCs w:val="20"/>
        </w:rPr>
        <w:t>Donošenje radikalnih odluka u velikim organizacijama</w:t>
      </w:r>
      <w:r w:rsidRPr="004E6412">
        <w:rPr>
          <w:sz w:val="20"/>
          <w:szCs w:val="20"/>
        </w:rPr>
        <w:t>. Doktorska disertacija. Ekonomski fakultet Sveučilišta u Zagrebu, str. 182.</w:t>
      </w:r>
    </w:p>
    <w:p w:rsidR="001B41B0" w:rsidRPr="004E6412" w:rsidRDefault="001B41B0" w:rsidP="006A331D">
      <w:pPr>
        <w:numPr>
          <w:ilvl w:val="0"/>
          <w:numId w:val="113"/>
        </w:numPr>
        <w:spacing w:line="240" w:lineRule="auto"/>
        <w:rPr>
          <w:sz w:val="20"/>
          <w:szCs w:val="20"/>
        </w:rPr>
      </w:pPr>
      <w:r w:rsidRPr="004E6412">
        <w:rPr>
          <w:sz w:val="20"/>
          <w:szCs w:val="20"/>
        </w:rPr>
        <w:t xml:space="preserve">International monetary fund (2011) The Gambia: Poverty Reduction Strategy Paper—Progress Report. Dostupno na: </w:t>
      </w:r>
      <w:r w:rsidRPr="004E6412">
        <w:rPr>
          <w:iCs/>
          <w:sz w:val="20"/>
          <w:szCs w:val="20"/>
        </w:rPr>
        <w:t>www.</w:t>
      </w:r>
      <w:r w:rsidRPr="004E6412">
        <w:rPr>
          <w:bCs/>
          <w:iCs/>
          <w:sz w:val="20"/>
          <w:szCs w:val="20"/>
        </w:rPr>
        <w:t>imf</w:t>
      </w:r>
      <w:r w:rsidRPr="004E6412">
        <w:rPr>
          <w:iCs/>
          <w:sz w:val="20"/>
          <w:szCs w:val="20"/>
        </w:rPr>
        <w:t>.org/external/pubs/ft/scr/2011/cr1127.pdf</w:t>
      </w:r>
      <w:r w:rsidRPr="004E6412">
        <w:rPr>
          <w:sz w:val="20"/>
          <w:szCs w:val="20"/>
        </w:rPr>
        <w:t>‎ [10.7.2013.].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Kaldor, N. (1970) The case for regional policies, </w:t>
      </w:r>
      <w:r w:rsidRPr="004E6412">
        <w:rPr>
          <w:rFonts w:ascii="Times New Roman" w:hAnsi="Times New Roman"/>
          <w:i/>
          <w:sz w:val="20"/>
          <w:szCs w:val="20"/>
        </w:rPr>
        <w:t>Scottish Journal of Political Economy</w:t>
      </w:r>
      <w:r w:rsidRPr="004E6412">
        <w:rPr>
          <w:rFonts w:ascii="Times New Roman" w:hAnsi="Times New Roman"/>
          <w:sz w:val="20"/>
          <w:szCs w:val="20"/>
        </w:rPr>
        <w:t>, 17 (3), str. 337.-348.</w:t>
      </w:r>
    </w:p>
    <w:p w:rsidR="001B41B0" w:rsidRPr="004E6412" w:rsidRDefault="001B41B0" w:rsidP="006A331D">
      <w:pPr>
        <w:numPr>
          <w:ilvl w:val="0"/>
          <w:numId w:val="113"/>
        </w:numPr>
        <w:spacing w:line="240" w:lineRule="auto"/>
        <w:rPr>
          <w:sz w:val="20"/>
          <w:szCs w:val="20"/>
        </w:rPr>
      </w:pPr>
      <w:r w:rsidRPr="004E6412">
        <w:rPr>
          <w:sz w:val="20"/>
          <w:szCs w:val="20"/>
        </w:rPr>
        <w:t xml:space="preserve">Kitzinger, J. (1995) Qualitative Research: Introducing focus groups, </w:t>
      </w:r>
      <w:r w:rsidRPr="004E6412">
        <w:rPr>
          <w:i/>
          <w:sz w:val="20"/>
          <w:szCs w:val="20"/>
        </w:rPr>
        <w:t>BMJ Journal</w:t>
      </w:r>
      <w:r w:rsidRPr="004E6412">
        <w:rPr>
          <w:sz w:val="20"/>
          <w:szCs w:val="20"/>
        </w:rPr>
        <w:t xml:space="preserve">, </w:t>
      </w:r>
      <w:r w:rsidRPr="004E6412">
        <w:rPr>
          <w:iCs/>
          <w:sz w:val="20"/>
          <w:szCs w:val="20"/>
        </w:rPr>
        <w:t>1995, str. 299-311.</w:t>
      </w:r>
    </w:p>
    <w:p w:rsidR="001B41B0" w:rsidRPr="004E6412" w:rsidRDefault="001B41B0" w:rsidP="006A331D">
      <w:pPr>
        <w:numPr>
          <w:ilvl w:val="0"/>
          <w:numId w:val="113"/>
        </w:numPr>
        <w:spacing w:line="240" w:lineRule="auto"/>
        <w:rPr>
          <w:sz w:val="20"/>
          <w:szCs w:val="20"/>
        </w:rPr>
      </w:pPr>
      <w:r w:rsidRPr="004E6412">
        <w:rPr>
          <w:sz w:val="20"/>
          <w:szCs w:val="20"/>
        </w:rPr>
        <w:t>Krugman, P. R. (1983), Targeted Industrial Policies: Theory and Evidence. SAD: Federal Reserve Bank of Kansas City, str. 123-155.</w:t>
      </w:r>
    </w:p>
    <w:p w:rsidR="001B41B0" w:rsidRPr="004E6412" w:rsidRDefault="001B41B0" w:rsidP="006A331D">
      <w:pPr>
        <w:numPr>
          <w:ilvl w:val="0"/>
          <w:numId w:val="113"/>
        </w:numPr>
        <w:spacing w:line="240" w:lineRule="auto"/>
        <w:rPr>
          <w:sz w:val="20"/>
          <w:szCs w:val="20"/>
        </w:rPr>
      </w:pPr>
      <w:r w:rsidRPr="004E6412">
        <w:rPr>
          <w:sz w:val="20"/>
          <w:szCs w:val="20"/>
        </w:rPr>
        <w:lastRenderedPageBreak/>
        <w:t xml:space="preserve">Kuman, R. (2005) </w:t>
      </w:r>
      <w:r w:rsidRPr="004E6412">
        <w:rPr>
          <w:i/>
          <w:sz w:val="20"/>
          <w:szCs w:val="20"/>
        </w:rPr>
        <w:t>Research methodology: a step-by-step guide for beginners</w:t>
      </w:r>
      <w:r w:rsidRPr="004E6412">
        <w:rPr>
          <w:sz w:val="20"/>
          <w:szCs w:val="20"/>
        </w:rPr>
        <w:t xml:space="preserve">. Drugo izdanje.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Kvale, S. (1996) </w:t>
      </w:r>
      <w:r w:rsidRPr="004E6412">
        <w:rPr>
          <w:i/>
          <w:sz w:val="20"/>
          <w:szCs w:val="20"/>
        </w:rPr>
        <w:t>Interviews: An Introduction to Qualitative Research Interviewing</w:t>
      </w:r>
      <w:r w:rsidRPr="004E6412">
        <w:rPr>
          <w:sz w:val="20"/>
          <w:szCs w:val="20"/>
        </w:rPr>
        <w:t>. Thousands Oaks: Sage Publications.</w:t>
      </w:r>
    </w:p>
    <w:p w:rsidR="001B41B0" w:rsidRPr="004E6412" w:rsidRDefault="001B41B0" w:rsidP="006A331D">
      <w:pPr>
        <w:numPr>
          <w:ilvl w:val="0"/>
          <w:numId w:val="113"/>
        </w:numPr>
        <w:spacing w:line="240" w:lineRule="auto"/>
        <w:rPr>
          <w:sz w:val="20"/>
          <w:szCs w:val="20"/>
        </w:rPr>
      </w:pPr>
      <w:r w:rsidRPr="004E6412">
        <w:rPr>
          <w:sz w:val="20"/>
          <w:szCs w:val="20"/>
        </w:rPr>
        <w:t>Mack, N., Woodsong, C., MacQueen, K. M., Guest, G., Namey, E. (2005) Qualitative Research Methods: A Data Collector's Field Guide.</w:t>
      </w:r>
      <w:r w:rsidRPr="004E6412">
        <w:rPr>
          <w:i/>
          <w:sz w:val="20"/>
          <w:szCs w:val="20"/>
        </w:rPr>
        <w:t xml:space="preserve"> </w:t>
      </w:r>
      <w:r w:rsidRPr="004E6412">
        <w:rPr>
          <w:sz w:val="20"/>
          <w:szCs w:val="20"/>
        </w:rPr>
        <w:t>Family Health International, str. 29. Dostupno na: http://www.fhi360.org/resource/qualitative-research-methods-data-collectors-field-guide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Maddala, G.S., Lahiri, K. (2009) </w:t>
      </w:r>
      <w:r w:rsidRPr="004E6412">
        <w:rPr>
          <w:rFonts w:ascii="Times New Roman" w:hAnsi="Times New Roman"/>
          <w:i/>
          <w:sz w:val="20"/>
          <w:szCs w:val="20"/>
        </w:rPr>
        <w:t>Introduction to Econometrics</w:t>
      </w:r>
      <w:r w:rsidRPr="004E6412">
        <w:rPr>
          <w:rFonts w:ascii="Times New Roman" w:hAnsi="Times New Roman"/>
          <w:sz w:val="20"/>
          <w:szCs w:val="20"/>
        </w:rPr>
        <w:t>. Četvrto izdanje.Wiley.</w:t>
      </w:r>
    </w:p>
    <w:p w:rsidR="001B41B0" w:rsidRPr="004E6412" w:rsidRDefault="001B41B0" w:rsidP="006A331D">
      <w:pPr>
        <w:numPr>
          <w:ilvl w:val="0"/>
          <w:numId w:val="113"/>
        </w:numPr>
        <w:spacing w:line="240" w:lineRule="auto"/>
        <w:rPr>
          <w:sz w:val="20"/>
          <w:szCs w:val="20"/>
        </w:rPr>
      </w:pPr>
      <w:r w:rsidRPr="004E6412">
        <w:rPr>
          <w:sz w:val="20"/>
          <w:szCs w:val="20"/>
        </w:rPr>
        <w:t xml:space="preserve">Marušić, M., Vranešević, T. (1997) </w:t>
      </w:r>
      <w:r w:rsidRPr="004E6412">
        <w:rPr>
          <w:i/>
          <w:sz w:val="20"/>
          <w:szCs w:val="20"/>
        </w:rPr>
        <w:t>Istraživanje tržišta</w:t>
      </w:r>
      <w:r w:rsidRPr="004E6412">
        <w:rPr>
          <w:sz w:val="20"/>
          <w:szCs w:val="20"/>
        </w:rPr>
        <w:t>. Zagreb: Adeco.</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Methods of research, </w:t>
      </w:r>
      <w:r w:rsidRPr="004E6412">
        <w:rPr>
          <w:i/>
          <w:sz w:val="20"/>
          <w:szCs w:val="20"/>
        </w:rPr>
        <w:t>web</w:t>
      </w:r>
      <w:r w:rsidRPr="004E6412">
        <w:rPr>
          <w:sz w:val="20"/>
          <w:szCs w:val="20"/>
        </w:rPr>
        <w:t xml:space="preserve"> stranica. Dostupno na: </w:t>
      </w:r>
      <w:hyperlink r:id="rId75" w:history="1">
        <w:r w:rsidRPr="004E6412">
          <w:rPr>
            <w:sz w:val="20"/>
            <w:szCs w:val="20"/>
          </w:rPr>
          <w:t>http://www.roboneill.co.uk/papers/research_methods.htm</w:t>
        </w:r>
      </w:hyperlink>
      <w:r w:rsidRPr="004E6412">
        <w:rPr>
          <w:sz w:val="20"/>
          <w:szCs w:val="20"/>
        </w:rPr>
        <w:t xml:space="preserve"> [9.7.2013.].</w:t>
      </w:r>
    </w:p>
    <w:p w:rsidR="001B41B0" w:rsidRPr="004E6412" w:rsidRDefault="001B41B0" w:rsidP="006A331D">
      <w:pPr>
        <w:numPr>
          <w:ilvl w:val="0"/>
          <w:numId w:val="113"/>
        </w:numPr>
        <w:spacing w:line="240" w:lineRule="auto"/>
        <w:rPr>
          <w:sz w:val="20"/>
          <w:szCs w:val="20"/>
        </w:rPr>
      </w:pPr>
      <w:r w:rsidRPr="004E6412">
        <w:rPr>
          <w:sz w:val="20"/>
          <w:szCs w:val="20"/>
        </w:rPr>
        <w:t xml:space="preserve">Miles, M. B., Huberman, A. M. (1994) </w:t>
      </w:r>
      <w:r w:rsidRPr="004E6412">
        <w:rPr>
          <w:i/>
          <w:sz w:val="20"/>
          <w:szCs w:val="20"/>
        </w:rPr>
        <w:t xml:space="preserve">Qualitative Data Analysis. </w:t>
      </w:r>
      <w:r w:rsidRPr="004E6412">
        <w:rPr>
          <w:sz w:val="20"/>
          <w:szCs w:val="20"/>
        </w:rPr>
        <w:t>Drugo izdanje. Thousand Oaks: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Newman, I., Ridenour, C. S., Benz, C. R. (1998) </w:t>
      </w:r>
      <w:r w:rsidRPr="004E6412">
        <w:rPr>
          <w:i/>
          <w:sz w:val="20"/>
          <w:szCs w:val="20"/>
        </w:rPr>
        <w:t>Qualitative-Quantitative Research methodology: Exploring the Interactive Continuum</w:t>
      </w:r>
      <w:r w:rsidRPr="004E6412">
        <w:rPr>
          <w:sz w:val="20"/>
          <w:szCs w:val="20"/>
        </w:rPr>
        <w:t xml:space="preserve">. Carbondale: Southern Illinois University Press. </w:t>
      </w:r>
    </w:p>
    <w:p w:rsidR="001B41B0" w:rsidRPr="004E6412" w:rsidRDefault="001B41B0" w:rsidP="006A331D">
      <w:pPr>
        <w:numPr>
          <w:ilvl w:val="0"/>
          <w:numId w:val="113"/>
        </w:numPr>
        <w:spacing w:line="240" w:lineRule="auto"/>
        <w:rPr>
          <w:sz w:val="20"/>
          <w:szCs w:val="20"/>
        </w:rPr>
      </w:pPr>
      <w:r w:rsidRPr="004E6412">
        <w:rPr>
          <w:sz w:val="20"/>
          <w:szCs w:val="20"/>
        </w:rPr>
        <w:t>OECD economic country surveys. Dostupno na: http://www.oecd.org/eco/ [11.7.2013.].</w:t>
      </w:r>
    </w:p>
    <w:p w:rsidR="001B41B0" w:rsidRPr="004E6412" w:rsidRDefault="001B41B0" w:rsidP="006A331D">
      <w:pPr>
        <w:numPr>
          <w:ilvl w:val="0"/>
          <w:numId w:val="113"/>
        </w:numPr>
        <w:spacing w:line="240" w:lineRule="auto"/>
        <w:rPr>
          <w:sz w:val="20"/>
          <w:szCs w:val="20"/>
        </w:rPr>
      </w:pPr>
      <w:r w:rsidRPr="004E6412">
        <w:rPr>
          <w:sz w:val="20"/>
          <w:szCs w:val="20"/>
        </w:rPr>
        <w:t xml:space="preserve">Orb, A., Eisenhauer, L., Wynaden, D. (2000) Ethics in Qualitative Research, </w:t>
      </w:r>
      <w:r w:rsidRPr="004E6412">
        <w:rPr>
          <w:i/>
          <w:sz w:val="20"/>
          <w:szCs w:val="20"/>
        </w:rPr>
        <w:t>Journal of nursing schloarship</w:t>
      </w:r>
      <w:r w:rsidRPr="004E6412">
        <w:rPr>
          <w:sz w:val="20"/>
          <w:szCs w:val="20"/>
        </w:rPr>
        <w:t>, 33 (1), str. 93-96.</w:t>
      </w:r>
    </w:p>
    <w:p w:rsidR="001B41B0" w:rsidRPr="004E6412" w:rsidRDefault="001B41B0" w:rsidP="006A331D">
      <w:pPr>
        <w:numPr>
          <w:ilvl w:val="0"/>
          <w:numId w:val="113"/>
        </w:numPr>
        <w:spacing w:line="240" w:lineRule="auto"/>
        <w:rPr>
          <w:sz w:val="20"/>
          <w:szCs w:val="20"/>
        </w:rPr>
      </w:pPr>
      <w:r w:rsidRPr="004E6412">
        <w:rPr>
          <w:sz w:val="20"/>
          <w:szCs w:val="20"/>
        </w:rPr>
        <w:t xml:space="preserve">Patton, M. Q. (2002) </w:t>
      </w:r>
      <w:r w:rsidRPr="004E6412">
        <w:rPr>
          <w:i/>
          <w:sz w:val="20"/>
          <w:szCs w:val="20"/>
        </w:rPr>
        <w:t>Qualitative Research &amp; Evaulation Methods</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Phellas, N.C.,  Bloch, A., Seale, C. (2011) Structured methods:  interviews, questionnaires and observation. U: Seale, C. </w:t>
      </w:r>
      <w:r w:rsidRPr="004E6412">
        <w:rPr>
          <w:bCs/>
          <w:i/>
          <w:sz w:val="20"/>
          <w:szCs w:val="20"/>
        </w:rPr>
        <w:t>Researching Society and Culture</w:t>
      </w:r>
      <w:r w:rsidRPr="004E6412">
        <w:rPr>
          <w:bCs/>
          <w:sz w:val="20"/>
          <w:szCs w:val="20"/>
        </w:rPr>
        <w:t>. UK: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Riley, M., Wood, R. C., Clark, M. A., Wilkie, E. i Szivas, E. (2002) </w:t>
      </w:r>
      <w:r w:rsidRPr="004E6412">
        <w:rPr>
          <w:i/>
          <w:sz w:val="20"/>
          <w:szCs w:val="20"/>
        </w:rPr>
        <w:t>Researching and Writing Dissertations in Business and Management</w:t>
      </w:r>
      <w:r w:rsidRPr="004E6412">
        <w:rPr>
          <w:sz w:val="20"/>
          <w:szCs w:val="20"/>
        </w:rPr>
        <w:t xml:space="preserve">. London: Thomson Learning. </w:t>
      </w:r>
    </w:p>
    <w:p w:rsidR="001B41B0" w:rsidRPr="004E6412" w:rsidRDefault="001B41B0" w:rsidP="006A331D">
      <w:pPr>
        <w:numPr>
          <w:ilvl w:val="0"/>
          <w:numId w:val="113"/>
        </w:numPr>
        <w:spacing w:line="240" w:lineRule="auto"/>
        <w:rPr>
          <w:sz w:val="20"/>
          <w:szCs w:val="20"/>
        </w:rPr>
      </w:pPr>
      <w:r w:rsidRPr="004E6412">
        <w:rPr>
          <w:sz w:val="20"/>
          <w:szCs w:val="20"/>
        </w:rPr>
        <w:t xml:space="preserve">Ryman, A., Stephen, M., Campo, C. (1996) The Importance of Context: Qualitative Research and the Study of Leadership, </w:t>
      </w:r>
      <w:r w:rsidRPr="004E6412">
        <w:rPr>
          <w:i/>
          <w:sz w:val="20"/>
          <w:szCs w:val="20"/>
        </w:rPr>
        <w:t>Leadership Quarterly</w:t>
      </w:r>
      <w:r w:rsidRPr="004E6412">
        <w:rPr>
          <w:sz w:val="20"/>
          <w:szCs w:val="20"/>
        </w:rPr>
        <w:t>, 7(3), str. 353-370.</w:t>
      </w:r>
    </w:p>
    <w:p w:rsidR="001B41B0" w:rsidRPr="004E6412" w:rsidRDefault="001B41B0" w:rsidP="006A331D">
      <w:pPr>
        <w:numPr>
          <w:ilvl w:val="0"/>
          <w:numId w:val="113"/>
        </w:numPr>
        <w:spacing w:line="240" w:lineRule="auto"/>
        <w:rPr>
          <w:sz w:val="20"/>
          <w:szCs w:val="20"/>
        </w:rPr>
      </w:pPr>
      <w:r w:rsidRPr="004E6412">
        <w:rPr>
          <w:sz w:val="20"/>
          <w:szCs w:val="20"/>
        </w:rPr>
        <w:t xml:space="preserve">Saunders, M., Lewis, P., Thornhill, A. (2000) </w:t>
      </w:r>
      <w:r w:rsidRPr="004E6412">
        <w:rPr>
          <w:i/>
          <w:sz w:val="20"/>
          <w:szCs w:val="20"/>
        </w:rPr>
        <w:t>Research Methods for Business Students</w:t>
      </w:r>
      <w:r w:rsidRPr="004E6412">
        <w:rPr>
          <w:sz w:val="20"/>
          <w:szCs w:val="20"/>
        </w:rPr>
        <w:t xml:space="preserve">. Essex: Prentice Hall. </w:t>
      </w:r>
    </w:p>
    <w:p w:rsidR="001B41B0" w:rsidRPr="004E6412" w:rsidRDefault="001B41B0" w:rsidP="006A331D">
      <w:pPr>
        <w:numPr>
          <w:ilvl w:val="0"/>
          <w:numId w:val="113"/>
        </w:numPr>
        <w:spacing w:line="240" w:lineRule="auto"/>
        <w:rPr>
          <w:sz w:val="20"/>
          <w:szCs w:val="20"/>
        </w:rPr>
      </w:pPr>
      <w:r w:rsidRPr="004E6412">
        <w:rPr>
          <w:sz w:val="20"/>
          <w:szCs w:val="20"/>
        </w:rPr>
        <w:t xml:space="preserve">Sinčić, D. (2007) Industrijska Hrvatska: pogled poslodavaca. HUP; Vlada Republike Hrvatske (2008)  Industrijska politika Republike Hrvatske u pripremi za članstvo u EU. Zagreb. </w:t>
      </w:r>
    </w:p>
    <w:p w:rsidR="001B41B0" w:rsidRPr="004E6412" w:rsidRDefault="001B41B0" w:rsidP="006A331D">
      <w:pPr>
        <w:numPr>
          <w:ilvl w:val="0"/>
          <w:numId w:val="113"/>
        </w:numPr>
        <w:spacing w:line="240" w:lineRule="auto"/>
        <w:rPr>
          <w:sz w:val="20"/>
          <w:szCs w:val="20"/>
        </w:rPr>
      </w:pPr>
      <w:r w:rsidRPr="004E6412">
        <w:rPr>
          <w:sz w:val="20"/>
          <w:szCs w:val="20"/>
        </w:rPr>
        <w:t xml:space="preserve">Spencer, L., Ritchie, J., O'Connor, W. (2003) Analysis: Practices, Principles and Processes. U: J. Ritchie i J. Lewis (ur.), </w:t>
      </w:r>
      <w:r w:rsidRPr="004E6412">
        <w:rPr>
          <w:i/>
          <w:sz w:val="20"/>
          <w:szCs w:val="20"/>
        </w:rPr>
        <w:t>Qualitative Research Practice: a Guide for Social Science Students.</w:t>
      </w:r>
      <w:r w:rsidRPr="004E6412">
        <w:rPr>
          <w:sz w:val="20"/>
          <w:szCs w:val="20"/>
        </w:rPr>
        <w:t xml:space="preserve"> Thousand Oaks: Sage Publications, str. 199-219.</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Stenius, K., Mäkelä, K., Miovsky, M., Gabrhelik, R. (2008 ) How to write publishable qualitativeresearch?, str. 82-89. U: Babor, T. F., Stenius, K.,  Savva, S., O'Reilly, J. (ur.) </w:t>
      </w:r>
      <w:r w:rsidRPr="004E6412">
        <w:rPr>
          <w:i/>
          <w:sz w:val="20"/>
          <w:szCs w:val="20"/>
        </w:rPr>
        <w:t>Publishing Addiction Science: A guide for the perplexed</w:t>
      </w:r>
      <w:r w:rsidRPr="004E6412">
        <w:rPr>
          <w:sz w:val="20"/>
          <w:szCs w:val="20"/>
        </w:rPr>
        <w:t>. Drugo izdanje. World Health Organization i International Society of Addiction Journal Editors.</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Thomas, L.C.,  Edelman,  C., Edelman, D.E., Crook, J. N. (2002) </w:t>
      </w:r>
      <w:r w:rsidRPr="004E6412">
        <w:rPr>
          <w:rFonts w:ascii="Times New Roman" w:hAnsi="Times New Roman"/>
          <w:i/>
          <w:sz w:val="20"/>
          <w:szCs w:val="20"/>
        </w:rPr>
        <w:t>Credit Scoring and its Applications, Society for Industrial and Applied Mathematics.</w:t>
      </w:r>
      <w:r w:rsidRPr="004E6412">
        <w:rPr>
          <w:rFonts w:ascii="Times New Roman" w:hAnsi="Times New Roman"/>
          <w:sz w:val="20"/>
          <w:szCs w:val="20"/>
        </w:rPr>
        <w:t xml:space="preserve"> Philadephia,SAD: SIAM.</w:t>
      </w:r>
    </w:p>
    <w:p w:rsidR="001B41B0" w:rsidRPr="004E6412" w:rsidRDefault="001B41B0" w:rsidP="006A331D">
      <w:pPr>
        <w:numPr>
          <w:ilvl w:val="0"/>
          <w:numId w:val="113"/>
        </w:numPr>
        <w:spacing w:line="240" w:lineRule="auto"/>
        <w:rPr>
          <w:sz w:val="20"/>
          <w:szCs w:val="20"/>
        </w:rPr>
      </w:pPr>
      <w:r w:rsidRPr="004E6412">
        <w:rPr>
          <w:sz w:val="20"/>
          <w:szCs w:val="20"/>
        </w:rPr>
        <w:t xml:space="preserve">Tkalac Verčič, A., Sinčić Ćorić, D., Pološki Vokić, N. (2011) </w:t>
      </w:r>
      <w:r w:rsidRPr="004E6412">
        <w:rPr>
          <w:i/>
          <w:sz w:val="20"/>
          <w:szCs w:val="20"/>
        </w:rPr>
        <w:t>Priručnik za metodologiju istraživačkog rada u društvenim znanostima</w:t>
      </w:r>
      <w:r w:rsidRPr="004E6412">
        <w:rPr>
          <w:sz w:val="20"/>
          <w:szCs w:val="20"/>
        </w:rPr>
        <w:t>. Zagreb: MEP, str. 82.</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I,.Bell, M., Dahlman, C., Lall, S., Pavitt, K. (1995) Trade, Technology, and International Competitiveness. EDI Development Studies. Washington DC: World Bank, Economic Development Institute. </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 (2007) Rethinking industria lpolicy. UNCTAD Discussion Paper No 183. Dostupno na: </w:t>
      </w:r>
      <w:hyperlink r:id="rId76" w:history="1">
        <w:r w:rsidRPr="004E6412">
          <w:rPr>
            <w:sz w:val="20"/>
            <w:szCs w:val="20"/>
          </w:rPr>
          <w:t>http://unctad.org/en/docs/osgdp20072_en.pdf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United Nations Conference on Trade and Develpment (2012) World Investment Prospects Survey 2012-2014. New York i Ženeva: UNCTAD.</w:t>
      </w:r>
    </w:p>
    <w:p w:rsidR="001B41B0" w:rsidRPr="004E6412" w:rsidRDefault="001B41B0" w:rsidP="006A331D">
      <w:pPr>
        <w:numPr>
          <w:ilvl w:val="0"/>
          <w:numId w:val="113"/>
        </w:numPr>
        <w:spacing w:line="240" w:lineRule="auto"/>
        <w:rPr>
          <w:sz w:val="20"/>
          <w:szCs w:val="20"/>
        </w:rPr>
      </w:pPr>
      <w:r w:rsidRPr="004E6412">
        <w:rPr>
          <w:sz w:val="20"/>
          <w:szCs w:val="20"/>
        </w:rPr>
        <w:t>Vlada Republike Hrvatske (2013) Ekonomski program Republike Hrvatske. Zagreb.</w:t>
      </w:r>
    </w:p>
    <w:p w:rsidR="001B41B0" w:rsidRPr="004E6412" w:rsidRDefault="001B41B0" w:rsidP="006A331D">
      <w:pPr>
        <w:numPr>
          <w:ilvl w:val="0"/>
          <w:numId w:val="113"/>
        </w:numPr>
        <w:spacing w:line="240" w:lineRule="auto"/>
        <w:rPr>
          <w:sz w:val="20"/>
          <w:szCs w:val="20"/>
        </w:rPr>
      </w:pPr>
      <w:r w:rsidRPr="004E6412">
        <w:rPr>
          <w:sz w:val="20"/>
          <w:szCs w:val="20"/>
        </w:rPr>
        <w:t xml:space="preserve">Webster, S. (1992) </w:t>
      </w:r>
      <w:r w:rsidRPr="004E6412">
        <w:rPr>
          <w:bCs/>
          <w:sz w:val="20"/>
          <w:szCs w:val="20"/>
        </w:rPr>
        <w:t xml:space="preserve">Focus Groups: An Effective Marketing Research Tool for Social Service Agencies. Dostupno na: http://muskie.usm.maine.edu/helpkids/pubstext/focus.htm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Woolcott, H. (1990) </w:t>
      </w:r>
      <w:r w:rsidRPr="004E6412">
        <w:rPr>
          <w:i/>
          <w:sz w:val="20"/>
          <w:szCs w:val="20"/>
        </w:rPr>
        <w:t>Writing up</w:t>
      </w:r>
      <w:r w:rsidRPr="004E6412">
        <w:rPr>
          <w:sz w:val="20"/>
          <w:szCs w:val="20"/>
        </w:rPr>
        <w:t xml:space="preserve"> </w:t>
      </w:r>
      <w:r w:rsidRPr="004E6412">
        <w:rPr>
          <w:i/>
          <w:sz w:val="20"/>
          <w:szCs w:val="20"/>
        </w:rPr>
        <w:t xml:space="preserve">Qualitative Research. </w:t>
      </w:r>
      <w:r w:rsidRPr="004E6412">
        <w:rPr>
          <w:sz w:val="20"/>
          <w:szCs w:val="20"/>
        </w:rPr>
        <w:t>London: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World Bank Enterprise Surveys. Dostupno na: </w:t>
      </w:r>
      <w:hyperlink r:id="rId77" w:history="1">
        <w:r w:rsidRPr="004E6412">
          <w:rPr>
            <w:sz w:val="20"/>
            <w:szCs w:val="20"/>
          </w:rPr>
          <w:t>http://www.enterprisesurveys.org/Methodology</w:t>
        </w:r>
      </w:hyperlink>
      <w:r w:rsidRPr="004E6412">
        <w:rPr>
          <w:sz w:val="20"/>
          <w:szCs w:val="20"/>
        </w:rPr>
        <w:t xml:space="preserve"> [11.7.2013.].</w:t>
      </w:r>
    </w:p>
    <w:p w:rsidR="001B41B0" w:rsidRPr="004E6412" w:rsidRDefault="001B41B0" w:rsidP="006A331D">
      <w:pPr>
        <w:tabs>
          <w:tab w:val="left" w:pos="1417"/>
        </w:tabs>
        <w:spacing w:line="240" w:lineRule="auto"/>
        <w:rPr>
          <w:b/>
          <w:sz w:val="20"/>
          <w:szCs w:val="20"/>
        </w:rPr>
      </w:pPr>
    </w:p>
    <w:p w:rsidR="001B41B0" w:rsidRPr="004E6412" w:rsidRDefault="001B41B0" w:rsidP="006A331D">
      <w:pPr>
        <w:tabs>
          <w:tab w:val="left" w:pos="1417"/>
        </w:tabs>
        <w:spacing w:line="240" w:lineRule="auto"/>
        <w:rPr>
          <w:b/>
          <w:sz w:val="20"/>
          <w:szCs w:val="20"/>
        </w:rPr>
      </w:pPr>
      <w:r w:rsidRPr="004E6412">
        <w:rPr>
          <w:b/>
          <w:sz w:val="20"/>
          <w:szCs w:val="20"/>
        </w:rPr>
        <w:t>Makroekonomski okvir</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Babić, M. (2007) </w:t>
      </w:r>
      <w:r w:rsidRPr="004E6412">
        <w:rPr>
          <w:rFonts w:ascii="Times New Roman" w:hAnsi="Times New Roman"/>
          <w:i/>
          <w:sz w:val="20"/>
          <w:szCs w:val="20"/>
        </w:rPr>
        <w:t xml:space="preserve">Makroekonomija. </w:t>
      </w:r>
      <w:r w:rsidRPr="004E6412">
        <w:rPr>
          <w:rFonts w:ascii="Times New Roman" w:hAnsi="Times New Roman"/>
          <w:sz w:val="20"/>
          <w:szCs w:val="20"/>
        </w:rPr>
        <w:t>Petnaesto izdanje. Zagreb: Mate.</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Besanko, D., Dranove, D., Shanley, M., Schaefer, S.  (2010) Economics of Strategy. Peto izdanje. New Jersey: John Wiley &amp; Sons.</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Državni zavod za statistiku. Dostupno na:  </w:t>
      </w:r>
      <w:hyperlink r:id="rId78" w:history="1">
        <w:r w:rsidRPr="004E6412">
          <w:rPr>
            <w:rStyle w:val="Hyperlink"/>
            <w:color w:val="auto"/>
            <w:sz w:val="20"/>
            <w:szCs w:val="20"/>
            <w:u w:val="none"/>
          </w:rPr>
          <w:t>www.dzs.hr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lastRenderedPageBreak/>
        <w:t xml:space="preserve">Eurostat. Dostupno na: </w:t>
      </w:r>
      <w:r w:rsidRPr="004E6412">
        <w:rPr>
          <w:iCs/>
          <w:sz w:val="20"/>
          <w:szCs w:val="20"/>
        </w:rPr>
        <w:t>ec.europa.eu/</w:t>
      </w:r>
      <w:r w:rsidRPr="004E6412">
        <w:rPr>
          <w:bCs/>
          <w:iCs/>
          <w:sz w:val="20"/>
          <w:szCs w:val="20"/>
        </w:rPr>
        <w:t>eurostat</w:t>
      </w:r>
      <w:r w:rsidRPr="004E6412">
        <w:rPr>
          <w:sz w:val="20"/>
          <w:szCs w:val="20"/>
        </w:rPr>
        <w:t>‎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Eurostat. The EU in the world </w:t>
      </w:r>
      <w:smartTag w:uri="urn:schemas-microsoft-com:office:smarttags" w:element="metricconverter">
        <w:smartTagPr>
          <w:attr w:name="ProductID" w:val="2013, a"/>
        </w:smartTagPr>
        <w:r w:rsidRPr="004E6412">
          <w:rPr>
            <w:rFonts w:ascii="Times New Roman" w:hAnsi="Times New Roman"/>
            <w:sz w:val="20"/>
            <w:szCs w:val="20"/>
          </w:rPr>
          <w:t>2013, a</w:t>
        </w:r>
      </w:smartTag>
      <w:r w:rsidRPr="004E6412">
        <w:rPr>
          <w:rFonts w:ascii="Times New Roman" w:hAnsi="Times New Roman"/>
          <w:sz w:val="20"/>
          <w:szCs w:val="20"/>
        </w:rPr>
        <w:t xml:space="preserve"> statistical portrait. Dostupno na: </w:t>
      </w:r>
      <w:hyperlink r:id="rId79" w:history="1">
        <w:r w:rsidRPr="004E6412">
          <w:rPr>
            <w:rStyle w:val="Hyperlink"/>
            <w:rFonts w:ascii="Times New Roman" w:hAnsi="Times New Roman"/>
            <w:color w:val="auto"/>
            <w:sz w:val="20"/>
            <w:szCs w:val="20"/>
            <w:u w:val="none"/>
          </w:rPr>
          <w:t>http://epp.eurostat.ec.europa.eu/portal/page/portal/product_details/publication?p_product_code=KS-30-12-861[5.8.2013</w:t>
        </w:r>
      </w:hyperlink>
      <w:r w:rsidRPr="004E6412">
        <w:rPr>
          <w:rFonts w:ascii="Times New Roman" w:hAnsi="Times New Roman"/>
          <w:sz w:val="20"/>
          <w:szCs w:val="20"/>
        </w:rPr>
        <w:t>.].</w:t>
      </w:r>
    </w:p>
    <w:p w:rsidR="001B41B0" w:rsidRPr="004E6412" w:rsidRDefault="00141C68" w:rsidP="006A331D">
      <w:pPr>
        <w:numPr>
          <w:ilvl w:val="0"/>
          <w:numId w:val="123"/>
        </w:numPr>
        <w:spacing w:line="240" w:lineRule="auto"/>
        <w:rPr>
          <w:sz w:val="20"/>
          <w:szCs w:val="20"/>
        </w:rPr>
      </w:pPr>
      <w:r w:rsidRPr="004E6412">
        <w:rPr>
          <w:sz w:val="20"/>
          <w:szCs w:val="20"/>
        </w:rPr>
        <w:t xml:space="preserve">Financijska agencija (FINA), internetska </w:t>
      </w:r>
      <w:r w:rsidR="001B41B0" w:rsidRPr="004E6412">
        <w:rPr>
          <w:sz w:val="20"/>
          <w:szCs w:val="20"/>
        </w:rPr>
        <w:t>stranica. Dostupno na http://</w:t>
      </w:r>
      <w:hyperlink r:id="rId80" w:history="1">
        <w:r w:rsidR="001B41B0" w:rsidRPr="004E6412">
          <w:rPr>
            <w:sz w:val="20"/>
            <w:szCs w:val="20"/>
          </w:rPr>
          <w:t>www.fina.hr</w:t>
        </w:r>
      </w:hyperlink>
      <w:r w:rsidR="001B41B0" w:rsidRPr="004E6412">
        <w:rPr>
          <w:sz w:val="20"/>
          <w:szCs w:val="20"/>
        </w:rPr>
        <w:t xml:space="preserve">  [2.7.2013.].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Hrvatska narodna banka. Dostupno na: </w:t>
      </w:r>
      <w:hyperlink r:id="rId81" w:history="1">
        <w:r w:rsidRPr="004E6412">
          <w:rPr>
            <w:rStyle w:val="Hyperlink"/>
            <w:color w:val="auto"/>
            <w:sz w:val="20"/>
            <w:szCs w:val="20"/>
            <w:u w:val="none"/>
          </w:rPr>
          <w:t>www.hnb.hr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Hrvatski zavod za zapošljavanje. Dostupno na:  </w:t>
      </w:r>
      <w:hyperlink r:id="rId82" w:history="1">
        <w:r w:rsidRPr="004E6412">
          <w:rPr>
            <w:rStyle w:val="Hyperlink"/>
            <w:color w:val="auto"/>
            <w:sz w:val="20"/>
            <w:szCs w:val="20"/>
            <w:u w:val="none"/>
          </w:rPr>
          <w:t>www.hzz.hr</w:t>
        </w:r>
      </w:hyperlink>
      <w:r w:rsidRPr="004E6412">
        <w:rPr>
          <w:sz w:val="20"/>
          <w:szCs w:val="20"/>
        </w:rPr>
        <w:t xml:space="preserve">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Magnien, F. (2002) The measure of GDP per capita in purchasing power standards (PPS), a statistical indicator tricky to interpret. Organisation for Economic Co-operation and Development.</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Neal, L. (2007) The </w:t>
      </w:r>
      <w:r w:rsidRPr="004E6412">
        <w:rPr>
          <w:rFonts w:ascii="Times New Roman" w:hAnsi="Times New Roman"/>
          <w:i/>
          <w:sz w:val="20"/>
          <w:szCs w:val="20"/>
        </w:rPr>
        <w:t>Economics of Europe and the European Union.</w:t>
      </w:r>
      <w:r w:rsidRPr="004E6412">
        <w:rPr>
          <w:rFonts w:ascii="Times New Roman" w:hAnsi="Times New Roman"/>
          <w:sz w:val="20"/>
          <w:szCs w:val="20"/>
        </w:rPr>
        <w:t xml:space="preserve"> Cambridge University Press</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Slavin, S. L. (2009) </w:t>
      </w:r>
      <w:r w:rsidRPr="004E6412">
        <w:rPr>
          <w:rFonts w:ascii="Times New Roman" w:hAnsi="Times New Roman"/>
          <w:i/>
          <w:sz w:val="20"/>
          <w:szCs w:val="20"/>
        </w:rPr>
        <w:t>Macroeconomics</w:t>
      </w:r>
      <w:r w:rsidRPr="004E6412">
        <w:rPr>
          <w:rFonts w:ascii="Times New Roman" w:hAnsi="Times New Roman"/>
          <w:sz w:val="20"/>
          <w:szCs w:val="20"/>
        </w:rPr>
        <w:t>. Deveto izdanje.  McGraw-Hill.</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Temple, P. (2003) </w:t>
      </w:r>
      <w:r w:rsidRPr="004E6412">
        <w:rPr>
          <w:rFonts w:ascii="Times New Roman" w:hAnsi="Times New Roman"/>
          <w:i/>
          <w:sz w:val="20"/>
          <w:szCs w:val="20"/>
        </w:rPr>
        <w:t>First Steps in Economic Indicators</w:t>
      </w:r>
      <w:r w:rsidRPr="004E6412">
        <w:rPr>
          <w:rFonts w:ascii="Times New Roman" w:hAnsi="Times New Roman"/>
          <w:sz w:val="20"/>
          <w:szCs w:val="20"/>
        </w:rPr>
        <w:t>. Prentice Hall.</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Analiza prirodnih resursa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Agencija za zaštitu okoliša (2010) Pokrov i namjena korištenja zemljišta u Republici Hrvatskoj, stanja i trendovi. Dostupno na: </w:t>
      </w:r>
      <w:r w:rsidRPr="004E6412">
        <w:rPr>
          <w:iCs/>
          <w:sz w:val="20"/>
          <w:szCs w:val="20"/>
        </w:rPr>
        <w:t>www.azo.hr/lgs.axd?t=16&amp;id=3899.</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Basch, O. (1981) Osnovna geološka karta SFRJ 1:100 000. List Ivanić-Grad; Geološki zavod Zagreb;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i Magaš, N. (1977) Osnovna geološkakarta 1:100 000. Tumač za list Vis K33-33, Jelsa 33-34, Biševo 33-45. Institut za  geološka  istraživanja Zagreb; Savezni geološki zavod,  str. 67.</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Raffaelli, P. i Mamužić, P. (1975) Osnovna geološka karta 1:100 000. List Vis (Jabuka, Svetac, Biševo) K33-33 (31, 32, 45).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pacing w:val="-4"/>
          <w:sz w:val="20"/>
          <w:szCs w:val="20"/>
        </w:rPr>
        <w:t xml:space="preserve">Brežanski, J. (2010) Vode i vodno dobro, Neka pitanja pravnog uređenja. Dostupno na: </w:t>
      </w:r>
      <w:hyperlink r:id="rId83" w:history="1">
        <w:r w:rsidRPr="004E6412">
          <w:rPr>
            <w:sz w:val="20"/>
            <w:szCs w:val="20"/>
          </w:rPr>
          <w:t>http://www.vsrh.hr/CustomPages/Static/HRV/Files/JBrezanski-Vode_i_vodno_dobro.doc</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Poljak, M. i Čakalo, M. (1984) Osnovna geološka karta SFRJ  1:100 000. Tumač za list Črnomelj  L-33-91.  Geološki zavod Zagreb; Geološki zavod Ljubljana  (1983); Savezni geološki zavod Beograd,  str. 63.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Šušnjar, M., Poljak, M. i Čakalo,  M. (1983) Osnovna geološka karta SFRJ  1:100000 List Črnomelj  L 33-91. Geološki zavod Zagreb; Geološki zavod Ljubljana (1972-1983);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Cortina Land Cover (2010) Pokrov i namjena korištenja zemljišta u Republici Hrvatskoj, stanja i trendovi. Cortina Land Cover: Agencija za zaštitu okoliša.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Crnković, J., Šinkovec, B. (1993) Nemetalne mineralne sirovine Hrvatske, </w:t>
      </w:r>
      <w:r w:rsidRPr="004E6412">
        <w:rPr>
          <w:i/>
          <w:sz w:val="20"/>
          <w:szCs w:val="20"/>
        </w:rPr>
        <w:t>Rudarsko-geološko-naftni zbornik</w:t>
      </w:r>
      <w:r w:rsidRPr="004E6412">
        <w:rPr>
          <w:sz w:val="20"/>
          <w:szCs w:val="20"/>
        </w:rPr>
        <w:t>, 5, str. 21-37.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OIEK: Visine tarifnih stavki za 2012. Godinu. Dostupno na:  </w:t>
      </w:r>
      <w:hyperlink r:id="rId84" w:history="1">
        <w:r w:rsidRPr="004E6412">
          <w:rPr>
            <w:sz w:val="20"/>
            <w:szCs w:val="20"/>
          </w:rPr>
          <w:t>http://www.croenergo.eu/oiek-visine-tarifnih-stavki-za-2012-godinu-4893.aspx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Novi Tarifni sustav za proizvodnju električne energije iz obnovljivih izvora energije i kogeneracije - I. dio. Dostupno na: </w:t>
      </w:r>
      <w:hyperlink r:id="rId85" w:history="1">
        <w:r w:rsidRPr="004E6412">
          <w:rPr>
            <w:sz w:val="20"/>
            <w:szCs w:val="20"/>
          </w:rPr>
          <w:t>http://www.croenergo.eu/Novi-Tarifni-sustav-za-proizvodnju-elektricne-energije-iz-obnovljivih-izvora-energije-i-kogeneracije-I-dio-6317.aspx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Čaldarović, O., Buble, T., Draženović, M., Jakšić, J., Lalić, B.,  Lucić, D., Putar Novoselec, M., Vidović, T., Zojćeska, A. Franičević, V. (2007) </w:t>
      </w:r>
      <w:r w:rsidRPr="004E6412">
        <w:rPr>
          <w:bCs/>
          <w:sz w:val="20"/>
          <w:szCs w:val="20"/>
        </w:rPr>
        <w:t>Sociološka studija o preferencijama u ishrani ribom i drugim proizvodima ribarstva stanovništva Republike Hrvatske.</w:t>
      </w:r>
      <w:r w:rsidRPr="004E6412">
        <w:rPr>
          <w:sz w:val="20"/>
          <w:szCs w:val="20"/>
        </w:rPr>
        <w:t xml:space="preserve"> Dostupno na: </w:t>
      </w:r>
      <w:hyperlink r:id="rId86" w:history="1">
        <w:r w:rsidRPr="004E6412">
          <w:rPr>
            <w:sz w:val="20"/>
            <w:szCs w:val="20"/>
          </w:rPr>
          <w:t>http://www.mps.hr/Ribarstvo/UserDocsImages/Studije/Sociolo%C5%A1ka%20studija%20o%20preferencijama%20u%20ishrani%20ribom%20i%20drugim%20proizvodima%20ribarstva%20stanovni%C5%A1tva%20RH.doc</w:t>
        </w:r>
      </w:hyperlink>
      <w:r w:rsidRPr="004E6412">
        <w:rPr>
          <w:sz w:val="20"/>
          <w:szCs w:val="20"/>
        </w:rPr>
        <w:t>.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Čičulić-Trifunović, M., i Galović, I.(1983) Osnovna geološka karta SFRJ 1:100000. Tumač za list Bačka Palanka L34-99. Geološki zavod Zagreb; Geološki zavod Beograd (1985); Savezni geološki zavod Beograd, str. 43.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Đonlagić, M. (2010) Obnovljivi izvori energije. Studija o obnovljivim izvorima energije u BiH. Dostupno na: </w:t>
      </w:r>
      <w:hyperlink r:id="rId87" w:history="1">
        <w:r w:rsidRPr="004E6412">
          <w:rPr>
            <w:sz w:val="20"/>
            <w:szCs w:val="20"/>
          </w:rPr>
          <w:t>http://www.ekologija.ba/userfiles/file/Obnovljivi%20izvori%20energije%20-%20Studija.pdf</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Đurasek, N., Frank, G., Jenko, K., Kužina, A. i Tončić-Gregl, R. (1981) Prilog poznavanju naftno-geoloških odnosa u sjeverozapadnom dijelu Jadranskog podmorja. </w:t>
      </w:r>
      <w:r w:rsidRPr="004E6412">
        <w:rPr>
          <w:i/>
          <w:sz w:val="20"/>
          <w:szCs w:val="20"/>
        </w:rPr>
        <w:t xml:space="preserve">Zbornik radova </w:t>
      </w:r>
      <w:r w:rsidRPr="004E6412">
        <w:rPr>
          <w:sz w:val="20"/>
          <w:szCs w:val="20"/>
        </w:rPr>
        <w:t>simpozija "Kompleksna naftno-geološka problematika podmorja i priobalnih dijelova Jadranskog mora", Split, 1, str. 201-213,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Energetski institut Hrvoje Požar (1998) Geoen, program korištenja geotermalne energije, prethodni rezultati i buduće aktivnosti. Zagreb: Energetski institut Hrvoje Požar.</w:t>
      </w:r>
    </w:p>
    <w:p w:rsidR="001B41B0" w:rsidRPr="004E6412" w:rsidRDefault="001B41B0" w:rsidP="006A331D">
      <w:pPr>
        <w:numPr>
          <w:ilvl w:val="0"/>
          <w:numId w:val="122"/>
        </w:numPr>
        <w:spacing w:line="240" w:lineRule="auto"/>
        <w:contextualSpacing/>
        <w:rPr>
          <w:sz w:val="20"/>
          <w:szCs w:val="20"/>
        </w:rPr>
      </w:pPr>
      <w:r w:rsidRPr="004E6412">
        <w:rPr>
          <w:sz w:val="20"/>
          <w:szCs w:val="20"/>
        </w:rPr>
        <w:lastRenderedPageBreak/>
        <w:t>Geološki zavod Sarajevo (1962-1967) Osnovna geološka karta SFRJ1:100 000. List Livno str. 33-11; Savezni geološki zavod Beograd, 1972.</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Juriša, M., Šikić, K. i Šimunić, A. (1975) Osnovna geološka karta 1:100 000. Tumač za list Knin L33-141.  Institut za geološka istraživanja Zagreb (1966);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Sušnjar, M., Bukovac, J., Milan, A., Nikler, L.,Crnolotac, I., Šikić, D. i Blašković, I. (1973) Osnovna geološka karta SFRJ 1:100 000. Tumač za list Crikvenica L33-102.  Institut za geološka istraživanja Zagreb (1963);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Šikić, K. &amp; Šimunić, A. (1972) Osnovna geološka karta SFRJ1:100 000. List Knin L 33-126. – Institut za geološka istraživanja. Zagreb, (1962-1966); Savezni geološki  zavod Beograd.</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sz w:val="20"/>
          <w:szCs w:val="20"/>
        </w:rPr>
        <w:t xml:space="preserve">HEP proizvodnja d.o.o. Hidroelektrane. Dostupno na: </w:t>
      </w:r>
      <w:hyperlink r:id="rId88" w:history="1">
        <w:r w:rsidRPr="004E6412">
          <w:rPr>
            <w:sz w:val="20"/>
            <w:szCs w:val="20"/>
          </w:rPr>
          <w:t>http://www.hep.hr/proizvodnja/osnovni/hidroelektrane/</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Hrvatska elektroprivreda, službene stranice. Dostupno na:  </w:t>
      </w:r>
      <w:hyperlink r:id="rId89" w:history="1">
        <w:r w:rsidRPr="004E6412">
          <w:rPr>
            <w:sz w:val="20"/>
            <w:szCs w:val="20"/>
          </w:rPr>
          <w:t>http://www.hep.hr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Hrvatski geološki institut (BENČEK, Đ. et al.) Osnovna geološka karta, 1:100 000, list Karlovac (manuskript).</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Hrvatske vode, </w:t>
      </w:r>
      <w:r w:rsidRPr="004E6412">
        <w:rPr>
          <w:i/>
          <w:sz w:val="20"/>
          <w:szCs w:val="20"/>
        </w:rPr>
        <w:t>web</w:t>
      </w:r>
      <w:r w:rsidRPr="004E6412">
        <w:rPr>
          <w:sz w:val="20"/>
          <w:szCs w:val="20"/>
        </w:rPr>
        <w:t xml:space="preserve"> stranica. Dostupno na: </w:t>
      </w:r>
      <w:hyperlink r:id="rId90" w:history="1">
        <w:r w:rsidRPr="004E6412">
          <w:rPr>
            <w:rStyle w:val="Hyperlink"/>
            <w:color w:val="auto"/>
            <w:sz w:val="20"/>
            <w:szCs w:val="20"/>
            <w:u w:val="none"/>
          </w:rPr>
          <w:t>www.voda.hr</w:t>
        </w:r>
      </w:hyperlink>
      <w:r w:rsidRPr="004E6412">
        <w:rPr>
          <w:rStyle w:val="Hyperlink"/>
          <w:color w:val="auto"/>
          <w:sz w:val="20"/>
          <w:szCs w:val="20"/>
          <w:u w:val="none"/>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2. Dostupno na: www.voda.hr/puvp/Dokumenti/Pup_DODATAK_</w:t>
      </w:r>
      <w:r w:rsidRPr="004E6412">
        <w:rPr>
          <w:bCs/>
          <w:sz w:val="20"/>
          <w:szCs w:val="20"/>
        </w:rPr>
        <w:t>II</w:t>
      </w:r>
      <w:r w:rsidRPr="004E6412">
        <w:rPr>
          <w:sz w:val="20"/>
          <w:szCs w:val="20"/>
        </w:rPr>
        <w:t>._</w:t>
      </w:r>
      <w:r w:rsidRPr="004E6412">
        <w:rPr>
          <w:bCs/>
          <w:sz w:val="20"/>
          <w:szCs w:val="20"/>
        </w:rPr>
        <w:t>NACRT</w:t>
      </w:r>
      <w:r w:rsidRPr="004E6412">
        <w:rPr>
          <w:sz w:val="20"/>
          <w:szCs w:val="20"/>
        </w:rPr>
        <w:t>_2.pdf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1. Dostupno na: http://www.voda.hr/puvp/Dokumenti/Pup_DODATAK_I._NACRT_1.pdf. [5.7.2013.].</w:t>
      </w:r>
    </w:p>
    <w:p w:rsidR="001B41B0" w:rsidRPr="004E6412" w:rsidRDefault="001B41B0" w:rsidP="006A331D">
      <w:pPr>
        <w:numPr>
          <w:ilvl w:val="0"/>
          <w:numId w:val="122"/>
        </w:numPr>
        <w:spacing w:line="240" w:lineRule="auto"/>
        <w:contextualSpacing/>
        <w:rPr>
          <w:sz w:val="20"/>
          <w:szCs w:val="20"/>
        </w:rPr>
      </w:pPr>
      <w:r w:rsidRPr="004E6412">
        <w:rPr>
          <w:bCs/>
          <w:sz w:val="20"/>
          <w:szCs w:val="20"/>
        </w:rPr>
        <w:t xml:space="preserve">Institut za oceanografiju i ribarstvo – Split (2009) Pelagijskimonitoring (project PLEMON): Procjena rasprostranjenosti i obimnosti populacije sitne plave ribe u Jadranskom moru ultrazvučnom detekcijom. Dostupno na: </w:t>
      </w:r>
      <w:r w:rsidRPr="004E6412">
        <w:rPr>
          <w:sz w:val="20"/>
          <w:szCs w:val="20"/>
        </w:rPr>
        <w:t>www.mps.hr/</w:t>
      </w:r>
      <w:r w:rsidRPr="004E6412">
        <w:rPr>
          <w:bCs/>
          <w:sz w:val="20"/>
          <w:szCs w:val="20"/>
        </w:rPr>
        <w:t>Riba</w:t>
      </w:r>
      <w:r w:rsidRPr="004E6412">
        <w:rPr>
          <w:sz w:val="20"/>
          <w:szCs w:val="20"/>
        </w:rPr>
        <w:t>rstvo/.../PELMON%202009.pdf‎ [5.7.2013.].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bCs/>
          <w:sz w:val="20"/>
          <w:szCs w:val="20"/>
        </w:rPr>
        <w:t xml:space="preserve">Institut za oceanografiju i ribarstvo – Split (2010) Monitoring pelagičkih naselja u Jadranskom moru, PLEMON-VPA 2010. Dostupno na: </w:t>
      </w:r>
      <w:hyperlink r:id="rId91" w:history="1">
        <w:r w:rsidRPr="004E6412">
          <w:rPr>
            <w:sz w:val="20"/>
            <w:szCs w:val="20"/>
          </w:rPr>
          <w:t>http://www.mps.hr/Ribarstvo/UserDocsImages/Arhiva/Studije/PELMON%20VPA%202010.pdf</w:t>
        </w:r>
      </w:hyperlink>
      <w:r w:rsidRPr="004E6412">
        <w:rPr>
          <w:sz w:val="20"/>
          <w:szCs w:val="20"/>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Marković, S., Sokač, B., Šušnjar, M., Nikler,L. i Šušnjara, A. (1973) Osnovna geološka karta SFRJ 1:100 000. List Obrovac L33-140.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Sokač, B., Vrsalović-CArević, I. i Zupanič, J. (1976) Osnovna geološka karta 1:100 000. Tumač za list Obrovac L33-140.  Institut za geološka istraživanja Zagreb;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i Sakač, K. (1978) Osnovna geološka karta 1:100 000Tumač za list Drniš K33-9.  lnst. geol. istraž. Zagreb (1972); Savezni geološki zavod Beograd, str. 59.</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Marković, S. i Sakač, K. (1977) Osnovna geološka karta SFRJ  1:100 000. List Drniš K33-9.  Institut za geološka istraživanja Zagreb (1967-1972);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Jelčić, O. (2006) Poljoprivredno zemljište, korištenje, prenamjena i raspolaganje. USAID Croatia. The Urban Institute.</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Kitco, </w:t>
      </w:r>
      <w:r w:rsidRPr="004E6412">
        <w:rPr>
          <w:i/>
          <w:sz w:val="20"/>
          <w:szCs w:val="20"/>
        </w:rPr>
        <w:t>web s</w:t>
      </w:r>
      <w:r w:rsidRPr="004E6412">
        <w:rPr>
          <w:sz w:val="20"/>
          <w:szCs w:val="20"/>
        </w:rPr>
        <w:t xml:space="preserve">tranica. Dostupno na: </w:t>
      </w:r>
      <w:hyperlink r:id="rId92" w:history="1">
        <w:r w:rsidRPr="004E6412">
          <w:rPr>
            <w:rStyle w:val="Hyperlink"/>
            <w:color w:val="auto"/>
            <w:sz w:val="20"/>
            <w:szCs w:val="20"/>
            <w:u w:val="none"/>
          </w:rPr>
          <w:t>http://www.kitcometals.com/</w:t>
        </w:r>
      </w:hyperlink>
      <w:r w:rsidRPr="004E6412">
        <w:rPr>
          <w:sz w:val="20"/>
          <w:szCs w:val="20"/>
        </w:rPr>
        <w:t xml:space="preserve"> [6.7.2013.].</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Crnko, J. (1985) Osnovna geološka karte SFRJ 1:100 000. Tumač za list Bjelovar L33-82. Institut za geološka istraživanja Zagreb; Savezni geološki zavod Beograd, str. 42.</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(1979) Osnovna geološka karta SFRJ 1:100 000. List Slunj L33-104. Geološki zavod Zagreb; Institut za geologiju Sarajevo (1968-1972);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(1981) Osnovna geološka karta SFRJ 1:100 000. Tumač za list Slunj L33-104. Institut za geološka istraživanja Zagreb (1972); Geološki zavod Sarajevo (1968);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Košćec, B. (1971) Površinske pojave ugljikovodika u zoni Vanjskih Dinarida i na morskom dnu sjevernog Jadrana, </w:t>
      </w:r>
      <w:r w:rsidRPr="004E6412">
        <w:rPr>
          <w:i/>
          <w:sz w:val="20"/>
          <w:szCs w:val="20"/>
        </w:rPr>
        <w:t>Nafta</w:t>
      </w:r>
      <w:r w:rsidRPr="004E6412">
        <w:rPr>
          <w:sz w:val="20"/>
          <w:szCs w:val="20"/>
        </w:rPr>
        <w:t xml:space="preserve"> 22/3-4, str. 335-342,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Magaš. N. i Marinčić, S. (1973) Osnovna geološka karta SFRJ 1:100.000. Tumač za list Split K 33-21. Primošten K 33-20. Institut za geološka istraživanja Zagreb (1967);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Majcen, Ž., Korolija, B., Sokač, B. i Nikler, L. (1970) Osnovna geološka karta SFRJ 1:100 000. List Zadar L 33-139.  Institut za geološka istraživanja Zagreb (1963-1969);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Majcen, Ž., Korolija, B., Sokač, B. i Nikler, L. (1973) Osnovna geološka karta SFRJ 1:100 000. Tumač za list Zadar L33-139. Institut za geološka istraživanja Zagreb (1967); Savezni geološki zavod Beograd, str. 44.</w:t>
      </w:r>
    </w:p>
    <w:p w:rsidR="001B41B0" w:rsidRPr="004E6412" w:rsidRDefault="001B41B0" w:rsidP="006A331D">
      <w:pPr>
        <w:numPr>
          <w:ilvl w:val="0"/>
          <w:numId w:val="122"/>
        </w:numPr>
        <w:spacing w:line="240" w:lineRule="auto"/>
        <w:contextualSpacing/>
        <w:rPr>
          <w:sz w:val="20"/>
          <w:szCs w:val="20"/>
        </w:rPr>
      </w:pPr>
      <w:r w:rsidRPr="004E6412">
        <w:rPr>
          <w:sz w:val="20"/>
          <w:szCs w:val="20"/>
        </w:rPr>
        <w:lastRenderedPageBreak/>
        <w:t>Mamužić, P. (1970): Osnovna geološka karta SFRJ 1:100 000. List Molat L 33-138.  Institut geološka istraživanja Zagreb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(1971) Osnovna geološka karta SFRJ 1:100 000. List Šibenik L 33-8 Institut za geološka istraživanja Zagreb (1962-1965);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(1973) Osnovna geološka karta SFRJ  1:100 000. Tumač za list Lošinj L33-125. Institut za geološka istraživanja (1965);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(1975) Osnovna geološka karta 1:100 000. Tumač za list Šibenik K33-8. Institut za geološka istraživanja Zagreb (1966); Savezni geološki zavod Beograd, str. 37.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Milan, A. (1973) Osnovna geološka karta SFRJ 1:100 000. Tumač za list Rab L33-114. Institut za geološka istraživanja Zagreb (1966); Savezni geološki zavod Beograd, str. 39.</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Nedela-Devide, D. (1968) Osnovna geološka karta SFRJ 1:100 000. List Biograd L 33-7. Institut za geološka istraživanja Zagreb (1963);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Nedêla-Devidé, D. (1973) Osnovna geološka karta SFRJ 1:100 000. Tumač za list Biograd K33-7. - Inst. geol. istraž. Zagreb (1963); Savezni geološki zavod Beograd, str. 27.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Sokač, B. (1973) Osnovna geološka karta SFRJ 1:100 000. Tumač za list Molat L33-138 i Silba L33-126. Institut za geološka istraživanja Zagreb (1967); Savezni geološki zavod Beograd, str. 45.</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Milan, A., Korolija, B., Borović, I. i Majcen, Ž. (1969) Osnovna geološka karta SFRJ 1:100 000. List Rab L 33-144.  Institut za geološka istraživanja Zagreb (1959-1965);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Sokač, B. i Velić, I. (1970) Osnovna geološka karta SFRJ 1:100 000. List Silba L 33-126. Institut za geološka istraživanja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Margetić, M. (1952) Bituminozne stijene Dalmacije. </w:t>
      </w:r>
      <w:r w:rsidRPr="004E6412">
        <w:rPr>
          <w:i/>
          <w:sz w:val="20"/>
          <w:szCs w:val="20"/>
        </w:rPr>
        <w:t>Geološki vjesnik</w:t>
      </w:r>
      <w:r w:rsidRPr="004E6412">
        <w:rPr>
          <w:sz w:val="20"/>
          <w:szCs w:val="20"/>
        </w:rPr>
        <w:t>, II-IV (1948-1950), str. 117-140.</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Magaš, N., i Benček Đ. (1977) Osnovna geološka karta 1:100 000. Tumač za list Ploče K33-35 Institut za geološka istraživanja Zagreb (1969); Savezni geološki zavod Beograd, str. 49.</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i Majcen, Ž. (1976) Osnovna geološka karta 1:100 000. List Jelsa K33-34.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i Majcen, Ž. (1976) Osnovna geološka karta SFRJ 1:100 000. List Omiš K33-22.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Mamužić, P., Magaš, N., Majcen, Ž., Brkić, M. i Benček Đ. (1977) Osnovna geološka karta 1:100 000. Tumač za list Omiš K33-22. Institut za geološka istraživanja Zagreb (1969);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&amp; Borović, I. (1971) Osnovna geološka karta SFRJ 1:100 000. List Split K33-21.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i Borović, I. (1971) Osnovna geološka karta SFRJ 1:100 000. List Primošten K33-20.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B. (1966) Tumač za OGK list Dubrovnik. Zavod za geološka i geofizička istraživanja  Beograd, Knjižnica Geološko Paleontološkog zavoda Sveučilišta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Marković, B. (1966) Osnovna geološka karta list Dubrovnik, Zavod za geološka geofizička istraživanja Beograd 1996; Knjižnica Geološko Paleontološkog zavoda Sveučilišta u Zagrebu. </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S. (2002) Mineralne sirovine Hrvatske. Institut za geološka istraživanja Zagreb; Zavod za geologiju,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gospodarstva, </w:t>
      </w:r>
      <w:r w:rsidRPr="004E6412">
        <w:rPr>
          <w:i/>
          <w:sz w:val="20"/>
          <w:szCs w:val="20"/>
        </w:rPr>
        <w:t>web</w:t>
      </w:r>
      <w:r w:rsidRPr="004E6412">
        <w:rPr>
          <w:sz w:val="20"/>
          <w:szCs w:val="20"/>
        </w:rPr>
        <w:t xml:space="preserve"> stranica. Dostupno na: </w:t>
      </w:r>
      <w:hyperlink r:id="rId93" w:history="1">
        <w:r w:rsidRPr="004E6412">
          <w:rPr>
            <w:rStyle w:val="Hyperlink"/>
            <w:color w:val="auto"/>
            <w:sz w:val="20"/>
            <w:szCs w:val="20"/>
            <w:u w:val="none"/>
          </w:rPr>
          <w:t>http://mingorp.hr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Ministarstvo gospodarstva RH (2011) Energija u Hrvatskoj 2011. Godišnji energetski pregled. Dostupno na: www.eihp.hr/hrvatski/projekti/EUH_od_45/malaEUH11web.pdf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poljoprivrede, </w:t>
      </w:r>
      <w:r w:rsidRPr="004E6412">
        <w:rPr>
          <w:i/>
          <w:sz w:val="20"/>
          <w:szCs w:val="20"/>
        </w:rPr>
        <w:t>web</w:t>
      </w:r>
      <w:r w:rsidRPr="004E6412">
        <w:rPr>
          <w:sz w:val="20"/>
          <w:szCs w:val="20"/>
        </w:rPr>
        <w:t xml:space="preserve"> stranica. Dostupno na:  </w:t>
      </w:r>
      <w:hyperlink r:id="rId94" w:history="1">
        <w:r w:rsidRPr="004E6412">
          <w:rPr>
            <w:sz w:val="20"/>
            <w:szCs w:val="20"/>
          </w:rPr>
          <w:t>www.mps.hr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Papeš, J., Marinković, R., Raić, V., Magaš, N. i Sikirica, V. (1982) Osnovna geološka karta SFRJ 1:100 000. List Sinj K33-10. Geoinženjering; Institut za geologiju.Sarajevo (1968-1980); Geološki zavod OOUR za geologiju i paleontologiju Zagreb (1971-1976);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Perić, N. (2009) Obnovljivi izvori energije: stanja i potencijali, predavanje. Zagreb: FER. </w:t>
      </w:r>
    </w:p>
    <w:p w:rsidR="001B41B0" w:rsidRPr="004E6412" w:rsidRDefault="001B41B0" w:rsidP="006A331D">
      <w:pPr>
        <w:numPr>
          <w:ilvl w:val="0"/>
          <w:numId w:val="122"/>
        </w:numPr>
        <w:spacing w:line="240" w:lineRule="auto"/>
        <w:contextualSpacing/>
        <w:rPr>
          <w:sz w:val="20"/>
          <w:szCs w:val="20"/>
        </w:rPr>
      </w:pPr>
      <w:r w:rsidRPr="004E6412">
        <w:rPr>
          <w:sz w:val="20"/>
          <w:szCs w:val="20"/>
        </w:rPr>
        <w:t>Pirc, A., Motik, D., Moro, M., Posavec, S., Kopljar, A. (2010) Analiza pokazatelja stanja na tržištu drvnih proizvoda Republike Hrvatske. Dostupno na: hrcak.srce.hr/file/93648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i Premru, U. (1977) Osnovna geološka karta SFRJ  1:100.000. Tolmač za list Novo Mesto L 33-79.  Geološki zavod Ljubljana (1970);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Premru, U. i Herak, M. (1976) Osnovna geološka karta 1:100 000. List Novo Mesto L33-79. Geološki zavod Ljubljana,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Polšak, A., Crnko, J., Šimunić, A., Šimunić, A., Šparica, M. i Juriša, M. (1979) Osnovna geološka karta SFRJ 1:100 000. Tumač za list Bihać L33-116.  Institut zs geološka istraživanja Zagreb (1967);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lastRenderedPageBreak/>
        <w:t>Polšak, A., Juriša, M., Šparica, M. i Šimunić, A. (1977) Osnovna geološka karta SFRJ 1:100 000. List Bihać L33-116.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Energetika.net. Dostupno na:  </w:t>
      </w:r>
      <w:hyperlink r:id="rId95" w:history="1">
        <w:r w:rsidRPr="004E6412">
          <w:rPr>
            <w:sz w:val="20"/>
            <w:szCs w:val="20"/>
          </w:rPr>
          <w:t>http://www.energetika-net.com</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Izvori energije. Dostupno na: </w:t>
      </w:r>
      <w:hyperlink r:id="rId96" w:history="1">
        <w:r w:rsidRPr="004E6412">
          <w:rPr>
            <w:sz w:val="20"/>
            <w:szCs w:val="20"/>
          </w:rPr>
          <w:t>http://www.izvorienergije.com</w:t>
        </w:r>
      </w:hyperlink>
      <w:r w:rsidRPr="004E6412">
        <w:rPr>
          <w:sz w:val="20"/>
          <w:szCs w:val="20"/>
        </w:rPr>
        <w:t xml:space="preserve"> [5.7.2013.].</w:t>
      </w:r>
    </w:p>
    <w:p w:rsidR="001B41B0" w:rsidRPr="004E6412" w:rsidRDefault="001B41B0" w:rsidP="006A331D">
      <w:pPr>
        <w:numPr>
          <w:ilvl w:val="0"/>
          <w:numId w:val="122"/>
        </w:numPr>
        <w:spacing w:line="240" w:lineRule="auto"/>
        <w:contextualSpacing/>
        <w:jc w:val="left"/>
        <w:rPr>
          <w:sz w:val="20"/>
          <w:szCs w:val="20"/>
        </w:rPr>
      </w:pPr>
      <w:r w:rsidRPr="004E6412">
        <w:rPr>
          <w:sz w:val="20"/>
          <w:szCs w:val="20"/>
        </w:rPr>
        <w:t xml:space="preserve">Portal Hrvatske Šume </w:t>
      </w:r>
      <w:hyperlink r:id="rId97" w:history="1">
        <w:r w:rsidRPr="004E6412">
          <w:rPr>
            <w:sz w:val="20"/>
            <w:szCs w:val="20"/>
          </w:rPr>
          <w:t>http://portal.hrsume.hr/</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Moja energija. Dostupno na: </w:t>
      </w:r>
      <w:hyperlink r:id="rId98" w:history="1">
        <w:r w:rsidRPr="004E6412">
          <w:rPr>
            <w:sz w:val="20"/>
            <w:szCs w:val="20"/>
          </w:rPr>
          <w:t>www.mojaenergija.hr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Obnovljivi.com. Dostupno na: </w:t>
      </w:r>
      <w:hyperlink r:id="rId99" w:history="1">
        <w:r w:rsidRPr="004E6412">
          <w:rPr>
            <w:sz w:val="20"/>
            <w:szCs w:val="20"/>
          </w:rPr>
          <w:t>http://www.obnovljivi.com</w:t>
        </w:r>
      </w:hyperlink>
      <w:r w:rsidRPr="004E6412">
        <w:rPr>
          <w:sz w:val="20"/>
          <w:szCs w:val="20"/>
        </w:rPr>
        <w:t xml:space="preserve"> [5.7.2013.].</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bCs/>
          <w:sz w:val="20"/>
          <w:szCs w:val="20"/>
        </w:rPr>
        <w:t xml:space="preserve">Portal Voda. Dostupno na: </w:t>
      </w:r>
      <w:hyperlink r:id="rId100" w:history="1">
        <w:r w:rsidRPr="004E6412">
          <w:rPr>
            <w:bCs/>
            <w:sz w:val="20"/>
            <w:szCs w:val="20"/>
          </w:rPr>
          <w:t>www.voda.hr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i Papeš, J. (1982) Osnovna geološka karta 1:100 000. Tumač za list Ston K33-23.  Institut za geološka istraživanja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(1976) Osnovna geološka karta 1:100 000. List Imotski K33-23. - Inst. geol. istraž. Sarajevo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(1978) Osnovna geološka karta 1:100 000. Tumač za list Imotski K33-23. - Inst. geol. istraž.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Papeš, J., Sikirica, V. i Magaš, N. (1984) Osnovna geološka karta 1:100 000. Tumač za list Sinj K33-10.  Geoinženjering; Institut za geologiju Sarajevo i Geološki zavod OOUR za geologiju i paleontologiju Zagreb (1982); Savezni geološki zavod Beograd, str. 52.</w:t>
      </w:r>
    </w:p>
    <w:p w:rsidR="001B41B0" w:rsidRPr="004E6412" w:rsidRDefault="001B41B0" w:rsidP="006A331D">
      <w:pPr>
        <w:numPr>
          <w:ilvl w:val="0"/>
          <w:numId w:val="122"/>
        </w:numPr>
        <w:spacing w:line="240" w:lineRule="auto"/>
        <w:contextualSpacing/>
        <w:rPr>
          <w:sz w:val="20"/>
          <w:szCs w:val="20"/>
        </w:rPr>
      </w:pPr>
      <w:r w:rsidRPr="004E6412">
        <w:rPr>
          <w:sz w:val="20"/>
          <w:szCs w:val="20"/>
        </w:rPr>
        <w:t>Rudarsko-geološko-naftni fakultet (2008) Strategija gospodarenje mineralnim sirovinama Republike Hrvatske. Rudarsko-geološko-naftni fakultet; Fond stručne arhive; Ministarstvo gospodarstva, rada i poduzetništva,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(1984) Osnovna geološka karta SFRJ 100 000. List Delnice L33-90.  Geološki zavod OOUR za geologiju i paleontologiju Zagreb; Geološki zavod Ljubljana (1970-1983);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(1985) Osnovna geološka karta 1:100 000. Tumač za list Delnice L33-90.  Geološki zavod Zagreb OOUR za geologiju i paleontologiju; Geološki zavod Ljubljana, (1983);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Schmid, S.M., Bernoulli, D., Fügenschuh, B., Matenco, L., Schefer, S.,Schuster, R., Tischler, M., Ustaszewski, K. (2008) The Alpine-Carpathian-Dinaridi corogenic system: correlation and evolution of tectonic units, </w:t>
      </w:r>
      <w:r w:rsidRPr="004E6412">
        <w:rPr>
          <w:i/>
          <w:sz w:val="20"/>
          <w:szCs w:val="20"/>
        </w:rPr>
        <w:t>Swiss Journal of Geosciences,</w:t>
      </w:r>
      <w:r w:rsidRPr="004E6412">
        <w:rPr>
          <w:sz w:val="20"/>
          <w:szCs w:val="20"/>
        </w:rPr>
        <w:t xml:space="preserve"> 101, str. 139-183.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sz w:val="20"/>
          <w:szCs w:val="20"/>
        </w:rPr>
        <w:t xml:space="preserve">Skoko, B. (2012)  </w:t>
      </w:r>
      <w:r w:rsidRPr="004E6412">
        <w:rPr>
          <w:bCs/>
          <w:sz w:val="20"/>
          <w:szCs w:val="20"/>
        </w:rPr>
        <w:t>Analiza stanja u sektorueksploatacije i obradearhitektonskog-građevnog kamenana području Dalmacije i Hercegovine. Dostupno na:</w:t>
      </w:r>
      <w:r w:rsidRPr="004E6412">
        <w:rPr>
          <w:sz w:val="20"/>
          <w:szCs w:val="20"/>
        </w:rPr>
        <w:t xml:space="preserve"> </w:t>
      </w:r>
      <w:hyperlink r:id="rId101" w:history="1">
        <w:r w:rsidRPr="004E6412">
          <w:rPr>
            <w:sz w:val="20"/>
            <w:szCs w:val="20"/>
          </w:rPr>
          <w:t>http://www.eu-kamen.com/Portals/0/Analiza_stanja_u_sektoru_final.pdf</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Sokač, B., Bahun, S., Velić, I. i Galović, I. (1976) Osnovna geološka karta 1:100 000. Tumač za list Otočac K33-115. Institut za geološka istraživanja Zagreb, 1970.,  str. 44,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Nikler, L., Velić, I. i Mamužić, P. (1974) Osnovna geološka karta SFRJ-e. 1:100 000. List Gospić L33-127. Institut za geološka istraivanja Zagreb (1963-1967);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Šćavničar, B. i Velić, I. (1976) Osnovna geološka karta SFRJ 1:100 000. Tumač za list Gospić K33-127. Institut za geološka istraživanja Zagreb (1967), str. 64;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Šušnjar, M., Bukovac, J. i Bahun, S. (1976) Osnovna geološka karta 1:100 000. Tumač za list Udbina L33-128. Institut za geološka istraživanja  Zagreb (1965); Savezni geološki zavod Beograd, str. 62.</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Stipetić, V. (2005) Razvitak poljoprivredne proizvodnje u Hrvatskoj: tendencije, stanje I osnovni problem. Dostupno na: </w:t>
      </w:r>
      <w:r w:rsidRPr="004E6412">
        <w:rPr>
          <w:iCs/>
          <w:sz w:val="20"/>
          <w:szCs w:val="20"/>
        </w:rPr>
        <w:t>hrcak.srce.hr/1752</w:t>
      </w:r>
      <w:r w:rsidRPr="004E6412">
        <w:rPr>
          <w:sz w:val="20"/>
          <w:szCs w:val="20"/>
        </w:rPr>
        <w:t>‎</w:t>
      </w:r>
      <w:r w:rsidRPr="004E6412">
        <w:rPr>
          <w:iCs/>
          <w:sz w:val="20"/>
          <w:szCs w:val="20"/>
        </w:rPr>
        <w:t>.</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Svržnjak, K. Dio internih predavanja za student specijalističkog diplomskog studija Menadžment u poljoprivredi iz modula Ekonomika poljoprivrede. Dostupno na: </w:t>
      </w:r>
      <w:hyperlink r:id="rId102" w:history="1">
        <w:r w:rsidRPr="004E6412">
          <w:rPr>
            <w:sz w:val="20"/>
            <w:szCs w:val="20"/>
          </w:rPr>
          <w:t>http://www.vguk.hr/download.php?downloadParams=studnewsfile%7C350</w:t>
        </w:r>
      </w:hyperlink>
      <w:r w:rsidRPr="004E6412">
        <w:rPr>
          <w:sz w:val="20"/>
          <w:szCs w:val="20"/>
        </w:rPr>
        <w:t xml:space="preserve"> [4.7.2013.].</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(1975) Osnovna geološka karta 1:100 000. Tumač za list Ilirska Bistrica L33-89.  Institut za geološka istraživanja Zagreb; Geološki zavod Ljubljana (1967); Savezni geološki zavod Beograd, str. 50.</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i Šparica, M. (1972) Osnovna geološka karta SFRJ 1:100 000. List Ilirska Bistrica L33-89. Institut za geološka istraživanja Zagreb, Geološki zavod Ljubljana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Polšak, A. (1973) Osnovna geološka karta SFRJ 1:100 000. Tumač za list Labin L33-101.  Institut za geološka istraživanja Zagreb  (1963); Savezni geološki zavod Beograd, str. 55.</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 Šikić, D., Polšak, A. i Magaš, N. (1973) Osnovna geološka karta SFRJ 1:100 000. List Labin L33-101. Institut za geološka istraživanja  Zagreb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K., Basch, O. i Šimunić, A. (1978) Osnovna geološka karta SFRJ. 1:100 000. List Zagreb L38-80. - Inst. geol. istraž. Zagreb (1972);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lastRenderedPageBreak/>
        <w:t>Šljivac, D, Šimić, Z. (2009) Obnovljivi izvori energije, Najvažnije vrste, potencijal i tehnologije, predavanje. Zagreb: FER.</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(1981) Genetski faktori autonomnog mobiliteta i dijapirizma s osvrtom na imobilna i mobilna stanja kalcijsko-sulfatnih naslaga u prostoru Dinarida, </w:t>
      </w:r>
      <w:r w:rsidRPr="004E6412">
        <w:rPr>
          <w:i/>
          <w:sz w:val="20"/>
          <w:szCs w:val="20"/>
        </w:rPr>
        <w:t>Nafta</w:t>
      </w:r>
      <w:r w:rsidRPr="004E6412">
        <w:rPr>
          <w:sz w:val="20"/>
          <w:szCs w:val="20"/>
        </w:rPr>
        <w:t>, X-1-221,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(1978) Osnovna geološka karta SFRJ 1:100 000. List Drvar L33-129. Institut za geološka istraživanja Zagreb (1963-1968.);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Bukovac, J. (1979) Osnovna geološka karta 1:100 000. Tumač za list Drvar L33-129. Institut za geološka istraživanja Zagreb (1969); Savezni geološki zavod Beograd, str. 44. </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Nikler, L., Crnolatac I., Milan, A., Šikić, D., Grimani, I., Vulić, Ž., Blašković, I. (1970) Osnovna geološka karta SFRJ 1:100 000. List Crikvenica L33-102. Institut za geološka istraživanja Zagreb (1961-1969);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Sokač, B., Bahun, S., Bukovac, J., Nikler, L. i Ivanović, A. (1973) Osnovna geološka karta SFRJ 1:100 000. List Udbina L33-128.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Bahun, S., Sokač, B. i Galović, I. (1974) Osnovna geološka karta SFRJ 1:100 000. List Otočac L33-115. Institut za geološka istraživanja Zagreb, 1970, Savezni geološki zavod Beograd Velić, I., Sokač, B. (1981) Osnovna geološka karta SFRJ 1:100 000. List Ogulin L33-103. Geološki zavod OOUR za geologiju i paleontologiju, (1971-1986),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Sokač, B. i Šćavničar, B. (1982) Osnovna geološka karta SFRJ 1:100 000. Tumač za list Ogulin L33-103. Geol. zavod Zagreb (1980),  Savezni geološki zavod Beograd, str. 46.</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J. (2007) Geologija ležišta nafte i plina. Rudarsko-geološko-naftni fakultet Sveučilište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Višković, A., Saftić, B., Živković, S. A. (2011) </w:t>
      </w:r>
      <w:r w:rsidRPr="004E6412">
        <w:rPr>
          <w:i/>
          <w:sz w:val="20"/>
          <w:szCs w:val="20"/>
        </w:rPr>
        <w:t>Ugljen: sigurna energija</w:t>
      </w:r>
      <w:r w:rsidRPr="004E6412">
        <w:rPr>
          <w:sz w:val="20"/>
          <w:szCs w:val="20"/>
        </w:rPr>
        <w:t>. Zagreb: Graphis.</w:t>
      </w:r>
    </w:p>
    <w:p w:rsidR="001B41B0" w:rsidRPr="004E6412" w:rsidRDefault="001B41B0" w:rsidP="006A331D">
      <w:pPr>
        <w:numPr>
          <w:ilvl w:val="0"/>
          <w:numId w:val="122"/>
        </w:numPr>
        <w:spacing w:line="240" w:lineRule="auto"/>
        <w:contextualSpacing/>
        <w:rPr>
          <w:sz w:val="20"/>
          <w:szCs w:val="20"/>
        </w:rPr>
      </w:pPr>
      <w:r w:rsidRPr="004E6412">
        <w:rPr>
          <w:sz w:val="20"/>
          <w:szCs w:val="20"/>
        </w:rPr>
        <w:t>Vjetroelektrane.com, web stranica. Dostupno na: www.vjetroelektrane.com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Vlahinić-Dizdarević, N., Uršić, V. (2010) Drvno-prerađivački kompleks u Republici Hrvatskoj: SWOT matrica i projekcije rasta. Dostupno na: hrcak.srce.hr/file/91574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Vujčić, D., Van Antwerpa, F., Ramić, S. (2006) Analiza upravaljanja poljoprivrednim zemljištem u Republici Hrvatskoj te preporuke za daljnju decentralizaciju.</w:t>
      </w:r>
      <w:r w:rsidRPr="004E6412">
        <w:rPr>
          <w:iCs/>
          <w:sz w:val="20"/>
          <w:szCs w:val="20"/>
        </w:rPr>
        <w:t xml:space="preserve"> Dostupno na: www.hukon.hr/.../</w:t>
      </w:r>
      <w:r w:rsidRPr="004E6412">
        <w:rPr>
          <w:bCs/>
          <w:iCs/>
          <w:sz w:val="20"/>
          <w:szCs w:val="20"/>
        </w:rPr>
        <w:t>analiza</w:t>
      </w:r>
      <w:r w:rsidRPr="004E6412">
        <w:rPr>
          <w:iCs/>
          <w:sz w:val="20"/>
          <w:szCs w:val="20"/>
        </w:rPr>
        <w:t>_upravljanja_</w:t>
      </w:r>
      <w:r w:rsidRPr="004E6412">
        <w:rPr>
          <w:bCs/>
          <w:iCs/>
          <w:sz w:val="20"/>
          <w:szCs w:val="20"/>
        </w:rPr>
        <w:t>poljoprivredni</w:t>
      </w:r>
      <w:r w:rsidRPr="004E6412">
        <w:rPr>
          <w:iCs/>
          <w:sz w:val="20"/>
          <w:szCs w:val="20"/>
        </w:rPr>
        <w:t>...</w:t>
      </w:r>
      <w:r w:rsidRPr="004E6412">
        <w:rPr>
          <w:sz w:val="20"/>
          <w:szCs w:val="20"/>
        </w:rPr>
        <w:t>‎[7.7.2013.].</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Pregled strateških smjernica Europske unije i Republike Hrvatske</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BDI (2012) Industrial Value Creation Chains. Dostupno na: </w:t>
      </w:r>
      <w:hyperlink r:id="rId103" w:history="1">
        <w:r w:rsidRPr="004E6412">
          <w:rPr>
            <w:sz w:val="20"/>
            <w:szCs w:val="20"/>
          </w:rPr>
          <w:t>http://www.bdi.eu/bdi_english/download_content/32085_bdi_wertschoepfung_engl_6.pdf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(2010) Europe 2020. Dostupno na: </w:t>
      </w:r>
      <w:hyperlink r:id="rId104" w:history="1">
        <w:r w:rsidRPr="004E6412">
          <w:rPr>
            <w:sz w:val="20"/>
            <w:szCs w:val="20"/>
          </w:rPr>
          <w:t>http://ec.europa.eu/eu2020/pdf/complet%20en%20barroso%20%20%20007%20-%20europe%202020%20-%20en%20version.pdf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rFonts w:eastAsia="GillSansMTPro-Light"/>
          <w:sz w:val="20"/>
          <w:szCs w:val="20"/>
        </w:rPr>
        <w:t xml:space="preserve">European Commission (2012) 2013 Annual growth survey. Dostupno na: </w:t>
      </w:r>
      <w:hyperlink r:id="rId105" w:history="1">
        <w:r w:rsidRPr="004E6412">
          <w:rPr>
            <w:sz w:val="20"/>
            <w:szCs w:val="20"/>
          </w:rPr>
          <w:t>http://ec.europa.eu/europe2020/pdf/ags2013_en.pdf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A stronger European Industry  for Growth and Economic Recpvery 2012. Dostupno na: Dostupno na: </w:t>
      </w:r>
      <w:hyperlink r:id="rId106" w:history="1">
        <w:r w:rsidRPr="004E6412">
          <w:rPr>
            <w:sz w:val="20"/>
            <w:szCs w:val="20"/>
          </w:rPr>
          <w:t>http://eur-lex.europa.eu/lexuriserv/lexuriserv.do?uri=com:2012:0582:fin:en:pdf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Enterpreneurship 2020 Action Plan. Dostupno na: </w:t>
      </w:r>
      <w:hyperlink r:id="rId107" w:history="1">
        <w:r w:rsidRPr="004E6412">
          <w:rPr>
            <w:sz w:val="20"/>
            <w:szCs w:val="20"/>
          </w:rPr>
          <w:t>http://eur-lex.europa.eu/lexuriserv/lexuriserv.do?uri=com:2012:0795:fin:en:pdf</w:t>
        </w:r>
      </w:hyperlink>
      <w:r w:rsidRPr="004E6412">
        <w:rPr>
          <w:sz w:val="20"/>
          <w:szCs w:val="20"/>
        </w:rPr>
        <w:t xml:space="preserve"> [5.7.2013.].</w:t>
      </w:r>
    </w:p>
    <w:p w:rsidR="00C92B54" w:rsidRPr="004E6412" w:rsidRDefault="00C92B54" w:rsidP="006A331D">
      <w:pPr>
        <w:numPr>
          <w:ilvl w:val="0"/>
          <w:numId w:val="117"/>
        </w:numPr>
        <w:spacing w:line="240" w:lineRule="auto"/>
        <w:rPr>
          <w:sz w:val="20"/>
          <w:szCs w:val="20"/>
        </w:rPr>
      </w:pPr>
      <w:r w:rsidRPr="004E6412">
        <w:rPr>
          <w:sz w:val="20"/>
          <w:szCs w:val="20"/>
        </w:rPr>
        <w:t>European Commission (2012) Member States' Competitiveness, Performance and policies, Industrial performance scorebord, A Europe 2020 Initiative, 2012 edition</w:t>
      </w:r>
    </w:p>
    <w:p w:rsidR="00C92B54" w:rsidRPr="004E6412" w:rsidRDefault="00C92B54" w:rsidP="006A331D">
      <w:pPr>
        <w:numPr>
          <w:ilvl w:val="0"/>
          <w:numId w:val="117"/>
        </w:numPr>
        <w:spacing w:line="240" w:lineRule="auto"/>
        <w:rPr>
          <w:sz w:val="20"/>
          <w:szCs w:val="20"/>
        </w:rPr>
      </w:pPr>
      <w:r w:rsidRPr="004E6412">
        <w:rPr>
          <w:sz w:val="20"/>
          <w:szCs w:val="20"/>
        </w:rPr>
        <w:t>European Commission (2013) Industrial competitiveness of EU member states: some progress made, but many challenges still lay ahead. Brussels</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Parliament (2010) The Lisbon strategy. Dostupno na:  </w:t>
      </w:r>
      <w:hyperlink r:id="rId108" w:history="1">
        <w:r w:rsidRPr="004E6412">
          <w:rPr>
            <w:sz w:val="20"/>
            <w:szCs w:val="20"/>
          </w:rPr>
          <w:t>http://www.europarl.europa.eu/document/activities/cont/201107/20110718ATT24270/20110718ATT24270EN.pdf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Ministarstvo financija (2013) Ekonomski program Republike Hrvatske za 2013. Dostupno na: </w:t>
      </w:r>
      <w:hyperlink r:id="rId109" w:history="1">
        <w:r w:rsidRPr="004E6412">
          <w:rPr>
            <w:sz w:val="20"/>
            <w:szCs w:val="20"/>
          </w:rPr>
          <w:t>http://www.mfin.hr/adminmax/docs/ekonomski%20program%20republike%20hrvatske%202013.pdf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Vlada Republike Hrvatske (2006) Strateški okvir za razvoj 2006-2013. Dostupno na: </w:t>
      </w:r>
      <w:hyperlink r:id="rId110" w:history="1">
        <w:r w:rsidRPr="004E6412">
          <w:rPr>
            <w:sz w:val="20"/>
            <w:szCs w:val="20"/>
          </w:rPr>
          <w:t>http://www.mrrfeu.hr/userdocsimages/publikacije/strateski_okvir_za_razvoj_2006_2013.pdf</w:t>
        </w:r>
      </w:hyperlink>
      <w:r w:rsidRPr="004E6412">
        <w:rPr>
          <w:sz w:val="20"/>
          <w:szCs w:val="20"/>
        </w:rPr>
        <w:t xml:space="preserve"> </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Prerađivačka industrija</w:t>
      </w:r>
    </w:p>
    <w:p w:rsidR="001B41B0" w:rsidRPr="004E6412" w:rsidRDefault="001B41B0" w:rsidP="006A331D">
      <w:pPr>
        <w:numPr>
          <w:ilvl w:val="0"/>
          <w:numId w:val="121"/>
        </w:numPr>
        <w:tabs>
          <w:tab w:val="left" w:pos="709"/>
        </w:tabs>
        <w:spacing w:line="240" w:lineRule="auto"/>
        <w:rPr>
          <w:sz w:val="20"/>
          <w:szCs w:val="20"/>
        </w:rPr>
      </w:pPr>
      <w:r w:rsidRPr="004E6412">
        <w:rPr>
          <w:sz w:val="20"/>
          <w:szCs w:val="20"/>
        </w:rPr>
        <w:t>About Furniture.com. Top 10 furniture trends of the decade. Dostupno na: http://furniture.about.com/od/buyingfurniture/tp/dec_trends.htm‎ [11.7.2013.].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Adhikari, R., Weeratunge, C. (2006) Textiles and Clothing in South Asia: Current Status and Future Potential. Research paper, </w:t>
      </w:r>
      <w:r w:rsidRPr="004E6412">
        <w:rPr>
          <w:i/>
          <w:sz w:val="20"/>
          <w:szCs w:val="20"/>
        </w:rPr>
        <w:t>South Asia Economic Journal,</w:t>
      </w:r>
      <w:r w:rsidRPr="004E6412">
        <w:rPr>
          <w:sz w:val="20"/>
          <w:szCs w:val="20"/>
        </w:rPr>
        <w:t xml:space="preserve"> 8 (2), str. 171–203.</w:t>
      </w:r>
    </w:p>
    <w:p w:rsidR="001B41B0" w:rsidRPr="004E6412" w:rsidRDefault="001B41B0" w:rsidP="006A331D">
      <w:pPr>
        <w:numPr>
          <w:ilvl w:val="0"/>
          <w:numId w:val="121"/>
        </w:numPr>
        <w:spacing w:line="240" w:lineRule="auto"/>
        <w:rPr>
          <w:sz w:val="20"/>
          <w:szCs w:val="20"/>
        </w:rPr>
      </w:pPr>
      <w:r w:rsidRPr="004E6412">
        <w:rPr>
          <w:sz w:val="20"/>
          <w:szCs w:val="20"/>
        </w:rPr>
        <w:lastRenderedPageBreak/>
        <w:t>Agencija za lijekove i medicinske proizvode. Dostupno na: www.almp.hr. [2.7.2013.].</w:t>
      </w:r>
    </w:p>
    <w:p w:rsidR="001B41B0" w:rsidRPr="004E6412" w:rsidRDefault="001B41B0" w:rsidP="006A331D">
      <w:pPr>
        <w:numPr>
          <w:ilvl w:val="0"/>
          <w:numId w:val="121"/>
        </w:numPr>
        <w:spacing w:line="240" w:lineRule="auto"/>
        <w:rPr>
          <w:sz w:val="20"/>
          <w:szCs w:val="20"/>
        </w:rPr>
      </w:pPr>
      <w:r w:rsidRPr="004E6412">
        <w:rPr>
          <w:sz w:val="20"/>
          <w:szCs w:val="20"/>
        </w:rPr>
        <w:t>Analiza prehrambenog sektora u Hrvatskoj. Projekt podrška razvoja klastera. Dostupno na: http://www.razvoj-klastera.hr/wp-content/uploads/STRATE%C5%A0KE-SMJERNICE-PREHRAMBENO-PRERA%C4%90IVA%C4%8CKI-SEKTOR.pdf [27.6.2013.].</w:t>
      </w:r>
    </w:p>
    <w:p w:rsidR="001B41B0" w:rsidRPr="004E6412" w:rsidRDefault="001B41B0" w:rsidP="006A331D">
      <w:pPr>
        <w:numPr>
          <w:ilvl w:val="0"/>
          <w:numId w:val="121"/>
        </w:numPr>
        <w:spacing w:line="240" w:lineRule="auto"/>
        <w:rPr>
          <w:sz w:val="20"/>
          <w:szCs w:val="20"/>
        </w:rPr>
      </w:pPr>
      <w:r w:rsidRPr="004E6412">
        <w:rPr>
          <w:sz w:val="20"/>
          <w:szCs w:val="20"/>
        </w:rPr>
        <w:t>Anić, I. D., Lovrinčević, Ž., Rajh, E., Teodorović, I. (2008) Ekonomski aspekti razvitka industrije tekstila i odjeće u Hrvatskoj. Zagreb: Ekonomski institut.</w:t>
      </w:r>
    </w:p>
    <w:p w:rsidR="001B41B0" w:rsidRPr="004E6412" w:rsidRDefault="001B41B0" w:rsidP="006A331D">
      <w:pPr>
        <w:numPr>
          <w:ilvl w:val="0"/>
          <w:numId w:val="121"/>
        </w:numPr>
        <w:spacing w:line="240" w:lineRule="auto"/>
        <w:rPr>
          <w:sz w:val="20"/>
          <w:szCs w:val="20"/>
        </w:rPr>
      </w:pPr>
      <w:r w:rsidRPr="004E6412">
        <w:rPr>
          <w:sz w:val="20"/>
          <w:szCs w:val="20"/>
        </w:rPr>
        <w:t xml:space="preserve">Aralica, Z. (2012) Glavni pokazatelji sektora. Prehrambena industrija, </w:t>
      </w:r>
      <w:r w:rsidRPr="004E6412">
        <w:rPr>
          <w:i/>
          <w:sz w:val="20"/>
          <w:szCs w:val="20"/>
        </w:rPr>
        <w:t>Sektorske analize</w:t>
      </w:r>
      <w:r w:rsidRPr="004E6412">
        <w:rPr>
          <w:sz w:val="20"/>
          <w:szCs w:val="20"/>
        </w:rPr>
        <w:t>, 2 (1), str.  7.</w:t>
      </w:r>
    </w:p>
    <w:p w:rsidR="001B41B0" w:rsidRPr="004E6412" w:rsidRDefault="001B41B0" w:rsidP="006A331D">
      <w:pPr>
        <w:numPr>
          <w:ilvl w:val="0"/>
          <w:numId w:val="121"/>
        </w:numPr>
        <w:spacing w:line="240" w:lineRule="auto"/>
        <w:rPr>
          <w:sz w:val="20"/>
          <w:szCs w:val="20"/>
        </w:rPr>
      </w:pPr>
      <w:r w:rsidRPr="004E6412">
        <w:rPr>
          <w:sz w:val="20"/>
          <w:szCs w:val="20"/>
        </w:rPr>
        <w:t xml:space="preserve">Association of Plastics Manufacturers in Europe,  Plastics – the Facts 2012. An analysis of European plastics production, demand and waste data for 2011. Dostupno na: </w:t>
      </w:r>
      <w:hyperlink r:id="rId111" w:history="1">
        <w:r w:rsidRPr="004E6412">
          <w:rPr>
            <w:sz w:val="20"/>
            <w:szCs w:val="20"/>
          </w:rPr>
          <w:t>www.</w:t>
        </w:r>
        <w:r w:rsidRPr="004E6412">
          <w:rPr>
            <w:bCs/>
            <w:sz w:val="20"/>
            <w:szCs w:val="20"/>
          </w:rPr>
          <w:t>plasticseurope</w:t>
        </w:r>
        <w:r w:rsidRPr="004E6412">
          <w:rPr>
            <w:sz w:val="20"/>
            <w:szCs w:val="20"/>
          </w:rPr>
          <w:t>.org/cust/documentrequest.aspx?DocID=54693</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Australian Agrifood industry Skills Council (2005) Industry Skills Report. Dostupno na: http://www.agrifoodskills.net.au/files/Industry_Skills_Report_Final_June_05.pdf[28.6.2013.].</w:t>
      </w:r>
    </w:p>
    <w:p w:rsidR="001B41B0" w:rsidRPr="004E6412" w:rsidRDefault="001B41B0" w:rsidP="006A331D">
      <w:pPr>
        <w:numPr>
          <w:ilvl w:val="0"/>
          <w:numId w:val="121"/>
        </w:numPr>
        <w:spacing w:line="240" w:lineRule="auto"/>
        <w:rPr>
          <w:sz w:val="20"/>
          <w:szCs w:val="20"/>
        </w:rPr>
      </w:pPr>
      <w:r w:rsidRPr="004E6412">
        <w:rPr>
          <w:sz w:val="20"/>
          <w:szCs w:val="20"/>
        </w:rPr>
        <w:t xml:space="preserve">Bain &amp;  Company (2012) Global refining. Fueling profitability in the turbulent times ahead, Bain and Company. Dostupno na: </w:t>
      </w:r>
      <w:hyperlink r:id="rId112" w:history="1">
        <w:r w:rsidRPr="004E6412">
          <w:rPr>
            <w:sz w:val="20"/>
            <w:szCs w:val="20"/>
          </w:rPr>
          <w:t>http://www.bain.com/Images/BAIN_BRIEF_Global_refining.pdf</w:t>
        </w:r>
      </w:hyperlink>
      <w:r w:rsidRPr="004E6412">
        <w:rPr>
          <w:sz w:val="20"/>
          <w:szCs w:val="20"/>
        </w:rPr>
        <w:t xml:space="preserve"> ‎ [1.7.2013.].</w:t>
      </w:r>
    </w:p>
    <w:p w:rsidR="001B41B0" w:rsidRPr="004E6412" w:rsidRDefault="001B41B0" w:rsidP="006A331D">
      <w:pPr>
        <w:numPr>
          <w:ilvl w:val="0"/>
          <w:numId w:val="121"/>
        </w:numPr>
        <w:spacing w:line="240" w:lineRule="auto"/>
        <w:rPr>
          <w:sz w:val="20"/>
          <w:szCs w:val="20"/>
        </w:rPr>
      </w:pPr>
      <w:r w:rsidRPr="004E6412">
        <w:rPr>
          <w:sz w:val="20"/>
          <w:szCs w:val="20"/>
        </w:rPr>
        <w:t xml:space="preserve">BBC R&amp;D, </w:t>
      </w:r>
      <w:r w:rsidRPr="004E6412">
        <w:rPr>
          <w:i/>
          <w:sz w:val="20"/>
          <w:szCs w:val="20"/>
        </w:rPr>
        <w:t>web</w:t>
      </w:r>
      <w:r w:rsidRPr="004E6412">
        <w:rPr>
          <w:sz w:val="20"/>
          <w:szCs w:val="20"/>
        </w:rPr>
        <w:t xml:space="preserve"> stranica. Dostupno na: </w:t>
      </w:r>
      <w:r w:rsidRPr="004E6412">
        <w:rPr>
          <w:iCs/>
          <w:sz w:val="20"/>
          <w:szCs w:val="20"/>
        </w:rPr>
        <w:t>www.</w:t>
      </w:r>
      <w:r w:rsidRPr="004E6412">
        <w:rPr>
          <w:bCs/>
          <w:iCs/>
          <w:sz w:val="20"/>
          <w:szCs w:val="20"/>
        </w:rPr>
        <w:t>bbc</w:t>
      </w:r>
      <w:r w:rsidRPr="004E6412">
        <w:rPr>
          <w:iCs/>
          <w:sz w:val="20"/>
          <w:szCs w:val="20"/>
        </w:rPr>
        <w:t>.co.uk/rd</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Braeutigam, R. R. (2011) </w:t>
      </w:r>
      <w:r w:rsidRPr="004E6412">
        <w:rPr>
          <w:i/>
          <w:sz w:val="20"/>
          <w:szCs w:val="20"/>
        </w:rPr>
        <w:t>Microeconomics</w:t>
      </w:r>
      <w:r w:rsidRPr="004E6412">
        <w:rPr>
          <w:sz w:val="20"/>
          <w:szCs w:val="20"/>
        </w:rPr>
        <w:t>. Četvrto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Dranove, D., Shanley, M., Schaefer, S. (2010) </w:t>
      </w:r>
      <w:r w:rsidRPr="004E6412">
        <w:rPr>
          <w:i/>
          <w:sz w:val="20"/>
          <w:szCs w:val="20"/>
        </w:rPr>
        <w:t>Economics of Strategy</w:t>
      </w:r>
      <w:r w:rsidRPr="004E6412">
        <w:rPr>
          <w:sz w:val="20"/>
          <w:szCs w:val="20"/>
        </w:rPr>
        <w:t>. Peto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Bocconi University ESSEC Business School Baker &amp; McKenzie (2007) Business relations in the EU clothing chain:  from industry to retail and distribution. Dostupno na:   http://didattica.unibocconi.it/mypage/upload/49942_20080912_062823_BUSINESSRELATIONSINTHEEUCLOTHINGCHAIN.PDF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Bolanča. S. i Golubović, K. (2008) Tehnologija tiska od Gutenberga do danas. U: </w:t>
      </w:r>
      <w:r w:rsidRPr="004E6412">
        <w:rPr>
          <w:i/>
          <w:sz w:val="20"/>
          <w:szCs w:val="20"/>
        </w:rPr>
        <w:t>Zbornik radova Senj,</w:t>
      </w:r>
      <w:r w:rsidRPr="004E6412">
        <w:rPr>
          <w:sz w:val="20"/>
          <w:szCs w:val="20"/>
        </w:rPr>
        <w:t xml:space="preserve"> br. 35., str. 125-146.</w:t>
      </w:r>
    </w:p>
    <w:p w:rsidR="001B41B0" w:rsidRPr="004E6412" w:rsidRDefault="001B41B0" w:rsidP="006A331D">
      <w:pPr>
        <w:numPr>
          <w:ilvl w:val="0"/>
          <w:numId w:val="121"/>
        </w:numPr>
        <w:spacing w:line="240" w:lineRule="auto"/>
        <w:rPr>
          <w:sz w:val="20"/>
          <w:szCs w:val="20"/>
        </w:rPr>
      </w:pPr>
      <w:r w:rsidRPr="004E6412">
        <w:rPr>
          <w:sz w:val="20"/>
          <w:szCs w:val="20"/>
        </w:rPr>
        <w:t xml:space="preserve">Božikov, V., Vrhovac, B., Bakran, I., Profozić, V., Marušić, S., Vukušić, I. (2005) Hrvatska nacionalna politika lijekova. </w:t>
      </w:r>
      <w:r w:rsidRPr="004E6412">
        <w:rPr>
          <w:i/>
          <w:sz w:val="20"/>
          <w:szCs w:val="20"/>
        </w:rPr>
        <w:t>Knjiga sažetaka</w:t>
      </w:r>
      <w:r w:rsidRPr="004E6412">
        <w:rPr>
          <w:sz w:val="20"/>
          <w:szCs w:val="20"/>
        </w:rPr>
        <w:t xml:space="preserve"> „Trećeg hrvatskoga kongresa farmacije s međunarodnim sudjelovanjem“. Zagreb: Farmaceutsko-biokemijski fakultet Sveučilišta u Zagrebu.</w:t>
      </w:r>
    </w:p>
    <w:p w:rsidR="001B41B0" w:rsidRPr="004E6412" w:rsidRDefault="001B41B0" w:rsidP="006A331D">
      <w:pPr>
        <w:numPr>
          <w:ilvl w:val="0"/>
          <w:numId w:val="121"/>
        </w:numPr>
        <w:spacing w:line="240" w:lineRule="auto"/>
        <w:rPr>
          <w:sz w:val="20"/>
          <w:szCs w:val="20"/>
        </w:rPr>
      </w:pPr>
      <w:r w:rsidRPr="004E6412">
        <w:rPr>
          <w:sz w:val="20"/>
          <w:szCs w:val="20"/>
        </w:rPr>
        <w:t xml:space="preserve">Bragg, S. M. (2007) </w:t>
      </w:r>
      <w:r w:rsidRPr="004E6412">
        <w:rPr>
          <w:i/>
          <w:sz w:val="20"/>
          <w:szCs w:val="20"/>
        </w:rPr>
        <w:t>Financial Analysis: A Controller’s Guide</w:t>
      </w:r>
      <w:r w:rsidRPr="004E6412">
        <w:rPr>
          <w:sz w:val="20"/>
          <w:szCs w:val="20"/>
        </w:rPr>
        <w:t>. Drugo izdanje. New Jersey: John Wiley &amp; Sons.</w:t>
      </w:r>
    </w:p>
    <w:p w:rsidR="001B41B0" w:rsidRPr="004E6412" w:rsidRDefault="001B41B0" w:rsidP="006A331D">
      <w:pPr>
        <w:numPr>
          <w:ilvl w:val="0"/>
          <w:numId w:val="121"/>
        </w:numPr>
        <w:spacing w:line="240" w:lineRule="auto"/>
        <w:contextualSpacing/>
        <w:rPr>
          <w:sz w:val="20"/>
          <w:szCs w:val="20"/>
        </w:rPr>
      </w:pPr>
      <w:r w:rsidRPr="004E6412">
        <w:rPr>
          <w:sz w:val="20"/>
          <w:szCs w:val="20"/>
        </w:rPr>
        <w:t>Brenton, P.,  Hoppe, M. (2007) Clothing and Export Diversification: still a route to growth for low income countries? World Bank Policy Research Working Paper 4343.</w:t>
      </w:r>
    </w:p>
    <w:p w:rsidR="001B41B0" w:rsidRPr="004E6412" w:rsidRDefault="001B41B0" w:rsidP="006A331D">
      <w:pPr>
        <w:numPr>
          <w:ilvl w:val="0"/>
          <w:numId w:val="121"/>
        </w:numPr>
        <w:spacing w:line="240" w:lineRule="auto"/>
        <w:rPr>
          <w:sz w:val="20"/>
          <w:szCs w:val="20"/>
        </w:rPr>
      </w:pPr>
      <w:r w:rsidRPr="004E6412">
        <w:rPr>
          <w:sz w:val="20"/>
          <w:szCs w:val="20"/>
        </w:rPr>
        <w:t xml:space="preserve">Business Insights, </w:t>
      </w:r>
      <w:r w:rsidRPr="004E6412">
        <w:rPr>
          <w:i/>
          <w:sz w:val="20"/>
          <w:szCs w:val="20"/>
        </w:rPr>
        <w:t xml:space="preserve">web </w:t>
      </w:r>
      <w:r w:rsidRPr="004E6412">
        <w:rPr>
          <w:sz w:val="20"/>
          <w:szCs w:val="20"/>
        </w:rPr>
        <w:t xml:space="preserve">stranica. Dostupno na: </w:t>
      </w:r>
      <w:r w:rsidRPr="004E6412">
        <w:rPr>
          <w:iCs/>
          <w:sz w:val="20"/>
          <w:szCs w:val="20"/>
        </w:rPr>
        <w:t>www.</w:t>
      </w:r>
      <w:r w:rsidRPr="004E6412">
        <w:rPr>
          <w:bCs/>
          <w:iCs/>
          <w:sz w:val="20"/>
          <w:szCs w:val="20"/>
        </w:rPr>
        <w:t>business</w:t>
      </w:r>
      <w:r w:rsidRPr="004E6412">
        <w:rPr>
          <w:iCs/>
          <w:sz w:val="20"/>
          <w:szCs w:val="20"/>
        </w:rPr>
        <w:t>-</w:t>
      </w:r>
      <w:r w:rsidRPr="004E6412">
        <w:rPr>
          <w:bCs/>
          <w:iCs/>
          <w:sz w:val="20"/>
          <w:szCs w:val="20"/>
        </w:rPr>
        <w:t>insights</w:t>
      </w:r>
      <w:r w:rsidRPr="004E6412">
        <w:rPr>
          <w:iCs/>
          <w:sz w:val="20"/>
          <w:szCs w:val="20"/>
        </w:rPr>
        <w:t>.com</w:t>
      </w:r>
      <w:r w:rsidRPr="004E6412">
        <w:rPr>
          <w:sz w:val="20"/>
          <w:szCs w:val="20"/>
        </w:rPr>
        <w: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Cambridge Econometrics, Danish Technological Institute and IDEA Consult (2010) Spotlight on Europe's „invisible“ sector – The metalworking and metal articles industries. Dostupno na: </w:t>
      </w:r>
      <w:hyperlink r:id="rId113" w:history="1">
        <w:r w:rsidRPr="004E6412">
          <w:rPr>
            <w:sz w:val="20"/>
            <w:szCs w:val="20"/>
          </w:rPr>
          <w:t>http://ec.europa.eu/enterprise/sectors/mechanical/files/metalworking/documentation_pack_en.pdf</w:t>
        </w:r>
      </w:hyperlink>
      <w:r w:rsidRPr="004E6412">
        <w:rPr>
          <w:sz w:val="20"/>
          <w:szCs w:val="20"/>
        </w:rPr>
        <w:t xml:space="preserve"> .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Canis, B., Morrison W. M. (2013) US-Chinese Motor Vehicle Trade: Overview and Issues, Congressional research Service. Dostupno na: </w:t>
      </w:r>
      <w:r w:rsidRPr="004E6412">
        <w:rPr>
          <w:iCs/>
          <w:sz w:val="20"/>
          <w:szCs w:val="20"/>
        </w:rPr>
        <w:t>www.fas.org/sgp/</w:t>
      </w:r>
      <w:r w:rsidRPr="004E6412">
        <w:rPr>
          <w:bCs/>
          <w:iCs/>
          <w:sz w:val="20"/>
          <w:szCs w:val="20"/>
        </w:rPr>
        <w:t>crs</w:t>
      </w:r>
      <w:r w:rsidRPr="004E6412">
        <w:rPr>
          <w:iCs/>
          <w:sz w:val="20"/>
          <w:szCs w:val="20"/>
        </w:rPr>
        <w:t>/row/R43071.pdf</w:t>
      </w:r>
      <w:r w:rsidRPr="004E6412">
        <w:rPr>
          <w:sz w:val="20"/>
          <w:szCs w:val="20"/>
        </w:rPr>
        <w:t>‎ [30.6.2013.].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CARDS 2002 Project, Development of Investment and Business Climate in Croatia. Dostupno na: </w:t>
      </w:r>
      <w:hyperlink r:id="rId114" w:history="1">
        <w:r w:rsidRPr="004E6412">
          <w:rPr>
            <w:sz w:val="20"/>
            <w:szCs w:val="20"/>
          </w:rPr>
          <w:t>http://www.minpo.hr/UserDocsImages/Investment%20Promotion%20and%20Development%20of%20Investment%20Climate%20Act.pdf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Cards 2002 Project: Development of Investment and Business Climate in Croatia. Motor Vehicle Parts and Equipment Manufacture – Industry Analysis,. Dostupno na: </w:t>
      </w:r>
      <w:r w:rsidRPr="004E6412">
        <w:rPr>
          <w:iCs/>
          <w:sz w:val="20"/>
          <w:szCs w:val="20"/>
        </w:rPr>
        <w:t>kenny2.bnet.hr/...hr/.../</w:t>
      </w:r>
      <w:r w:rsidRPr="004E6412">
        <w:rPr>
          <w:bCs/>
          <w:iCs/>
          <w:sz w:val="20"/>
          <w:szCs w:val="20"/>
        </w:rPr>
        <w:t>CAR</w:t>
      </w:r>
      <w:r w:rsidRPr="004E6412">
        <w:rPr>
          <w:iCs/>
          <w:sz w:val="20"/>
          <w:szCs w:val="20"/>
        </w:rPr>
        <w:t>DSanalize24052006/Auto</w:t>
      </w:r>
      <w:r w:rsidRPr="004E6412">
        <w:rPr>
          <w:bCs/>
          <w:iCs/>
          <w:sz w:val="20"/>
          <w:szCs w:val="20"/>
        </w:rPr>
        <w:t>parts</w:t>
      </w:r>
      <w:r w:rsidRPr="004E6412">
        <w:rPr>
          <w:iCs/>
          <w:sz w:val="20"/>
          <w:szCs w:val="20"/>
        </w:rPr>
        <w:t xml:space="preserve">-%20ENG.pdf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Cefic Chemdata International (2012) Fact and figures. Dostupno na: </w:t>
      </w:r>
      <w:hyperlink r:id="rId115" w:history="1">
        <w:r w:rsidRPr="004E6412">
          <w:rPr>
            <w:sz w:val="20"/>
            <w:szCs w:val="20"/>
          </w:rPr>
          <w:t>http://www.cefic.org/Documents/FactsAndFigures/2012/Facts-and-Figures-2012-The-Leaflet.pdf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Center for European Policy Studies (2013) Assessment of Cumulative Cost Impact for the Steel Industry – Final Report. CEPS.</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Center for Lean Logistics and Engineered Systems (2009) Benchmarking Analysis for the Motor vehicle Industry, University of North Carolina. Dostupno na: </w:t>
      </w:r>
      <w:hyperlink r:id="rId116" w:history="1">
        <w:r w:rsidRPr="004E6412">
          <w:rPr>
            <w:sz w:val="20"/>
            <w:szCs w:val="20"/>
          </w:rPr>
          <w:t>http://www.4noboundaries.org/documents/MV_Project-BenchmarkingReport-062309.pdf</w:t>
        </w:r>
      </w:hyperlink>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CEPI Confederation of European Paper Industry (2011) Key Statistics 2010, European Pulp and Paper Industry. Dostupno na: </w:t>
      </w:r>
      <w:hyperlink r:id="rId117" w:history="1">
        <w:r w:rsidRPr="004E6412">
          <w:rPr>
            <w:sz w:val="20"/>
            <w:szCs w:val="20"/>
          </w:rPr>
          <w:t>http://www.cepi.org/system/files/public/documents/publications/statistics/2010%20Key%20Statistics%20FINAL.pdf</w:t>
        </w:r>
      </w:hyperlink>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CFA Institute (2011) Financial Reporting and Analysis Level I. </w:t>
      </w:r>
      <w:r w:rsidRPr="004E6412">
        <w:rPr>
          <w:sz w:val="20"/>
          <w:szCs w:val="20"/>
          <w:shd w:val="clear" w:color="auto" w:fill="FFFFFF"/>
        </w:rPr>
        <w:t xml:space="preserve">CFA Institute Learning Solutions. Dostupno na: </w:t>
      </w:r>
      <w:hyperlink r:id="rId118" w:history="1">
        <w:r w:rsidRPr="004E6412">
          <w:rPr>
            <w:sz w:val="20"/>
            <w:szCs w:val="20"/>
          </w:rPr>
          <w:t>http://www.amazon.com/Financial-Reporting-Analysis-Program-curriculum/dp/0558521835</w:t>
        </w:r>
      </w:hyperlink>
      <w:r w:rsidRPr="004E6412">
        <w:rPr>
          <w:sz w:val="20"/>
          <w:szCs w:val="20"/>
        </w:rPr>
        <w:t xml:space="preserve"> [08.08.2013.]</w:t>
      </w:r>
    </w:p>
    <w:p w:rsidR="001B41B0" w:rsidRPr="004E6412" w:rsidRDefault="001B41B0" w:rsidP="006A331D">
      <w:pPr>
        <w:numPr>
          <w:ilvl w:val="0"/>
          <w:numId w:val="121"/>
        </w:numPr>
        <w:spacing w:line="240" w:lineRule="auto"/>
        <w:rPr>
          <w:sz w:val="20"/>
          <w:szCs w:val="20"/>
        </w:rPr>
      </w:pPr>
      <w:r w:rsidRPr="004E6412">
        <w:rPr>
          <w:sz w:val="20"/>
          <w:szCs w:val="20"/>
        </w:rPr>
        <w:lastRenderedPageBreak/>
        <w:t>CheckPoint Systems,  Inc. The Apparel Industry’s New Reality. Dostupno na: http://www.checkpointsystems.com/~/media/Files/WhitePapersandStudies/TheApparIndustrysNewReality_CKPWhitePaper.ashx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Clarkson Research Services Limited (2013) Shipbuilding Market Overview. Dostupno na: </w:t>
      </w:r>
      <w:r w:rsidRPr="004E6412">
        <w:rPr>
          <w:iCs/>
          <w:sz w:val="20"/>
          <w:szCs w:val="20"/>
        </w:rPr>
        <w:t>www.clarksons.net/sin2010/papers/Export.aspx?uid=52</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Clean Tech. </w:t>
      </w:r>
      <w:hyperlink r:id="rId119" w:history="1">
        <w:r w:rsidRPr="004E6412">
          <w:rPr>
            <w:sz w:val="20"/>
            <w:szCs w:val="20"/>
          </w:rPr>
          <w:t xml:space="preserve">Wind turbine manufacturers - global market shares. </w:t>
        </w:r>
      </w:hyperlink>
      <w:r w:rsidRPr="004E6412">
        <w:rPr>
          <w:sz w:val="20"/>
          <w:szCs w:val="20"/>
        </w:rPr>
        <w:t>Dostupno na: http://www.cleantechinvestor.com/portal/wind-energy/10502-wind-turbine-manufacturers-global-market-shares.html[30.7.2013.].</w:t>
      </w:r>
    </w:p>
    <w:p w:rsidR="001B41B0" w:rsidRPr="004E6412" w:rsidRDefault="001B41B0" w:rsidP="006A331D">
      <w:pPr>
        <w:numPr>
          <w:ilvl w:val="0"/>
          <w:numId w:val="121"/>
        </w:numPr>
        <w:spacing w:line="240" w:lineRule="auto"/>
        <w:rPr>
          <w:sz w:val="20"/>
          <w:szCs w:val="20"/>
        </w:rPr>
      </w:pPr>
      <w:r w:rsidRPr="004E6412">
        <w:rPr>
          <w:sz w:val="20"/>
          <w:szCs w:val="20"/>
        </w:rPr>
        <w:t xml:space="preserve">Coke Market Survey (2001) Annual survey. Dostupno na:  </w:t>
      </w:r>
      <w:hyperlink r:id="rId120" w:history="1">
        <w:r w:rsidRPr="004E6412">
          <w:rPr>
            <w:sz w:val="20"/>
            <w:szCs w:val="20"/>
          </w:rPr>
          <w:t>www.</w:t>
        </w:r>
        <w:r w:rsidRPr="004E6412">
          <w:rPr>
            <w:bCs/>
            <w:sz w:val="20"/>
            <w:szCs w:val="20"/>
          </w:rPr>
          <w:t>resource</w:t>
        </w:r>
        <w:r w:rsidRPr="004E6412">
          <w:rPr>
            <w:sz w:val="20"/>
            <w:szCs w:val="20"/>
          </w:rPr>
          <w:t>-</w:t>
        </w:r>
        <w:r w:rsidRPr="004E6412">
          <w:rPr>
            <w:bCs/>
            <w:sz w:val="20"/>
            <w:szCs w:val="20"/>
          </w:rPr>
          <w:t>net</w:t>
        </w:r>
        <w:r w:rsidRPr="004E6412">
          <w:rPr>
            <w:sz w:val="20"/>
            <w:szCs w:val="20"/>
          </w:rPr>
          <w:t>.com/files/Sample_Pages.pdf</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Communities domainate brands. Dostupno na: </w:t>
      </w:r>
      <w:hyperlink r:id="rId121" w:history="1">
        <w:r w:rsidRPr="004E6412">
          <w:rPr>
            <w:sz w:val="20"/>
            <w:szCs w:val="20"/>
          </w:rPr>
          <w:t>http://communities-dominate.blogs.com/brands/2013/02/worlds-biggest-computer-makers-when-pcs-tablets-and-smartphones-are-included.html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COST office (2009) Benefitting from the digital revolution. Workshop of food security. Dostupno na: </w:t>
      </w:r>
      <w:hyperlink r:id="rId122" w:history="1">
        <w:r w:rsidRPr="004E6412">
          <w:rPr>
            <w:sz w:val="20"/>
            <w:szCs w:val="20"/>
          </w:rPr>
          <w:t>http://www.cost.eu/download/Foresight2030_FoodSecurity_Report</w:t>
        </w:r>
      </w:hyperlink>
      <w:r w:rsidRPr="004E6412">
        <w:rPr>
          <w:sz w:val="20"/>
          <w:szCs w:val="20"/>
        </w:rPr>
        <w:t xml:space="preserve"> ‎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Cöster, M. (2007) </w:t>
      </w:r>
      <w:r w:rsidRPr="004E6412">
        <w:rPr>
          <w:i/>
          <w:sz w:val="20"/>
          <w:szCs w:val="20"/>
        </w:rPr>
        <w:t>The Digital transformation of the Swedish Graphic Industry</w:t>
      </w:r>
      <w:r w:rsidRPr="004E6412">
        <w:rPr>
          <w:sz w:val="20"/>
          <w:szCs w:val="20"/>
        </w:rPr>
        <w:t>. PhD Thesis. Linköping Studies in Science and Technology. Linköping.</w:t>
      </w:r>
    </w:p>
    <w:p w:rsidR="001B41B0" w:rsidRPr="004E6412" w:rsidRDefault="001B41B0" w:rsidP="006A331D">
      <w:pPr>
        <w:numPr>
          <w:ilvl w:val="0"/>
          <w:numId w:val="121"/>
        </w:numPr>
        <w:spacing w:line="240" w:lineRule="auto"/>
        <w:rPr>
          <w:sz w:val="20"/>
          <w:szCs w:val="20"/>
        </w:rPr>
      </w:pPr>
      <w:r w:rsidRPr="004E6412">
        <w:rPr>
          <w:sz w:val="20"/>
          <w:szCs w:val="20"/>
        </w:rPr>
        <w:t>Cotance i Industriall (2012) Social and environmental report. The European leather industry. Dostupno na: http://cotance.com/socialreporting/SER/EuropeanSocialandEnvironmentalReport2012.pdf [1.7.2013.].</w:t>
      </w:r>
    </w:p>
    <w:p w:rsidR="001B41B0" w:rsidRPr="004E6412" w:rsidRDefault="001B41B0" w:rsidP="006A331D">
      <w:pPr>
        <w:numPr>
          <w:ilvl w:val="0"/>
          <w:numId w:val="121"/>
        </w:numPr>
        <w:spacing w:line="240" w:lineRule="auto"/>
        <w:rPr>
          <w:sz w:val="20"/>
          <w:szCs w:val="20"/>
        </w:rPr>
      </w:pPr>
      <w:r w:rsidRPr="004E6412">
        <w:rPr>
          <w:sz w:val="20"/>
          <w:szCs w:val="20"/>
        </w:rPr>
        <w:t>Council for leather exports (2010) Leather industry March to 2020. Dostupno na: http://www.iltaonleather.org/event/aiclst/aiclst_presentation/session_1/dr_a_a_khan.pdf [1.7.2013.].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Current Partnering. To 50 Pharma. Dostupno na: </w:t>
      </w:r>
      <w:hyperlink r:id="rId123" w:history="1">
        <w:r w:rsidRPr="004E6412">
          <w:rPr>
            <w:sz w:val="20"/>
            <w:szCs w:val="20"/>
          </w:rPr>
          <w:t>http://www.currentpartnering.com/insight/top-50-pharma/</w:t>
        </w:r>
      </w:hyperlink>
      <w:r w:rsidRPr="004E6412">
        <w:rPr>
          <w:sz w:val="20"/>
          <w:szCs w:val="20"/>
        </w:rPr>
        <w:t xml:space="preserve"> [22.6.2013.].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Datamonitor, </w:t>
      </w:r>
      <w:r w:rsidRPr="004E6412">
        <w:rPr>
          <w:i/>
          <w:sz w:val="20"/>
          <w:szCs w:val="20"/>
        </w:rPr>
        <w:t>web</w:t>
      </w:r>
      <w:r w:rsidRPr="004E6412">
        <w:rPr>
          <w:sz w:val="20"/>
          <w:szCs w:val="20"/>
        </w:rPr>
        <w:t xml:space="preserve"> stranica. Dostupno na: www.</w:t>
      </w:r>
      <w:r w:rsidRPr="004E6412">
        <w:rPr>
          <w:bCs/>
          <w:sz w:val="20"/>
          <w:szCs w:val="20"/>
        </w:rPr>
        <w:t>datamonitor</w:t>
      </w:r>
      <w:r w:rsidRPr="004E6412">
        <w:rPr>
          <w:sz w:val="20"/>
          <w:szCs w:val="20"/>
        </w:rPr>
        <w:t>.com/‎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Davis, R.H., Gleeson, E. (2013) Charting a Path for 2013-2014: A special Report, Printing Industries of America. Dostupno na: </w:t>
      </w:r>
      <w:hyperlink r:id="rId124" w:history="1">
        <w:r w:rsidRPr="004E6412">
          <w:rPr>
            <w:sz w:val="20"/>
            <w:szCs w:val="20"/>
          </w:rPr>
          <w:t>http://www.flprint.org/www.flprint.org/Benefits_Resources_files/Charting_a_Path_2013-14.pdf</w:t>
        </w:r>
      </w:hyperlink>
      <w:r w:rsidRPr="004E6412">
        <w:rPr>
          <w:sz w:val="20"/>
          <w:szCs w:val="20"/>
        </w:rPr>
        <w:t>. [27.7.2013.].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Maack, L., Lantz, F. (2012) Petroleum products prices behavior and demand trends: an econometric analysis.</w:t>
      </w:r>
      <w:r w:rsidRPr="004E6412">
        <w:rPr>
          <w:bCs/>
          <w:sz w:val="20"/>
          <w:szCs w:val="20"/>
        </w:rPr>
        <w:t xml:space="preserve"> Dostupno na: </w:t>
      </w:r>
      <w:hyperlink r:id="rId125" w:history="1">
        <w:r w:rsidRPr="004E6412">
          <w:rPr>
            <w:sz w:val="20"/>
            <w:szCs w:val="20"/>
          </w:rPr>
          <w:t>http://www.usaee.org/usaee2012/submissions/OnlineProceedings/7205deMaackLantz_USAEE2012.pdf</w:t>
        </w:r>
      </w:hyperlink>
      <w:r w:rsidRPr="004E6412">
        <w:rPr>
          <w:sz w:val="20"/>
          <w:szCs w:val="20"/>
        </w:rPr>
        <w:t>. [27.6.2013.].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Noose, A. M. (2010) Current Economic Situation of the European Printing Industry.</w:t>
      </w:r>
      <w:r w:rsidRPr="004E6412">
        <w:rPr>
          <w:b/>
          <w:sz w:val="20"/>
          <w:szCs w:val="20"/>
        </w:rPr>
        <w:t xml:space="preserve"> </w:t>
      </w:r>
      <w:r w:rsidRPr="004E6412">
        <w:rPr>
          <w:sz w:val="20"/>
          <w:szCs w:val="20"/>
        </w:rPr>
        <w:t>U : European Communities (2007) Competitiveness oft he Eurpean Graphic Industry. Brussels: European Commision.</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Prato, G., Simon, J.P. (2011) The Book Industry. Joint Research Centre, European Commission.</w:t>
      </w:r>
      <w:r w:rsidRPr="004E6412">
        <w:rPr>
          <w:iCs/>
          <w:sz w:val="20"/>
          <w:szCs w:val="20"/>
        </w:rPr>
        <w:t xml:space="preserve"> Dostupno na: is.jrc.ec.europa.</w:t>
      </w:r>
      <w:r w:rsidRPr="004E6412">
        <w:rPr>
          <w:bCs/>
          <w:iCs/>
          <w:sz w:val="20"/>
          <w:szCs w:val="20"/>
        </w:rPr>
        <w:t>eu</w:t>
      </w:r>
      <w:r w:rsidRPr="004E6412">
        <w:rPr>
          <w:iCs/>
          <w:sz w:val="20"/>
          <w:szCs w:val="20"/>
        </w:rPr>
        <w:t>/pages/ISG/.../09.GDepratoMCI271111</w:t>
      </w:r>
      <w:r w:rsidRPr="004E6412">
        <w:rPr>
          <w:bCs/>
          <w:iCs/>
          <w:sz w:val="20"/>
          <w:szCs w:val="20"/>
        </w:rPr>
        <w:t>book</w:t>
      </w:r>
      <w:r w:rsidRPr="004E6412">
        <w:rPr>
          <w:iCs/>
          <w:sz w:val="20"/>
          <w:szCs w:val="20"/>
        </w:rPr>
        <w:t>v32.pdf</w:t>
      </w:r>
      <w:r w:rsidRPr="004E6412">
        <w:rPr>
          <w:sz w:val="20"/>
          <w:szCs w:val="20"/>
        </w:rPr>
        <w:t>‎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Delloite (2008) Food and beverage 2012. Dostupno na: https://www.deloitte.com/assets/DcomRussia/Local%20Assets/Documents/Foodandbeverage202012._web.pdf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Deloitte (2012) Motor Industry Services.  Industry Overview. Dostupno na: http://www.deloitte.com/assets/DcomAustralia/Local%20Assets/Documents/Services/Deloitte%20Private/Deloitte_Motor_Industry_Services_Industry_Overview_2012.pdf. [21.6.2013.].</w:t>
      </w:r>
    </w:p>
    <w:p w:rsidR="001B41B0" w:rsidRPr="004E6412" w:rsidRDefault="001B41B0" w:rsidP="006A331D">
      <w:pPr>
        <w:numPr>
          <w:ilvl w:val="0"/>
          <w:numId w:val="121"/>
        </w:numPr>
        <w:spacing w:line="240" w:lineRule="auto"/>
        <w:rPr>
          <w:sz w:val="20"/>
          <w:szCs w:val="20"/>
        </w:rPr>
      </w:pPr>
      <w:r w:rsidRPr="004E6412">
        <w:rPr>
          <w:sz w:val="20"/>
          <w:szCs w:val="20"/>
        </w:rPr>
        <w:t>Department of Economic and Social Affairs of the United Nations. Population Division of the Secreteriat (2012) World Population Prospects: The 2012 Revision. Dostupno na: http://esa.un.org/wpp/Excel-Data/population.htm [21.6.2013.].</w:t>
      </w:r>
    </w:p>
    <w:p w:rsidR="001B41B0" w:rsidRPr="004E6412" w:rsidRDefault="001B41B0" w:rsidP="006A331D">
      <w:pPr>
        <w:numPr>
          <w:ilvl w:val="0"/>
          <w:numId w:val="121"/>
        </w:numPr>
        <w:spacing w:line="240" w:lineRule="auto"/>
        <w:contextualSpacing/>
        <w:rPr>
          <w:sz w:val="20"/>
          <w:szCs w:val="20"/>
        </w:rPr>
      </w:pPr>
      <w:r w:rsidRPr="004E6412">
        <w:rPr>
          <w:sz w:val="20"/>
          <w:szCs w:val="20"/>
        </w:rPr>
        <w:t>Drinktec (2012) How consumer trends are shaping global beverage market. Dostupno na: http://www.beverageworld.com/userfiles/documents/Drinktec_whitepaper_FINALOct2012.pdf [30.6.2013.]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Dry Ships. Inc, web stranica. Dostupno na: </w:t>
      </w:r>
      <w:hyperlink r:id="rId126" w:history="1">
        <w:r w:rsidRPr="004E6412">
          <w:rPr>
            <w:sz w:val="20"/>
            <w:szCs w:val="20"/>
          </w:rPr>
          <w:t>http://www.dryships.com</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Državni zavod za statistiku (2013) Mjesečno statističko izvješće 5/2013. Dostupno na: </w:t>
      </w:r>
      <w:hyperlink r:id="rId127" w:history="1">
        <w:r w:rsidRPr="004E6412">
          <w:rPr>
            <w:sz w:val="20"/>
            <w:szCs w:val="20"/>
          </w:rPr>
          <w:t>www.dzs.hr/Hrv_Eng/msi/2013/msi-2013_02.pdf</w:t>
        </w:r>
      </w:hyperlink>
      <w:r w:rsidRPr="004E6412">
        <w:rPr>
          <w:sz w:val="20"/>
          <w:szCs w:val="20"/>
        </w:rPr>
        <w:t xml:space="preserve">  [27.7.2013.].</w:t>
      </w:r>
    </w:p>
    <w:p w:rsidR="001B41B0" w:rsidRPr="004E6412" w:rsidRDefault="001B41B0" w:rsidP="006A331D">
      <w:pPr>
        <w:numPr>
          <w:ilvl w:val="0"/>
          <w:numId w:val="121"/>
        </w:numPr>
        <w:spacing w:line="240" w:lineRule="auto"/>
        <w:rPr>
          <w:sz w:val="20"/>
          <w:szCs w:val="20"/>
        </w:rPr>
      </w:pPr>
      <w:r w:rsidRPr="004E6412">
        <w:rPr>
          <w:sz w:val="20"/>
          <w:szCs w:val="20"/>
        </w:rPr>
        <w:t>Državni zavod za statistiku. Dostupno na: http://www.dzs.hr/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Dunford, M. (2001) The changing profile and map of the EU textile and clothing industry. Dostupno na:  </w:t>
      </w:r>
      <w:hyperlink r:id="rId128" w:history="1">
        <w:r w:rsidRPr="004E6412">
          <w:rPr>
            <w:iCs/>
            <w:sz w:val="20"/>
            <w:szCs w:val="20"/>
          </w:rPr>
          <w:t>www.sussex.ac.uk/geography/documents/02-t.pdf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EBB (2013) The Shipbuilding Market in 2012 - annual review. Dostupno na: </w:t>
      </w:r>
      <w:r w:rsidRPr="004E6412">
        <w:rPr>
          <w:iCs/>
          <w:sz w:val="20"/>
          <w:szCs w:val="20"/>
        </w:rPr>
        <w:t>www.brs-paris.com/</w:t>
      </w:r>
      <w:r w:rsidRPr="004E6412">
        <w:rPr>
          <w:bCs/>
          <w:iCs/>
          <w:sz w:val="20"/>
          <w:szCs w:val="20"/>
        </w:rPr>
        <w:t>annual</w:t>
      </w:r>
      <w:r w:rsidRPr="004E6412">
        <w:rPr>
          <w:iCs/>
          <w:sz w:val="20"/>
          <w:szCs w:val="20"/>
        </w:rPr>
        <w:t>/</w:t>
      </w:r>
      <w:r w:rsidRPr="004E6412">
        <w:rPr>
          <w:bCs/>
          <w:iCs/>
          <w:sz w:val="20"/>
          <w:szCs w:val="20"/>
        </w:rPr>
        <w:t>annual</w:t>
      </w:r>
      <w:r w:rsidRPr="004E6412">
        <w:rPr>
          <w:iCs/>
          <w:sz w:val="20"/>
          <w:szCs w:val="20"/>
        </w:rPr>
        <w:t>-2013/pdf/02-newbuilding-a.pdf</w:t>
      </w:r>
      <w:r w:rsidRPr="004E6412">
        <w:rPr>
          <w:sz w:val="20"/>
          <w:szCs w:val="20"/>
        </w:rPr>
        <w:t>‎‎ [28.6.2013.].</w:t>
      </w:r>
    </w:p>
    <w:p w:rsidR="001B41B0" w:rsidRPr="004E6412" w:rsidRDefault="001B41B0" w:rsidP="006A331D">
      <w:pPr>
        <w:numPr>
          <w:ilvl w:val="0"/>
          <w:numId w:val="121"/>
        </w:numPr>
        <w:spacing w:line="240" w:lineRule="auto"/>
        <w:rPr>
          <w:sz w:val="20"/>
          <w:szCs w:val="20"/>
        </w:rPr>
      </w:pPr>
      <w:r w:rsidRPr="004E6412">
        <w:rPr>
          <w:sz w:val="20"/>
          <w:szCs w:val="20"/>
        </w:rPr>
        <w:lastRenderedPageBreak/>
        <w:t xml:space="preserve">ECLAC Subregional Headquarters in Mexico (2011) The Mexican film industry and its participation in the global value chain. Dostupno na: </w:t>
      </w:r>
      <w:hyperlink r:id="rId129"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Ecofys and Fraunhofer Institute for Systems and Innovation Research (2009) Methodology for the Free Allocation of Emission Allowances in the EU ETS post 2012 – Sector Report for the Iron and Steel Industry. Dostupno na: </w:t>
      </w:r>
      <w:hyperlink r:id="rId130" w:history="1">
        <w:r w:rsidRPr="004E6412">
          <w:rPr>
            <w:sz w:val="20"/>
            <w:szCs w:val="20"/>
          </w:rPr>
          <w:t>http://ec.europa.eu/clima/policies/ets/cap/allocation/docs/bm_study-lime_en.pdf</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Economy Watch (2010) World Steel Industry. Dostupno na: </w:t>
      </w:r>
      <w:hyperlink r:id="rId131" w:history="1">
        <w:r w:rsidRPr="004E6412">
          <w:rPr>
            <w:sz w:val="20"/>
            <w:szCs w:val="20"/>
          </w:rPr>
          <w:t>http://www.economywatch.com/world-industries/steel-industry/</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Ecorys Research and Consulting (2008) Study on the Competitiveness of the European Steel Sector.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Ecorys Scs Group (2009) Study on Competitiveness of the European Shipbuilding Industry.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 xml:space="preserve">Ecorys Scs Group (2012) Green growth opportunities in the EU shipbuilding sector. Final Report, European Commission Project. </w:t>
      </w:r>
    </w:p>
    <w:p w:rsidR="001B41B0" w:rsidRPr="004E6412" w:rsidRDefault="001B41B0" w:rsidP="006A331D">
      <w:pPr>
        <w:numPr>
          <w:ilvl w:val="0"/>
          <w:numId w:val="121"/>
        </w:numPr>
        <w:spacing w:line="240" w:lineRule="auto"/>
        <w:rPr>
          <w:sz w:val="20"/>
          <w:szCs w:val="20"/>
        </w:rPr>
      </w:pPr>
      <w:r w:rsidRPr="004E6412">
        <w:rPr>
          <w:sz w:val="20"/>
          <w:szCs w:val="20"/>
        </w:rPr>
        <w:t xml:space="preserve">Eenpact (2009) the leather industry. Dostupno na: </w:t>
      </w:r>
      <w:hyperlink r:id="rId132" w:history="1">
        <w:r w:rsidRPr="004E6412">
          <w:rPr>
            <w:sz w:val="20"/>
            <w:szCs w:val="20"/>
          </w:rPr>
          <w:t>http://www.eenpact.eu/hu/system/files/documents/Leather%20Global%20UCV.pdf</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Ekonomski institut (2007) Strateške odrednice razvoja industrije tekstila i odjeće u Hrvatskoj za razdoblje od  2006.-2015. Zagreb.</w:t>
      </w:r>
    </w:p>
    <w:p w:rsidR="001B41B0" w:rsidRPr="004E6412" w:rsidRDefault="001B41B0" w:rsidP="006A331D">
      <w:pPr>
        <w:numPr>
          <w:ilvl w:val="0"/>
          <w:numId w:val="121"/>
        </w:numPr>
        <w:spacing w:line="240" w:lineRule="auto"/>
        <w:rPr>
          <w:sz w:val="20"/>
          <w:szCs w:val="20"/>
        </w:rPr>
      </w:pPr>
      <w:r w:rsidRPr="004E6412">
        <w:rPr>
          <w:sz w:val="20"/>
          <w:szCs w:val="20"/>
        </w:rPr>
        <w:t xml:space="preserve">Ekonomski institut Zagreb (2013) Farmaceutska industrija, </w:t>
      </w:r>
      <w:r w:rsidRPr="004E6412">
        <w:rPr>
          <w:i/>
          <w:sz w:val="20"/>
          <w:szCs w:val="20"/>
        </w:rPr>
        <w:t>Sektorske analize</w:t>
      </w:r>
      <w:r w:rsidRPr="004E6412">
        <w:rPr>
          <w:sz w:val="20"/>
          <w:szCs w:val="20"/>
        </w:rPr>
        <w:t xml:space="preserve">, br. 18.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EnergyKorea (2012) Korea’s Shipbuilding Industry Seen to Keep Top Position in the World Market. Dostupno na: </w:t>
      </w:r>
      <w:hyperlink r:id="rId133" w:history="1">
        <w:r w:rsidRPr="004E6412">
          <w:rPr>
            <w:sz w:val="20"/>
            <w:szCs w:val="20"/>
          </w:rPr>
          <w:t>http://energy.korea.com/archives/42677</w:t>
        </w:r>
      </w:hyperlink>
      <w:r w:rsidRPr="004E6412">
        <w:rPr>
          <w:sz w:val="20"/>
          <w:szCs w:val="20"/>
        </w:rPr>
        <w:t xml:space="preserve"> [30.6.2013.].</w:t>
      </w:r>
      <w:r w:rsidRPr="004E6412">
        <w:rPr>
          <w:bCs/>
          <w:sz w:val="20"/>
          <w:szCs w:val="20"/>
        </w:rPr>
        <w:t xml:space="preserve"> </w:t>
      </w:r>
    </w:p>
    <w:p w:rsidR="001B41B0" w:rsidRPr="004E6412" w:rsidRDefault="001B41B0" w:rsidP="006A331D">
      <w:pPr>
        <w:numPr>
          <w:ilvl w:val="0"/>
          <w:numId w:val="121"/>
        </w:numPr>
        <w:spacing w:line="240" w:lineRule="auto"/>
        <w:rPr>
          <w:sz w:val="20"/>
          <w:szCs w:val="20"/>
        </w:rPr>
      </w:pPr>
      <w:r w:rsidRPr="004E6412">
        <w:rPr>
          <w:bCs/>
          <w:sz w:val="20"/>
          <w:szCs w:val="20"/>
        </w:rPr>
        <w:t xml:space="preserve">EPA Office of Compliance Sector Notebook Project </w:t>
      </w:r>
      <w:r w:rsidRPr="004E6412">
        <w:rPr>
          <w:sz w:val="20"/>
          <w:szCs w:val="20"/>
        </w:rPr>
        <w:t xml:space="preserve">(2005) </w:t>
      </w:r>
      <w:r w:rsidRPr="004E6412">
        <w:rPr>
          <w:bCs/>
          <w:sz w:val="20"/>
          <w:szCs w:val="20"/>
        </w:rPr>
        <w:t xml:space="preserve">Profile of The Rubber And Plastics Industry. Dostupno na: </w:t>
      </w:r>
      <w:hyperlink r:id="rId134" w:history="1">
        <w:r w:rsidRPr="004E6412">
          <w:rPr>
            <w:iCs/>
            <w:sz w:val="20"/>
            <w:szCs w:val="20"/>
          </w:rPr>
          <w:t>www.</w:t>
        </w:r>
        <w:r w:rsidRPr="004E6412">
          <w:rPr>
            <w:bCs/>
            <w:iCs/>
            <w:sz w:val="20"/>
            <w:szCs w:val="20"/>
          </w:rPr>
          <w:t>epa</w:t>
        </w:r>
        <w:r w:rsidRPr="004E6412">
          <w:rPr>
            <w:iCs/>
            <w:sz w:val="20"/>
            <w:szCs w:val="20"/>
          </w:rPr>
          <w:t>.gov/</w:t>
        </w:r>
        <w:r w:rsidRPr="004E6412">
          <w:rPr>
            <w:bCs/>
            <w:iCs/>
            <w:sz w:val="20"/>
            <w:szCs w:val="20"/>
          </w:rPr>
          <w:t>compliance</w:t>
        </w:r>
        <w:r w:rsidRPr="004E6412">
          <w:rPr>
            <w:iCs/>
            <w:sz w:val="20"/>
            <w:szCs w:val="20"/>
          </w:rPr>
          <w:t>/resources/.../</w:t>
        </w:r>
        <w:r w:rsidRPr="004E6412">
          <w:rPr>
            <w:bCs/>
            <w:iCs/>
            <w:sz w:val="20"/>
            <w:szCs w:val="20"/>
          </w:rPr>
          <w:t>sectors</w:t>
        </w:r>
        <w:r w:rsidRPr="004E6412">
          <w:rPr>
            <w:iCs/>
            <w:sz w:val="20"/>
            <w:szCs w:val="20"/>
          </w:rPr>
          <w:t>/</w:t>
        </w:r>
        <w:r w:rsidRPr="004E6412">
          <w:rPr>
            <w:bCs/>
            <w:iCs/>
            <w:sz w:val="20"/>
            <w:szCs w:val="20"/>
          </w:rPr>
          <w:t>notebooks</w:t>
        </w:r>
        <w:r w:rsidRPr="004E6412">
          <w:rPr>
            <w:iCs/>
            <w:sz w:val="20"/>
            <w:szCs w:val="20"/>
          </w:rPr>
          <w:t>/rubplasn.pdf</w:t>
        </w:r>
      </w:hyperlink>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Equity Master (2012) Steel Sector Analysis Report. Dostupno na: </w:t>
      </w:r>
      <w:hyperlink r:id="rId135" w:history="1">
        <w:r w:rsidRPr="004E6412">
          <w:rPr>
            <w:sz w:val="20"/>
            <w:szCs w:val="20"/>
          </w:rPr>
          <w:t>http://www.equitymaster.com/research-it/sector-info/steel/Steel-Sector-Analysis-Report.asp</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Ericsson Nikola Tesla. Podaci o kompaniji. Dostupno na: </w:t>
      </w:r>
      <w:hyperlink r:id="rId136" w:history="1">
        <w:r w:rsidRPr="004E6412">
          <w:rPr>
            <w:sz w:val="20"/>
            <w:szCs w:val="20"/>
          </w:rPr>
          <w:t>http://www.ericsson.com/hr/etk/index.shtml</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Ernst&amp;Young (2013) Global Steel 2013 – A New World, A New Strategy. Dostupno na. </w:t>
      </w:r>
      <w:hyperlink r:id="rId137" w:history="1">
        <w:r w:rsidRPr="004E6412">
          <w:rPr>
            <w:sz w:val="20"/>
            <w:szCs w:val="20"/>
          </w:rPr>
          <w:t>http://www.ey.com/Publication/vwLUAssets/Global-Steel-Report-2013/$FILE/Global-Steel-Report-2013_ER0046.pdf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Erst&amp;Young (2012.) Thirst for growth. Dostupno na: http://www.ey.com/Publication/vwLUAssets/Beverage_industry_growth_opportunities_new/$FILE/Beverage_Capability_Statement.pdf [30.6.2013.].</w:t>
      </w:r>
    </w:p>
    <w:p w:rsidR="001B41B0" w:rsidRPr="004E6412" w:rsidRDefault="001B41B0" w:rsidP="006A331D">
      <w:pPr>
        <w:numPr>
          <w:ilvl w:val="0"/>
          <w:numId w:val="121"/>
        </w:numPr>
        <w:spacing w:line="240" w:lineRule="auto"/>
        <w:rPr>
          <w:sz w:val="20"/>
          <w:szCs w:val="20"/>
        </w:rPr>
      </w:pPr>
      <w:r w:rsidRPr="004E6412">
        <w:rPr>
          <w:sz w:val="20"/>
          <w:szCs w:val="20"/>
        </w:rPr>
        <w:t>Euratex (2012) Annual report 2012. Dostupno na: http://www.euratex.eu/index.php?id=191&amp;tx_ttnews%5Btt_news%5D=3921&amp;cHash=7af36986d16d6dc65e1a1c31f813a946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European Commission (2006)  Wine: Economy of the Sector. Working Paper. Dostupno na: http://ec.europa.eu/agriculture/markets/wine/studies/rep_econ2006_en.pdf [27.6.2013.].</w:t>
      </w:r>
    </w:p>
    <w:p w:rsidR="001B41B0" w:rsidRPr="004E6412" w:rsidRDefault="001B41B0" w:rsidP="006A331D">
      <w:pPr>
        <w:numPr>
          <w:ilvl w:val="0"/>
          <w:numId w:val="121"/>
        </w:numPr>
        <w:spacing w:line="240" w:lineRule="auto"/>
        <w:rPr>
          <w:sz w:val="20"/>
          <w:szCs w:val="20"/>
        </w:rPr>
      </w:pPr>
      <w:r w:rsidRPr="004E6412">
        <w:rPr>
          <w:sz w:val="20"/>
          <w:szCs w:val="20"/>
        </w:rPr>
        <w:t>European Commission (2007) Chemicals, pharmaceuticals, rubber &amp; plastic products - Comprehensive sectoral analysis of emerging competences and economic activities in the European Union. Dostupno na: ec.europa.</w:t>
      </w:r>
      <w:r w:rsidRPr="004E6412">
        <w:rPr>
          <w:bCs/>
          <w:sz w:val="20"/>
          <w:szCs w:val="20"/>
        </w:rPr>
        <w:t>eu</w:t>
      </w:r>
      <w:r w:rsidRPr="004E6412">
        <w:rPr>
          <w:sz w:val="20"/>
          <w:szCs w:val="20"/>
        </w:rPr>
        <w:t>/social/BlobServlet?docId=4136&amp;langId=en‎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Competittivnes of the European Graphic Industry: prospects for the EU printing sector to respond to its structural and technological challenges. Dostupno na: </w:t>
      </w:r>
      <w:r w:rsidRPr="004E6412">
        <w:rPr>
          <w:iCs/>
          <w:sz w:val="20"/>
          <w:szCs w:val="20"/>
        </w:rPr>
        <w:t>ec.europa.</w:t>
      </w:r>
      <w:r w:rsidRPr="004E6412">
        <w:rPr>
          <w:bCs/>
          <w:iCs/>
          <w:sz w:val="20"/>
          <w:szCs w:val="20"/>
        </w:rPr>
        <w:t>eu</w:t>
      </w:r>
      <w:r w:rsidRPr="004E6412">
        <w:rPr>
          <w:iCs/>
          <w:sz w:val="20"/>
          <w:szCs w:val="20"/>
        </w:rPr>
        <w:t>/enterprise/</w:t>
      </w:r>
      <w:r w:rsidRPr="004E6412">
        <w:rPr>
          <w:bCs/>
          <w:iCs/>
          <w:sz w:val="20"/>
          <w:szCs w:val="20"/>
        </w:rPr>
        <w:t>sectors</w:t>
      </w:r>
      <w:r w:rsidRPr="004E6412">
        <w:rPr>
          <w:iCs/>
          <w:sz w:val="20"/>
          <w:szCs w:val="20"/>
        </w:rPr>
        <w:t>/...</w:t>
      </w:r>
      <w:r w:rsidRPr="004E6412">
        <w:rPr>
          <w:bCs/>
          <w:iCs/>
          <w:sz w:val="20"/>
          <w:szCs w:val="20"/>
        </w:rPr>
        <w:t>printing</w:t>
      </w:r>
      <w:r w:rsidRPr="004E6412">
        <w:rPr>
          <w:iCs/>
          <w:sz w:val="20"/>
          <w:szCs w:val="20"/>
        </w:rPr>
        <w:t>/.../</w:t>
      </w:r>
      <w:r w:rsidRPr="004E6412">
        <w:rPr>
          <w:bCs/>
          <w:iCs/>
          <w:sz w:val="20"/>
          <w:szCs w:val="20"/>
        </w:rPr>
        <w:t>graphic</w:t>
      </w:r>
      <w:r w:rsidRPr="004E6412">
        <w:rPr>
          <w:iCs/>
          <w:sz w:val="20"/>
          <w:szCs w:val="20"/>
        </w:rPr>
        <w:t>_study_report_en.pdf</w:t>
      </w:r>
      <w:r w:rsidRPr="004E6412">
        <w:rPr>
          <w:sz w:val="20"/>
          <w:szCs w:val="20"/>
        </w:rPr>
        <w:t xml:space="preserve"> ‎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Textiles, wearing apparel and leather products sector. Report. Dostupno na: </w:t>
      </w:r>
      <w:r w:rsidRPr="004E6412">
        <w:rPr>
          <w:iCs/>
          <w:sz w:val="20"/>
          <w:szCs w:val="20"/>
        </w:rPr>
        <w:t>ec.europa.eu/social/BlobServlet?docId=4188&amp;langId=en</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European Commission (2013) Shipbuilding Industry: an overview of the sector. Dostupno na: </w:t>
      </w:r>
      <w:hyperlink r:id="rId138" w:history="1">
        <w:r w:rsidRPr="004E6412">
          <w:rPr>
            <w:sz w:val="20"/>
            <w:szCs w:val="20"/>
          </w:rPr>
          <w:t>http://ec.europa.eu/enterprise/sectors/maritime/shipbuilding/</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European Federation of Pharmaceutical Industries and Associations (2013) Annual Review 2012. Dostupno na: http://www.efpia-annualreview.eu/uploads/flash/EFPIAAnnualReview2012/HTML/files/assets/seo/page45.html [27.7.2013.].</w:t>
      </w:r>
    </w:p>
    <w:p w:rsidR="001B41B0" w:rsidRPr="004E6412" w:rsidRDefault="001B41B0" w:rsidP="006A331D">
      <w:pPr>
        <w:numPr>
          <w:ilvl w:val="0"/>
          <w:numId w:val="121"/>
        </w:numPr>
        <w:spacing w:line="240" w:lineRule="auto"/>
        <w:rPr>
          <w:sz w:val="20"/>
          <w:szCs w:val="20"/>
        </w:rPr>
      </w:pPr>
      <w:r w:rsidRPr="004E6412">
        <w:rPr>
          <w:sz w:val="20"/>
          <w:szCs w:val="20"/>
        </w:rPr>
        <w:t xml:space="preserve"> European Federation of Pharmaceutical Industries and Associations (2013) The Pharmaceutical Industry in Figures. Dostupno na: http://www.efpia.eu/documents/80/61/The-Pharmaceutical-Industry-in-figures-Edition-2013 [27.6.2013.].</w:t>
      </w:r>
    </w:p>
    <w:p w:rsidR="001B41B0" w:rsidRPr="004E6412" w:rsidRDefault="001B41B0" w:rsidP="006A331D">
      <w:pPr>
        <w:numPr>
          <w:ilvl w:val="0"/>
          <w:numId w:val="121"/>
        </w:numPr>
        <w:spacing w:line="240" w:lineRule="auto"/>
        <w:rPr>
          <w:sz w:val="20"/>
          <w:szCs w:val="20"/>
        </w:rPr>
      </w:pPr>
      <w:r w:rsidRPr="004E6412">
        <w:rPr>
          <w:sz w:val="20"/>
          <w:szCs w:val="20"/>
        </w:rPr>
        <w:lastRenderedPageBreak/>
        <w:t xml:space="preserve">European Foundation for the Improvement of Living and Working Conditions (2006) Trends and drivers of change in the food and beverage industry in Europe: Mapping report. Dostupno na: </w:t>
      </w:r>
      <w:r w:rsidRPr="004E6412">
        <w:rPr>
          <w:iCs/>
          <w:sz w:val="20"/>
          <w:szCs w:val="20"/>
        </w:rPr>
        <w:t>www.eurofound.europa.eu/emcc/publications/2006/EF0664EN.pdf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Foundation for the Improvement of Living and Working Conditions (2008) EU textiles and clothing sector: location decisions. Dostupno na: </w:t>
      </w:r>
      <w:r w:rsidRPr="004E6412">
        <w:rPr>
          <w:iCs/>
          <w:sz w:val="20"/>
          <w:szCs w:val="20"/>
        </w:rPr>
        <w:t>www.eurofound.europa.</w:t>
      </w:r>
      <w:r w:rsidRPr="004E6412">
        <w:rPr>
          <w:bCs/>
          <w:iCs/>
          <w:sz w:val="20"/>
          <w:szCs w:val="20"/>
        </w:rPr>
        <w:t>eu</w:t>
      </w:r>
      <w:r w:rsidRPr="004E6412">
        <w:rPr>
          <w:iCs/>
          <w:sz w:val="20"/>
          <w:szCs w:val="20"/>
        </w:rPr>
        <w:t>/pubdocs/2008/48/en/1/ef0848en.pdf</w:t>
      </w:r>
      <w:r w:rsidRPr="004E6412">
        <w:rPr>
          <w:sz w:val="20"/>
          <w:szCs w:val="20"/>
        </w:rPr>
        <w:t>‎ [04.07.2013.].</w:t>
      </w:r>
    </w:p>
    <w:p w:rsidR="001B41B0" w:rsidRPr="004E6412" w:rsidRDefault="001B41B0" w:rsidP="006A331D">
      <w:pPr>
        <w:numPr>
          <w:ilvl w:val="0"/>
          <w:numId w:val="121"/>
        </w:numPr>
        <w:spacing w:line="240" w:lineRule="auto"/>
        <w:rPr>
          <w:sz w:val="20"/>
          <w:szCs w:val="20"/>
        </w:rPr>
      </w:pPr>
      <w:r w:rsidRPr="004E6412">
        <w:rPr>
          <w:sz w:val="20"/>
          <w:szCs w:val="20"/>
        </w:rPr>
        <w:t>European Medicines Agency. Dostupno na: http://www.ema.europa.eu/ema/[2.7.2013.].</w:t>
      </w:r>
    </w:p>
    <w:p w:rsidR="001B41B0" w:rsidRPr="004E6412" w:rsidRDefault="001B41B0" w:rsidP="006A331D">
      <w:pPr>
        <w:numPr>
          <w:ilvl w:val="0"/>
          <w:numId w:val="121"/>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Evaluate Pharma (2011) World Preview 2018. Dostupno na: </w:t>
      </w:r>
      <w:hyperlink r:id="rId139" w:history="1">
        <w:r w:rsidRPr="004E6412">
          <w:rPr>
            <w:sz w:val="20"/>
            <w:szCs w:val="20"/>
          </w:rPr>
          <w:t>http://www.evaluategroup.com/Public/EvaluatePharma-World-Preview-2018-Embracing-the-Patent-Cliff.aspx</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Financijska agencija (FINA), </w:t>
      </w:r>
      <w:r w:rsidRPr="004E6412">
        <w:rPr>
          <w:i/>
          <w:sz w:val="20"/>
          <w:szCs w:val="20"/>
        </w:rPr>
        <w:t xml:space="preserve">web </w:t>
      </w:r>
      <w:r w:rsidRPr="004E6412">
        <w:rPr>
          <w:sz w:val="20"/>
          <w:szCs w:val="20"/>
        </w:rPr>
        <w:t>stranica. Dostupno na http://</w:t>
      </w:r>
      <w:hyperlink r:id="rId140"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(2009) Global demand for wood products. Dostupno na: </w:t>
      </w:r>
      <w:hyperlink r:id="rId141" w:history="1">
        <w:r w:rsidRPr="004E6412">
          <w:rPr>
            <w:sz w:val="20"/>
            <w:szCs w:val="20"/>
          </w:rPr>
          <w:t>ftp://ftp.fao.org/docrep/fao/011/i0350e/i0350e02a.pdf</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w:t>
      </w:r>
      <w:r w:rsidRPr="004E6412">
        <w:rPr>
          <w:i/>
          <w:sz w:val="20"/>
          <w:szCs w:val="20"/>
        </w:rPr>
        <w:t>web</w:t>
      </w:r>
      <w:r w:rsidRPr="004E6412">
        <w:rPr>
          <w:sz w:val="20"/>
          <w:szCs w:val="20"/>
        </w:rPr>
        <w:t xml:space="preserve"> stranica. Dostupno na: www.fao.org. [2.7.2013.].</w:t>
      </w:r>
    </w:p>
    <w:p w:rsidR="001B41B0" w:rsidRPr="004E6412" w:rsidRDefault="001B41B0" w:rsidP="006A331D">
      <w:pPr>
        <w:numPr>
          <w:ilvl w:val="0"/>
          <w:numId w:val="121"/>
        </w:numPr>
        <w:spacing w:line="240" w:lineRule="auto"/>
        <w:rPr>
          <w:sz w:val="20"/>
          <w:szCs w:val="20"/>
        </w:rPr>
      </w:pPr>
      <w:r w:rsidRPr="004E6412">
        <w:rPr>
          <w:sz w:val="20"/>
          <w:szCs w:val="20"/>
        </w:rPr>
        <w:t>FoodDrink Europe (2012) Competitiveness report 2012. Dostupno na: http://www.fooddrinkeurope.eu/uploads/publications_documents/Final_FDE_competitiveness_web2.pdf</w:t>
      </w:r>
      <w:r w:rsidRPr="004E6412">
        <w:rPr>
          <w:i/>
          <w:iCs/>
          <w:sz w:val="20"/>
          <w:szCs w:val="20"/>
        </w:rPr>
        <w:t xml:space="preserve"> </w:t>
      </w:r>
      <w:hyperlink r:id="rId142" w:history="1"/>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FoodDrink Europe (2012) Data &amp; Trends of the European food and drink industry. Dostupno na: </w:t>
      </w:r>
      <w:hyperlink r:id="rId143" w:history="1">
        <w:r w:rsidRPr="004E6412">
          <w:rPr>
            <w:iCs/>
            <w:sz w:val="20"/>
            <w:szCs w:val="20"/>
          </w:rPr>
          <w:t>www.</w:t>
        </w:r>
        <w:r w:rsidRPr="004E6412">
          <w:rPr>
            <w:bCs/>
            <w:iCs/>
            <w:sz w:val="20"/>
            <w:szCs w:val="20"/>
          </w:rPr>
          <w:t>f</w:t>
        </w:r>
      </w:hyperlink>
      <w:r w:rsidRPr="004E6412">
        <w:rPr>
          <w:bCs/>
          <w:iCs/>
          <w:sz w:val="20"/>
          <w:szCs w:val="20"/>
        </w:rPr>
        <w:t>ooddrinkeurope</w:t>
      </w:r>
      <w:r w:rsidRPr="004E6412">
        <w:rPr>
          <w:iCs/>
          <w:sz w:val="20"/>
          <w:szCs w:val="20"/>
        </w:rPr>
        <w:t>.</w:t>
      </w:r>
      <w:r w:rsidRPr="004E6412">
        <w:rPr>
          <w:bCs/>
          <w:iCs/>
          <w:sz w:val="20"/>
          <w:szCs w:val="20"/>
        </w:rPr>
        <w:t>eu</w:t>
      </w:r>
      <w:r w:rsidRPr="004E6412">
        <w:rPr>
          <w:iCs/>
          <w:sz w:val="20"/>
          <w:szCs w:val="20"/>
        </w:rPr>
        <w:t>/uploads/.../Final_DT_2012._04.06.pdf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Frost &amp; Sullivan (2011) European Diesel Locomotive And Railcar Market: Strategic Analysis Of Rail Alternative Powertrain Technologies. Dostupno na: www.slideshare.net/shyamraman/alternate-rail-powertrain-</w:t>
      </w:r>
      <w:r w:rsidRPr="004E6412">
        <w:rPr>
          <w:bCs/>
          <w:sz w:val="20"/>
          <w:szCs w:val="20"/>
        </w:rPr>
        <w:t xml:space="preserve">europe </w:t>
      </w:r>
      <w:r w:rsidRPr="004E6412">
        <w:rPr>
          <w:sz w:val="20"/>
          <w:szCs w:val="20"/>
        </w:rPr>
        <w:t>‎‎ [27.6.2013.].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Furniture manufacturers. Global market for furniture. Dostupno na: </w:t>
      </w:r>
      <w:hyperlink r:id="rId144" w:history="1">
        <w:r w:rsidRPr="004E6412">
          <w:rPr>
            <w:sz w:val="20"/>
            <w:szCs w:val="20"/>
          </w:rPr>
          <w:t>http://www.furnituremanufacturers.net/global-furniture-market.html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Gartner Inc. Dostupno na: </w:t>
      </w:r>
      <w:hyperlink r:id="rId145" w:history="1">
        <w:r w:rsidRPr="004E6412">
          <w:rPr>
            <w:sz w:val="20"/>
            <w:szCs w:val="20"/>
          </w:rPr>
          <w:t>http://www.gartner.com</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GCaptain (2012) Global Shipbuilding Outlook. Dostupno na: </w:t>
      </w:r>
      <w:hyperlink r:id="rId146" w:history="1">
        <w:r w:rsidRPr="004E6412">
          <w:rPr>
            <w:sz w:val="20"/>
            <w:szCs w:val="20"/>
          </w:rPr>
          <w:t>http://gcaptain.com/global-shipbuilding-outlook-global/</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Gereffi, G. (2002) Outsourcing and Changing Patterns of International Competition in the Apparel Commodity Chaina. Rad prezentiran na konferenciji: „Responding to Globalization: Societies, Groups, and Individuals“.  Boulder, Colorado, 4-7. travnja 2002. Dostupno na: </w:t>
      </w:r>
      <w:hyperlink r:id="rId147" w:history="1">
        <w:r w:rsidRPr="004E6412">
          <w:rPr>
            <w:sz w:val="20"/>
            <w:szCs w:val="20"/>
          </w:rPr>
          <w:t>http://www.colorado.edu/IBS/PEC/gadconf/papers/gereffi.pdf</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Gerefi, G., Frederick, S. (2010.) The Global Apparel Value Chain, Trade and the Crisis Challenges and Opportunities for Developing Countries. World Bank Working Paper 5281.</w:t>
      </w:r>
    </w:p>
    <w:p w:rsidR="001B41B0" w:rsidRPr="004E6412" w:rsidRDefault="001B41B0" w:rsidP="006A331D">
      <w:pPr>
        <w:numPr>
          <w:ilvl w:val="0"/>
          <w:numId w:val="121"/>
        </w:numPr>
        <w:spacing w:line="240" w:lineRule="auto"/>
        <w:rPr>
          <w:sz w:val="20"/>
          <w:szCs w:val="20"/>
        </w:rPr>
      </w:pPr>
      <w:r w:rsidRPr="004E6412">
        <w:rPr>
          <w:sz w:val="20"/>
          <w:szCs w:val="20"/>
        </w:rPr>
        <w:t>Gerstenberger, B. (2006)  The future of the European food and beverage industry: Summary. Radionica: „Feeding Europe. The future of the European food and beverage industry.“ Dostupno na: http://www.eurofound.europa.eu/emcc/content/source/eu07003a.html [28.6.2013.].</w:t>
      </w:r>
    </w:p>
    <w:p w:rsidR="001B41B0" w:rsidRPr="004E6412" w:rsidRDefault="001B41B0" w:rsidP="006A331D">
      <w:pPr>
        <w:numPr>
          <w:ilvl w:val="0"/>
          <w:numId w:val="121"/>
        </w:numPr>
        <w:spacing w:line="240" w:lineRule="auto"/>
        <w:rPr>
          <w:sz w:val="20"/>
          <w:szCs w:val="20"/>
        </w:rPr>
      </w:pPr>
      <w:r w:rsidRPr="004E6412">
        <w:rPr>
          <w:sz w:val="20"/>
          <w:szCs w:val="20"/>
        </w:rPr>
        <w:t xml:space="preserve">Giuliani, G., Selke, G. i Garattini, L. (1998) The German experiencein reference pricing, </w:t>
      </w:r>
      <w:r w:rsidRPr="004E6412">
        <w:rPr>
          <w:i/>
          <w:sz w:val="20"/>
          <w:szCs w:val="20"/>
        </w:rPr>
        <w:t>Health policy</w:t>
      </w:r>
      <w:r w:rsidRPr="004E6412">
        <w:rPr>
          <w:sz w:val="20"/>
          <w:szCs w:val="20"/>
        </w:rPr>
        <w:t>, 44 (1), str. 73-85.</w:t>
      </w:r>
    </w:p>
    <w:p w:rsidR="001B41B0" w:rsidRPr="004E6412" w:rsidRDefault="001B41B0" w:rsidP="006A331D">
      <w:pPr>
        <w:numPr>
          <w:ilvl w:val="0"/>
          <w:numId w:val="121"/>
        </w:numPr>
        <w:spacing w:line="240" w:lineRule="auto"/>
        <w:rPr>
          <w:sz w:val="20"/>
          <w:szCs w:val="20"/>
        </w:rPr>
      </w:pPr>
      <w:r w:rsidRPr="004E6412">
        <w:rPr>
          <w:sz w:val="20"/>
          <w:szCs w:val="20"/>
        </w:rPr>
        <w:t xml:space="preserve">Grant, R. M. (2013) </w:t>
      </w:r>
      <w:r w:rsidRPr="004E6412">
        <w:rPr>
          <w:i/>
          <w:sz w:val="20"/>
          <w:szCs w:val="20"/>
        </w:rPr>
        <w:t>Contemporary Strategy Analysis</w:t>
      </w:r>
      <w:r w:rsidRPr="004E6412">
        <w:rPr>
          <w:sz w:val="20"/>
          <w:szCs w:val="20"/>
        </w:rPr>
        <w:t>. Osmo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Haarla, A.(2009) Can the European printing paer industry be competitive in the future?, Dostupno na: www.proconsilium.com/pdf/can_</w:t>
      </w:r>
      <w:r w:rsidRPr="004E6412">
        <w:rPr>
          <w:bCs/>
          <w:sz w:val="20"/>
          <w:szCs w:val="20"/>
        </w:rPr>
        <w:t>european</w:t>
      </w:r>
      <w:r w:rsidRPr="004E6412">
        <w:rPr>
          <w:sz w:val="20"/>
          <w:szCs w:val="20"/>
        </w:rPr>
        <w:t>_</w:t>
      </w:r>
      <w:r w:rsidRPr="004E6412">
        <w:rPr>
          <w:bCs/>
          <w:sz w:val="20"/>
          <w:szCs w:val="20"/>
        </w:rPr>
        <w:t>printing</w:t>
      </w:r>
      <w:r w:rsidRPr="004E6412">
        <w:rPr>
          <w:sz w:val="20"/>
          <w:szCs w:val="20"/>
        </w:rPr>
        <w:t>_</w:t>
      </w:r>
      <w:r w:rsidRPr="004E6412">
        <w:rPr>
          <w:bCs/>
          <w:sz w:val="20"/>
          <w:szCs w:val="20"/>
        </w:rPr>
        <w:t>paper</w:t>
      </w:r>
      <w:r w:rsidRPr="004E6412">
        <w:rPr>
          <w:sz w:val="20"/>
          <w:szCs w:val="20"/>
        </w:rPr>
        <w:t>.pdf‎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Haber, J.P. (2009) Competitiveness of the European Graphic Industry. Brussels: European Commission.</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Hariharan, S., Prahalad, C. K. (1994) Strategic Windows in the Structuring of Industries: Compatibility Standards and Industry Evolution. U: Thomas, H., O’Neal, D., White, R., Hurst, D. (eds.) </w:t>
      </w:r>
      <w:r w:rsidRPr="004E6412">
        <w:rPr>
          <w:i/>
          <w:sz w:val="20"/>
          <w:szCs w:val="20"/>
        </w:rPr>
        <w:t>Building the Strategically-Responsive Organization</w:t>
      </w:r>
      <w:r w:rsidRPr="004E6412">
        <w:rPr>
          <w:sz w:val="20"/>
          <w:szCs w:val="20"/>
        </w:rPr>
        <w:t>. New Jersey: John Wiley &amp; Sons Ltd.</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Hoovers company. Machinery Manufacturing Report Summary. Dostupno na: </w:t>
      </w:r>
      <w:hyperlink r:id="rId148" w:history="1">
        <w:r w:rsidRPr="004E6412">
          <w:rPr>
            <w:sz w:val="20"/>
            <w:szCs w:val="20"/>
          </w:rPr>
          <w:t>http://www.hoovers.com/industry-facts.machinery-manufacturing.1397.html</w:t>
        </w:r>
      </w:hyperlink>
      <w:r w:rsidRPr="004E6412">
        <w:rPr>
          <w:sz w:val="20"/>
          <w:szCs w:val="20"/>
        </w:rPr>
        <w:t xml:space="preserve"> ‎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Hrvatska gospodarska komora (2010) Proizvodnja tekstila i odjeće. Dostupno na: </w:t>
      </w:r>
      <w:r w:rsidRPr="004E6412">
        <w:rPr>
          <w:iCs/>
          <w:sz w:val="20"/>
          <w:szCs w:val="20"/>
        </w:rPr>
        <w:t>www2.</w:t>
      </w:r>
      <w:r w:rsidRPr="004E6412">
        <w:rPr>
          <w:bCs/>
          <w:iCs/>
          <w:sz w:val="20"/>
          <w:szCs w:val="20"/>
        </w:rPr>
        <w:t>hgk</w:t>
      </w:r>
      <w:r w:rsidRPr="004E6412">
        <w:rPr>
          <w:iCs/>
          <w:sz w:val="20"/>
          <w:szCs w:val="20"/>
        </w:rPr>
        <w:t>.hr/en/depts/industry/</w:t>
      </w:r>
      <w:r w:rsidRPr="004E6412">
        <w:rPr>
          <w:bCs/>
          <w:iCs/>
          <w:sz w:val="20"/>
          <w:szCs w:val="20"/>
        </w:rPr>
        <w:t>tekstil</w:t>
      </w:r>
      <w:r w:rsidRPr="004E6412">
        <w:rPr>
          <w:iCs/>
          <w:sz w:val="20"/>
          <w:szCs w:val="20"/>
        </w:rPr>
        <w:t>_2010._web.pdf</w:t>
      </w:r>
      <w:r w:rsidRPr="004E6412">
        <w:rPr>
          <w:sz w:val="20"/>
          <w:szCs w:val="20"/>
        </w:rPr>
        <w:t>‎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49" w:history="1">
        <w:r w:rsidRPr="004E6412">
          <w:rPr>
            <w:sz w:val="20"/>
            <w:szCs w:val="20"/>
          </w:rPr>
          <w:t>www.hgk.hr</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21"/>
        </w:numPr>
        <w:spacing w:line="240" w:lineRule="auto"/>
        <w:rPr>
          <w:sz w:val="20"/>
          <w:szCs w:val="20"/>
        </w:rPr>
      </w:pPr>
      <w:r w:rsidRPr="004E6412">
        <w:rPr>
          <w:sz w:val="20"/>
          <w:szCs w:val="20"/>
        </w:rPr>
        <w:t>Hrvatska gospodarska komora, Sektor za industriju (kolovoz 2012.). Dostupno na:</w:t>
      </w:r>
      <w:hyperlink r:id="rId150"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21"/>
        </w:numPr>
        <w:spacing w:line="240" w:lineRule="auto"/>
        <w:rPr>
          <w:sz w:val="20"/>
          <w:szCs w:val="20"/>
        </w:rPr>
      </w:pPr>
      <w:r w:rsidRPr="004E6412">
        <w:rPr>
          <w:sz w:val="20"/>
          <w:szCs w:val="20"/>
        </w:rPr>
        <w:t>HUP (2012) Farmaceutska industrija – strateški značaj za Hrvatsku. Dostupno na:http://www.hup.hr/farmaceutska-industrija--strateski-znacaj-za-hrvatsku.aspx [30.6.2013.].</w:t>
      </w:r>
    </w:p>
    <w:p w:rsidR="001B41B0" w:rsidRPr="004E6412" w:rsidRDefault="001B41B0" w:rsidP="006A331D">
      <w:pPr>
        <w:numPr>
          <w:ilvl w:val="0"/>
          <w:numId w:val="121"/>
        </w:numPr>
        <w:spacing w:line="240" w:lineRule="auto"/>
        <w:rPr>
          <w:sz w:val="20"/>
          <w:szCs w:val="20"/>
        </w:rPr>
      </w:pPr>
      <w:r w:rsidRPr="004E6412">
        <w:rPr>
          <w:sz w:val="20"/>
          <w:szCs w:val="20"/>
        </w:rPr>
        <w:t>HZZO, Izvješće o poslovanju Hrvatskog zavoda za zdravstveno osiguranje za 2012. godinu. Dostupno na: http://www.hzzo-net.hr/dload/publikacije/Izvjesce_hz_1_12_2012_god.pdf[1.7.2013.].</w:t>
      </w:r>
    </w:p>
    <w:p w:rsidR="001B41B0" w:rsidRPr="004E6412" w:rsidRDefault="001B41B0" w:rsidP="006A331D">
      <w:pPr>
        <w:numPr>
          <w:ilvl w:val="0"/>
          <w:numId w:val="121"/>
        </w:numPr>
        <w:spacing w:line="240" w:lineRule="auto"/>
        <w:rPr>
          <w:sz w:val="20"/>
          <w:szCs w:val="20"/>
        </w:rPr>
      </w:pPr>
      <w:r w:rsidRPr="004E6412">
        <w:rPr>
          <w:sz w:val="20"/>
          <w:szCs w:val="20"/>
        </w:rPr>
        <w:t xml:space="preserve">HZZO, </w:t>
      </w:r>
      <w:r w:rsidRPr="004E6412">
        <w:rPr>
          <w:i/>
          <w:sz w:val="20"/>
          <w:szCs w:val="20"/>
        </w:rPr>
        <w:t>web</w:t>
      </w:r>
      <w:r w:rsidRPr="004E6412">
        <w:rPr>
          <w:sz w:val="20"/>
          <w:szCs w:val="20"/>
        </w:rPr>
        <w:t xml:space="preserve"> stranica. Dostupno na: http://www.hzzo-net.hr/04_01_11.php[1.7.2013.].</w:t>
      </w:r>
    </w:p>
    <w:p w:rsidR="001B41B0" w:rsidRPr="004E6412" w:rsidRDefault="001B41B0" w:rsidP="006A331D">
      <w:pPr>
        <w:numPr>
          <w:ilvl w:val="0"/>
          <w:numId w:val="121"/>
        </w:numPr>
        <w:spacing w:line="240" w:lineRule="auto"/>
        <w:rPr>
          <w:bCs/>
          <w:sz w:val="20"/>
          <w:szCs w:val="20"/>
        </w:rPr>
      </w:pPr>
      <w:r w:rsidRPr="004E6412">
        <w:rPr>
          <w:sz w:val="20"/>
          <w:szCs w:val="20"/>
        </w:rPr>
        <w:lastRenderedPageBreak/>
        <w:t xml:space="preserve">Ibis World, </w:t>
      </w:r>
      <w:r w:rsidRPr="004E6412">
        <w:rPr>
          <w:i/>
          <w:sz w:val="20"/>
          <w:szCs w:val="20"/>
        </w:rPr>
        <w:t xml:space="preserve">web </w:t>
      </w:r>
      <w:r w:rsidRPr="004E6412">
        <w:rPr>
          <w:sz w:val="20"/>
          <w:szCs w:val="20"/>
        </w:rPr>
        <w:t xml:space="preserve">stranica. Dostupno na: </w:t>
      </w:r>
      <w:hyperlink r:id="rId151" w:history="1">
        <w:r w:rsidRPr="004E6412">
          <w:rPr>
            <w:bCs/>
            <w:sz w:val="20"/>
            <w:szCs w:val="20"/>
          </w:rPr>
          <w:t>http://www.ibisworld.com/industry/default.aspx?indid=1708</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IDC Worldwide Mobile Phone Tracker. Dostupno na: </w:t>
      </w:r>
      <w:hyperlink r:id="rId152" w:history="1">
        <w:r w:rsidRPr="004E6412">
          <w:rPr>
            <w:sz w:val="20"/>
            <w:szCs w:val="20"/>
          </w:rPr>
          <w:t>https://www.idc.com/getdoc.jsp?containerId=prUS23916413</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IMAP (2011) Food and beverage industry-Global report 2010. Dostupno na: http://www.imap.com/imap/media/resources/IMAP_Food__Beverage_Report_WEB_AD6498A02CAF4.pdf [27.6.2013.].</w:t>
      </w:r>
    </w:p>
    <w:p w:rsidR="001B41B0" w:rsidRPr="004E6412" w:rsidRDefault="001B41B0" w:rsidP="006A331D">
      <w:pPr>
        <w:numPr>
          <w:ilvl w:val="0"/>
          <w:numId w:val="121"/>
        </w:numPr>
        <w:spacing w:line="240" w:lineRule="auto"/>
        <w:rPr>
          <w:sz w:val="20"/>
          <w:szCs w:val="20"/>
        </w:rPr>
      </w:pPr>
      <w:r w:rsidRPr="004E6412">
        <w:rPr>
          <w:sz w:val="20"/>
          <w:szCs w:val="20"/>
        </w:rPr>
        <w:t>IMS - Institute for Healthcare Informatics (2012) The Global Use of Medicines: Outlook Through 2016. Dostupno na: http://www.imshealth.com/deployedfiles/ims/Global/Content/Insights/IMS%20Institute%20for%20Healthcare%20Informatics/Global%20Use%20of%20Meds%202011/Medicines_Outlook_Through_2016_Report.pdf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confederation for printing and allied industries, </w:t>
      </w:r>
      <w:r w:rsidRPr="004E6412">
        <w:rPr>
          <w:i/>
          <w:sz w:val="20"/>
          <w:szCs w:val="20"/>
        </w:rPr>
        <w:t>web</w:t>
      </w:r>
      <w:r w:rsidRPr="004E6412">
        <w:rPr>
          <w:sz w:val="20"/>
          <w:szCs w:val="20"/>
        </w:rPr>
        <w:t xml:space="preserve"> stranica. Dostupno na:  </w:t>
      </w:r>
      <w:hyperlink r:id="rId153" w:history="1">
        <w:r w:rsidRPr="004E6412">
          <w:rPr>
            <w:sz w:val="20"/>
            <w:szCs w:val="20"/>
          </w:rPr>
          <w:t>www.integraf.eu</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council on leather. Perspective on leather – its place in the world. Dostupno na: </w:t>
      </w:r>
      <w:r w:rsidRPr="004E6412">
        <w:rPr>
          <w:iCs/>
          <w:sz w:val="20"/>
          <w:szCs w:val="20"/>
        </w:rPr>
        <w:t>www.tannerscouncilict.org/</w:t>
      </w:r>
      <w:r w:rsidRPr="004E6412">
        <w:rPr>
          <w:bCs/>
          <w:iCs/>
          <w:sz w:val="20"/>
          <w:szCs w:val="20"/>
        </w:rPr>
        <w:t>perspective</w:t>
      </w:r>
      <w:r w:rsidRPr="004E6412">
        <w:rPr>
          <w:iCs/>
          <w:sz w:val="20"/>
          <w:szCs w:val="20"/>
        </w:rPr>
        <w:t>.htm</w:t>
      </w:r>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Council on Mining and Metals (2012) Trends in the Minings and Metals Industry. Dostupno na: </w:t>
      </w:r>
      <w:r w:rsidRPr="004E6412">
        <w:rPr>
          <w:iCs/>
          <w:sz w:val="20"/>
          <w:szCs w:val="20"/>
        </w:rPr>
        <w:t>www.icmm.com/document/4441</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Data Corporation. Dostupno na: </w:t>
      </w:r>
      <w:hyperlink r:id="rId154" w:history="1">
        <w:r w:rsidRPr="004E6412">
          <w:rPr>
            <w:sz w:val="20"/>
            <w:szCs w:val="20"/>
          </w:rPr>
          <w:t>http://www.idc.com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trade administration. Machinery Manufacturing: </w:t>
      </w:r>
      <w:r w:rsidRPr="004E6412">
        <w:rPr>
          <w:sz w:val="20"/>
          <w:szCs w:val="20"/>
        </w:rPr>
        <w:br/>
        <w:t xml:space="preserve">A Major Component of U.S. Exports. Dostupno na: </w:t>
      </w:r>
      <w:hyperlink r:id="rId155" w:history="1">
        <w:r w:rsidRPr="004E6412">
          <w:rPr>
            <w:sz w:val="20"/>
            <w:szCs w:val="20"/>
          </w:rPr>
          <w:t>http://www.trade.gov/mas/manufacturing/oaai/tg_oaai_003832.asp</w:t>
        </w:r>
      </w:hyperlink>
      <w:r w:rsidRPr="004E6412">
        <w:rPr>
          <w:sz w:val="20"/>
          <w:szCs w:val="20"/>
        </w:rPr>
        <w:t xml:space="preserve"> [1.7.2013.].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Kavran, M. (2013) Drvni sektor u Hrvatskoj; materijal pripremljen u okviru projekta: “Podrška razvoja klastera” </w:t>
      </w:r>
      <w:hyperlink r:id="rId156" w:history="1">
        <w:r w:rsidRPr="004E6412">
          <w:rPr>
            <w:sz w:val="20"/>
            <w:szCs w:val="20"/>
          </w:rPr>
          <w:t>www.safu.hr/hr/natjecaji/pregled/209</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Keane, J., Wilem te Velde, D. (2008) The role of textile and clothing industries  in growth and development strategies. Overseas Development Institute. Dostupno na: </w:t>
      </w:r>
      <w:r w:rsidRPr="004E6412">
        <w:rPr>
          <w:iCs/>
          <w:sz w:val="20"/>
          <w:szCs w:val="20"/>
        </w:rPr>
        <w:t>www.odi.org.uk/resources/docs/3361.pdf</w:t>
      </w:r>
      <w:r w:rsidRPr="004E6412">
        <w:rPr>
          <w:sz w:val="20"/>
          <w:szCs w:val="20"/>
        </w:rPr>
        <w:t>‎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Klose, B. (2008) The Competitiveness of the European Printing Industry and the Influence of China.</w:t>
      </w:r>
      <w:r w:rsidRPr="004E6412">
        <w:rPr>
          <w:b/>
          <w:sz w:val="20"/>
          <w:szCs w:val="20"/>
        </w:rPr>
        <w:t xml:space="preserve"> </w:t>
      </w:r>
      <w:r w:rsidRPr="004E6412">
        <w:rPr>
          <w:sz w:val="20"/>
          <w:szCs w:val="20"/>
        </w:rPr>
        <w:t>INTEGRAF. Dostupno na: http://www.slidefinder.net/t/the_competitiveness_european_printing_industry/printingindustrychinaeu08-04-26/2917943[28.6.2013.].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Koller, T., Goedhart, M., Wessels, D. (2010) </w:t>
      </w:r>
      <w:r w:rsidRPr="004E6412">
        <w:rPr>
          <w:i/>
          <w:sz w:val="20"/>
          <w:szCs w:val="20"/>
        </w:rPr>
        <w:t>Valuation: Measuring and Managing the Value of Companies</w:t>
      </w:r>
      <w:r w:rsidRPr="004E6412">
        <w:rPr>
          <w:sz w:val="20"/>
          <w:szCs w:val="20"/>
        </w:rPr>
        <w:t>. Peto izdanje. McKinsey &amp; Company.</w:t>
      </w:r>
    </w:p>
    <w:p w:rsidR="001B41B0" w:rsidRPr="004E6412" w:rsidRDefault="001B41B0" w:rsidP="006A331D">
      <w:pPr>
        <w:numPr>
          <w:ilvl w:val="0"/>
          <w:numId w:val="121"/>
        </w:numPr>
        <w:spacing w:line="240" w:lineRule="auto"/>
        <w:rPr>
          <w:sz w:val="20"/>
          <w:szCs w:val="20"/>
        </w:rPr>
      </w:pPr>
      <w:r w:rsidRPr="004E6412">
        <w:rPr>
          <w:sz w:val="20"/>
          <w:szCs w:val="20"/>
        </w:rPr>
        <w:t>KPMG (2011) Key Challenges Facing the Pharmaceutical Industry. Dostupno na: http://www.kpmg.com/Global/en/IssuesAndInsights/ArticlesPublications/Documents/future-pharma.pdf [22.6.2013.].</w:t>
      </w:r>
    </w:p>
    <w:p w:rsidR="001B41B0" w:rsidRPr="004E6412" w:rsidRDefault="001B41B0" w:rsidP="006A331D">
      <w:pPr>
        <w:numPr>
          <w:ilvl w:val="0"/>
          <w:numId w:val="121"/>
        </w:numPr>
        <w:spacing w:line="240" w:lineRule="auto"/>
        <w:rPr>
          <w:sz w:val="20"/>
          <w:szCs w:val="20"/>
        </w:rPr>
      </w:pPr>
      <w:r w:rsidRPr="004E6412">
        <w:rPr>
          <w:sz w:val="20"/>
          <w:szCs w:val="20"/>
        </w:rPr>
        <w:t xml:space="preserve">KPMG (2012) Food and Beverage Industry Outlook Survey. Dostupno na: </w:t>
      </w:r>
      <w:hyperlink r:id="rId157" w:history="1">
        <w:r w:rsidRPr="004E6412">
          <w:rPr>
            <w:sz w:val="20"/>
            <w:szCs w:val="20"/>
          </w:rPr>
          <w:t>http://www.kpmg.com/be/en/issuesandinsights/articlespublications/pages/food-beverage-outlook-survey.aspx</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Laursen, W. (2012) Global Shipbuilding Report: Power Shift, Wendy Laursen, Maritime Executive. Dostupno na: http://www.maritime-executive.com/article/power-shift-global-shipbuilding-report/[1.7.2013.].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Lee, D. (2008) Implications of the world economic crisis on the textiles industry. Rad prezentiran na konferenciji „ITMF conference“, Shangai, Kina. Dostupno na: </w:t>
      </w:r>
      <w:hyperlink r:id="rId158" w:history="1">
        <w:r w:rsidRPr="004E6412">
          <w:rPr>
            <w:sz w:val="20"/>
            <w:szCs w:val="20"/>
          </w:rPr>
          <w:t>www.itmf.org/fgrs-shanghai/07-Lee.pdf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Lovrek, I. (2013) Regulatorni aspekti mreža i usluga. Dostupno na: </w:t>
      </w:r>
      <w:hyperlink r:id="rId159" w:history="1">
        <w:r w:rsidRPr="004E6412">
          <w:rPr>
            <w:sz w:val="20"/>
            <w:szCs w:val="20"/>
          </w:rPr>
          <w:t>http://www.fer.unizg.hr/_download/repository/RTEK_2012.-RAMiU1-pred1.pdf</w:t>
        </w:r>
      </w:hyperlink>
      <w:r w:rsidRPr="004E6412">
        <w:rPr>
          <w:sz w:val="20"/>
          <w:szCs w:val="20"/>
        </w:rPr>
        <w:t xml:space="preserve"> [1.8.2013.]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Maack,  L., Lantz, F. (2006) Petroleum products prices behavior and demand trends: an econometric analysis. Dostupno na: www.usaee.org/usaee2012/.../7205-deMaack-Lantz_USAEE2012.pdf [27.6.2013.].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Malik, F. (2011) </w:t>
      </w:r>
      <w:r w:rsidRPr="004E6412">
        <w:rPr>
          <w:i/>
          <w:sz w:val="20"/>
          <w:szCs w:val="20"/>
        </w:rPr>
        <w:t>Strategie, Navigieren in der Komplexität der neuen Welt</w:t>
      </w:r>
      <w:r w:rsidRPr="004E6412">
        <w:rPr>
          <w:sz w:val="20"/>
          <w:szCs w:val="20"/>
        </w:rPr>
        <w:t>. Frankfurt: Campus Verlag.</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MarineInsight (2012) Top 10 Shipbuilding Companies in the World in 2012. Dostupno na: </w:t>
      </w:r>
      <w:hyperlink r:id="rId160" w:history="1">
        <w:r w:rsidRPr="004E6412">
          <w:rPr>
            <w:sz w:val="20"/>
            <w:szCs w:val="20"/>
          </w:rPr>
          <w:t>http://www.marineinsight.com/marine/marine-news/headline/top-10-shipbuilding-companies-in-the-world-in-2012/</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Market Line, </w:t>
      </w:r>
      <w:r w:rsidRPr="004E6412">
        <w:rPr>
          <w:i/>
          <w:sz w:val="20"/>
          <w:szCs w:val="20"/>
        </w:rPr>
        <w:t>web</w:t>
      </w:r>
      <w:r w:rsidRPr="004E6412">
        <w:rPr>
          <w:sz w:val="20"/>
          <w:szCs w:val="20"/>
        </w:rPr>
        <w:t xml:space="preserve"> stranica. Dostupno na: </w:t>
      </w:r>
      <w:hyperlink r:id="rId161" w:history="1">
        <w:r w:rsidRPr="004E6412">
          <w:rPr>
            <w:iCs/>
            <w:sz w:val="20"/>
            <w:szCs w:val="20"/>
          </w:rPr>
          <w:t>www.</w:t>
        </w:r>
        <w:r w:rsidRPr="004E6412">
          <w:rPr>
            <w:bCs/>
            <w:iCs/>
            <w:sz w:val="20"/>
            <w:szCs w:val="20"/>
          </w:rPr>
          <w:t>marketline</w:t>
        </w:r>
        <w:r w:rsidRPr="004E6412">
          <w:rPr>
            <w:iCs/>
            <w:sz w:val="20"/>
            <w:szCs w:val="20"/>
          </w:rPr>
          <w:t>.com/</w:t>
        </w:r>
      </w:hyperlink>
      <w:r w:rsidRPr="004E6412">
        <w:rPr>
          <w:iCs/>
          <w:sz w:val="20"/>
          <w:szCs w:val="20"/>
        </w:rPr>
        <w:t xml:space="preserve"> </w:t>
      </w:r>
      <w:r w:rsidRPr="004E6412">
        <w:rPr>
          <w:sz w:val="20"/>
          <w:szCs w:val="20"/>
        </w:rPr>
        <w:t>[1.7.2013.].</w:t>
      </w:r>
    </w:p>
    <w:p w:rsidR="001B41B0" w:rsidRPr="004E6412" w:rsidRDefault="004F14D7" w:rsidP="006A331D">
      <w:pPr>
        <w:numPr>
          <w:ilvl w:val="0"/>
          <w:numId w:val="121"/>
        </w:numPr>
        <w:spacing w:line="240" w:lineRule="auto"/>
        <w:rPr>
          <w:sz w:val="20"/>
          <w:szCs w:val="20"/>
        </w:rPr>
      </w:pPr>
      <w:r w:rsidRPr="004E6412">
        <w:rPr>
          <w:sz w:val="20"/>
          <w:szCs w:val="20"/>
        </w:rPr>
        <w:t xml:space="preserve">Markets and Markets, internetska </w:t>
      </w:r>
      <w:r w:rsidR="001B41B0" w:rsidRPr="004E6412">
        <w:rPr>
          <w:sz w:val="20"/>
          <w:szCs w:val="20"/>
        </w:rPr>
        <w:t>stranica. Dostupno na: http://www.marketsandmarkets.com/Market-Reports/smartgridtechnologyapplicationmarket453.html?gclid=CNTiyNq0z7gCFUJc3godP30A_w [1.7.2013.].</w:t>
      </w:r>
    </w:p>
    <w:p w:rsidR="001B41B0" w:rsidRPr="004E6412" w:rsidRDefault="001B41B0" w:rsidP="006A331D">
      <w:pPr>
        <w:numPr>
          <w:ilvl w:val="0"/>
          <w:numId w:val="121"/>
        </w:numPr>
        <w:spacing w:line="240" w:lineRule="auto"/>
        <w:rPr>
          <w:sz w:val="20"/>
          <w:szCs w:val="20"/>
        </w:rPr>
      </w:pPr>
      <w:r w:rsidRPr="004E6412">
        <w:rPr>
          <w:sz w:val="20"/>
          <w:szCs w:val="20"/>
        </w:rPr>
        <w:t>McKeown, R. (2005) A developing future: A study of the Paper, Print and Packaging industry.</w:t>
      </w:r>
      <w:r w:rsidRPr="004E6412">
        <w:rPr>
          <w:b/>
          <w:sz w:val="20"/>
          <w:szCs w:val="20"/>
        </w:rPr>
        <w:t xml:space="preserve"> </w:t>
      </w:r>
      <w:r w:rsidRPr="004E6412">
        <w:rPr>
          <w:sz w:val="20"/>
          <w:szCs w:val="20"/>
        </w:rPr>
        <w:t>Dostupno na</w:t>
      </w:r>
      <w:r w:rsidRPr="004E6412">
        <w:rPr>
          <w:b/>
          <w:sz w:val="20"/>
          <w:szCs w:val="20"/>
        </w:rPr>
        <w:t xml:space="preserve">: </w:t>
      </w:r>
      <w:r w:rsidRPr="004E6412">
        <w:rPr>
          <w:iCs/>
          <w:sz w:val="20"/>
          <w:szCs w:val="20"/>
        </w:rPr>
        <w:t>www.fas.ie/en/pubdocs/DevelopingFutureReport.pdf</w:t>
      </w:r>
      <w:r w:rsidRPr="004E6412">
        <w:rPr>
          <w:sz w:val="20"/>
          <w:szCs w:val="20"/>
        </w:rPr>
        <w:t>‎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lastRenderedPageBreak/>
        <w:t xml:space="preserve">Mejtoft, T. (2008) </w:t>
      </w:r>
      <w:r w:rsidRPr="004E6412">
        <w:rPr>
          <w:i/>
          <w:sz w:val="20"/>
          <w:szCs w:val="20"/>
        </w:rPr>
        <w:t>Institutional Arrangements and Competitive Posture: Effects of Company Structures in the Commercial Printing Industry</w:t>
      </w:r>
      <w:r w:rsidRPr="004E6412">
        <w:rPr>
          <w:sz w:val="20"/>
          <w:szCs w:val="20"/>
        </w:rPr>
        <w:t>. PhD Thesis. Stockholm: Royal Institute of Technology, KTH.</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Mesaroš, F. (1970) </w:t>
      </w:r>
      <w:r w:rsidRPr="004E6412">
        <w:rPr>
          <w:i/>
          <w:sz w:val="20"/>
          <w:szCs w:val="20"/>
        </w:rPr>
        <w:t>Grafička enciklopedija</w:t>
      </w:r>
      <w:r w:rsidRPr="004E6412">
        <w:rPr>
          <w:sz w:val="20"/>
          <w:szCs w:val="20"/>
        </w:rPr>
        <w:t>. Zagreb: Tehnička knjiga.</w:t>
      </w:r>
    </w:p>
    <w:p w:rsidR="001B41B0" w:rsidRPr="004E6412" w:rsidRDefault="001B41B0" w:rsidP="006A331D">
      <w:pPr>
        <w:numPr>
          <w:ilvl w:val="0"/>
          <w:numId w:val="121"/>
        </w:numPr>
        <w:spacing w:line="240" w:lineRule="auto"/>
        <w:rPr>
          <w:sz w:val="20"/>
          <w:szCs w:val="20"/>
        </w:rPr>
      </w:pPr>
      <w:r w:rsidRPr="004E6412">
        <w:rPr>
          <w:sz w:val="20"/>
          <w:szCs w:val="20"/>
        </w:rPr>
        <w:t>Mickeviciene, R. (2011) Global Competition in Shipbuilding: Trends and Challenges for Europe. Dostupno na: http://www.intechopen.com/books/the-economic-geography-of-globalization/global-shipbuilding-competition-trends-and-challenges-for-europe[1.7.2013.].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RH (2012) Klaster konkurentnosti prehrambeno prerađivačkog sektora. Dostupno na: http://www.razvoj-klastera.hr/wp-content/uploads/STRATE%C5%A0KESMJERNICEPREHRAMBENOPRERA%C4%90IVA%C4%8CKI-SEKTOR.pdf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rada i poduzetništva (2008) Strateške odrednice razvitka industrije kože i proizvoda od kože u Hrvatskoj za razdoblje od 2008.-2015. godine. Zagreb.</w:t>
      </w:r>
    </w:p>
    <w:p w:rsidR="001B41B0" w:rsidRPr="004E6412" w:rsidRDefault="001B41B0" w:rsidP="006A331D">
      <w:pPr>
        <w:numPr>
          <w:ilvl w:val="0"/>
          <w:numId w:val="121"/>
        </w:numPr>
        <w:spacing w:line="240" w:lineRule="auto"/>
        <w:rPr>
          <w:sz w:val="20"/>
          <w:szCs w:val="20"/>
        </w:rPr>
      </w:pPr>
      <w:r w:rsidRPr="004E6412">
        <w:rPr>
          <w:sz w:val="20"/>
          <w:szCs w:val="20"/>
        </w:rPr>
        <w:t>Mossialos, E., Walley, T. i Mrazek, M. (2004) Regulating pharmaceuticals in Europe: striving for efficiency, equity and quality. European Observatory on health care systems series. Open university press.</w:t>
      </w:r>
    </w:p>
    <w:p w:rsidR="001B41B0" w:rsidRPr="004E6412" w:rsidRDefault="001B41B0" w:rsidP="006A331D">
      <w:pPr>
        <w:numPr>
          <w:ilvl w:val="0"/>
          <w:numId w:val="121"/>
        </w:numPr>
        <w:spacing w:line="240" w:lineRule="auto"/>
        <w:rPr>
          <w:sz w:val="20"/>
          <w:szCs w:val="20"/>
        </w:rPr>
      </w:pPr>
      <w:r w:rsidRPr="004E6412">
        <w:rPr>
          <w:sz w:val="20"/>
          <w:szCs w:val="20"/>
        </w:rPr>
        <w:t xml:space="preserve">Nacionalna Klasifikacija Djelatnosti 2007. s objašnjenjima. Dostupno na </w:t>
      </w:r>
      <w:hyperlink r:id="rId162"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Nogare L. D. (2006) </w:t>
      </w:r>
      <w:r w:rsidRPr="004E6412">
        <w:rPr>
          <w:i/>
          <w:sz w:val="20"/>
          <w:szCs w:val="20"/>
        </w:rPr>
        <w:t>Grow or go: a theory-building study regarding the survival and growth of micro-small enteprises: action-oriented research conducted at Werbedruck Petzold, Gerrnsheim.</w:t>
      </w:r>
      <w:r w:rsidRPr="004E6412">
        <w:rPr>
          <w:b/>
          <w:sz w:val="20"/>
          <w:szCs w:val="20"/>
        </w:rPr>
        <w:t xml:space="preserve"> </w:t>
      </w:r>
      <w:r w:rsidRPr="004E6412">
        <w:rPr>
          <w:sz w:val="20"/>
          <w:szCs w:val="20"/>
        </w:rPr>
        <w:t>PhD Thesis. Germany: Southern Cross University.</w:t>
      </w:r>
    </w:p>
    <w:p w:rsidR="001B41B0" w:rsidRPr="004E6412" w:rsidRDefault="001B41B0" w:rsidP="006A331D">
      <w:pPr>
        <w:numPr>
          <w:ilvl w:val="0"/>
          <w:numId w:val="121"/>
        </w:numPr>
        <w:spacing w:line="240" w:lineRule="auto"/>
        <w:contextualSpacing/>
        <w:rPr>
          <w:sz w:val="20"/>
          <w:szCs w:val="20"/>
        </w:rPr>
      </w:pPr>
      <w:r w:rsidRPr="004E6412">
        <w:rPr>
          <w:sz w:val="20"/>
          <w:szCs w:val="20"/>
        </w:rPr>
        <w:t>Nordas, H. K. (2004) The global textile and clothing industry post the Agreement on Textiles and Clothing , Discussion Paper. World Trade Organisation, Ženeva: Švicarska.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Novotny, D. (2013) Tržište hrane EU-trendovi i prilike za hrvatsku prehrambenu industriju. Izlaganje na konferenciji: „Na pragu EU: prehrambena industrija“. Opatija, 7.-8.3.2012. Dostupno na: </w:t>
      </w:r>
      <w:hyperlink r:id="rId163" w:history="1">
        <w:r w:rsidRPr="004E6412">
          <w:rPr>
            <w:sz w:val="20"/>
            <w:szCs w:val="20"/>
          </w:rPr>
          <w:t>http://www.hgk.hr/wp-content/blogs.dir/1/files_mf/program66.pdf</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OECD (2010) Annual Survey of Manufactures. Dostupno na: http://stats.oecd.org/mei/default.asp?lang=e&amp;subject=6&amp;country=TUR [27.6.2013.].</w:t>
      </w:r>
    </w:p>
    <w:p w:rsidR="001B41B0" w:rsidRPr="004E6412" w:rsidRDefault="001B41B0" w:rsidP="006A331D">
      <w:pPr>
        <w:numPr>
          <w:ilvl w:val="0"/>
          <w:numId w:val="121"/>
        </w:numPr>
        <w:spacing w:line="240" w:lineRule="auto"/>
        <w:rPr>
          <w:sz w:val="20"/>
          <w:szCs w:val="20"/>
        </w:rPr>
      </w:pPr>
      <w:r w:rsidRPr="004E6412">
        <w:rPr>
          <w:sz w:val="20"/>
          <w:szCs w:val="20"/>
        </w:rPr>
        <w:t xml:space="preserve">Office of Transportation and Machinery, Departmenf of Commerce (2011) US Automotive Parts Industry Annual Assessment, 2011. Dostupno na: </w:t>
      </w:r>
      <w:r w:rsidRPr="004E6412">
        <w:rPr>
          <w:iCs/>
          <w:sz w:val="20"/>
          <w:szCs w:val="20"/>
        </w:rPr>
        <w:t>www.trade.gov/mas/manufacturing/oaai/build/.../tg_oaai_003660.pdf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bCs/>
          <w:sz w:val="20"/>
          <w:szCs w:val="20"/>
          <w:shd w:val="clear" w:color="auto" w:fill="FFFFFF"/>
        </w:rPr>
        <w:t>Orsag</w:t>
      </w:r>
      <w:r w:rsidRPr="004E6412">
        <w:rPr>
          <w:sz w:val="20"/>
          <w:szCs w:val="20"/>
          <w:shd w:val="clear" w:color="auto" w:fill="FFFFFF"/>
        </w:rPr>
        <w:t xml:space="preserve">, S. (2011) </w:t>
      </w:r>
      <w:r w:rsidRPr="004E6412">
        <w:rPr>
          <w:bCs/>
          <w:i/>
          <w:sz w:val="20"/>
          <w:szCs w:val="20"/>
          <w:shd w:val="clear" w:color="auto" w:fill="FFFFFF"/>
        </w:rPr>
        <w:t>Vrijednosni papiri</w:t>
      </w:r>
      <w:r w:rsidRPr="004E6412">
        <w:rPr>
          <w:sz w:val="20"/>
          <w:szCs w:val="20"/>
          <w:shd w:val="clear" w:color="auto" w:fill="FFFFFF"/>
        </w:rPr>
        <w:t xml:space="preserve">: </w:t>
      </w:r>
      <w:r w:rsidRPr="004E6412">
        <w:rPr>
          <w:i/>
          <w:sz w:val="20"/>
          <w:szCs w:val="20"/>
          <w:shd w:val="clear" w:color="auto" w:fill="FFFFFF"/>
        </w:rPr>
        <w:t>Investicije i instrumenti financiranja</w:t>
      </w:r>
      <w:r w:rsidRPr="004E6412">
        <w:rPr>
          <w:sz w:val="20"/>
          <w:szCs w:val="20"/>
          <w:shd w:val="clear" w:color="auto" w:fill="FFFFFF"/>
        </w:rPr>
        <w:t>. Sarajevo: Revicon.</w:t>
      </w:r>
    </w:p>
    <w:p w:rsidR="001B41B0" w:rsidRPr="004E6412" w:rsidRDefault="001B41B0" w:rsidP="006A331D">
      <w:pPr>
        <w:numPr>
          <w:ilvl w:val="0"/>
          <w:numId w:val="121"/>
        </w:numPr>
        <w:spacing w:line="240" w:lineRule="auto"/>
        <w:contextualSpacing/>
        <w:rPr>
          <w:sz w:val="20"/>
          <w:szCs w:val="20"/>
        </w:rPr>
      </w:pPr>
      <w:r w:rsidRPr="004E6412">
        <w:rPr>
          <w:sz w:val="20"/>
          <w:szCs w:val="20"/>
        </w:rPr>
        <w:t>Overview of the soft drinks and juices markets in Europe. Dostupno na: http://foodmarkets.wordpress.com/2010./10/26/soft-drinks-market-europe/[27.6.2013.].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Palepu, K. G., Healy, P. M., Bernard, V. L. (2003) </w:t>
      </w:r>
      <w:r w:rsidRPr="004E6412">
        <w:rPr>
          <w:i/>
          <w:sz w:val="20"/>
          <w:szCs w:val="20"/>
        </w:rPr>
        <w:t xml:space="preserve">Business Analysis and Valuation: Using Financial Statements, Text and Cases. </w:t>
      </w:r>
      <w:r w:rsidRPr="004E6412">
        <w:rPr>
          <w:sz w:val="20"/>
          <w:szCs w:val="20"/>
        </w:rPr>
        <w:t>Treće izdanje. Cengage.</w:t>
      </w:r>
    </w:p>
    <w:p w:rsidR="001B41B0" w:rsidRPr="004E6412" w:rsidRDefault="001B41B0" w:rsidP="006A331D">
      <w:pPr>
        <w:numPr>
          <w:ilvl w:val="0"/>
          <w:numId w:val="121"/>
        </w:numPr>
        <w:spacing w:line="240" w:lineRule="auto"/>
        <w:contextualSpacing/>
        <w:rPr>
          <w:sz w:val="20"/>
          <w:szCs w:val="20"/>
        </w:rPr>
      </w:pPr>
      <w:r w:rsidRPr="004E6412">
        <w:rPr>
          <w:sz w:val="20"/>
          <w:szCs w:val="20"/>
        </w:rPr>
        <w:t>Parker. P. M. (2005) The 2005-2010. World Outlook for Printing and Related Support Activities. ICON Group Ltd.</w:t>
      </w:r>
    </w:p>
    <w:p w:rsidR="001B41B0" w:rsidRPr="004E6412" w:rsidRDefault="001B41B0" w:rsidP="006A331D">
      <w:pPr>
        <w:numPr>
          <w:ilvl w:val="0"/>
          <w:numId w:val="121"/>
        </w:numPr>
        <w:spacing w:line="240" w:lineRule="auto"/>
        <w:rPr>
          <w:sz w:val="20"/>
          <w:szCs w:val="20"/>
        </w:rPr>
      </w:pPr>
      <w:r w:rsidRPr="004E6412">
        <w:rPr>
          <w:sz w:val="20"/>
          <w:szCs w:val="20"/>
        </w:rPr>
        <w:t xml:space="preserve">Permanand, G. i Altenstetter, C. (2004) The politics of pharmaceuticals in the European Union. U: Mossialos, E., Walley, T. i Mrazek, M. (ur.) </w:t>
      </w:r>
      <w:r w:rsidRPr="004E6412">
        <w:rPr>
          <w:i/>
          <w:sz w:val="20"/>
          <w:szCs w:val="20"/>
        </w:rPr>
        <w:t>Regulating pharmaceuticals in Europe: striving for efficiency, equity and quality</w:t>
      </w:r>
      <w:r w:rsidRPr="004E6412">
        <w:rPr>
          <w:sz w:val="20"/>
          <w:szCs w:val="20"/>
        </w:rPr>
        <w:t xml:space="preserve">. European Observatory on health care systems series. Open university press. </w:t>
      </w:r>
    </w:p>
    <w:p w:rsidR="001B41B0" w:rsidRPr="004E6412" w:rsidRDefault="001B41B0" w:rsidP="006A331D">
      <w:pPr>
        <w:numPr>
          <w:ilvl w:val="0"/>
          <w:numId w:val="121"/>
        </w:numPr>
        <w:spacing w:line="240" w:lineRule="auto"/>
        <w:rPr>
          <w:sz w:val="20"/>
          <w:szCs w:val="20"/>
        </w:rPr>
      </w:pPr>
      <w:r w:rsidRPr="004E6412">
        <w:rPr>
          <w:sz w:val="20"/>
          <w:szCs w:val="20"/>
        </w:rPr>
        <w:t xml:space="preserve">Petrić,D, Vusić, D. I Geček, R.:Kartoni: od proizvodnje do konačne primjene, </w:t>
      </w:r>
      <w:r w:rsidRPr="004E6412">
        <w:rPr>
          <w:i/>
          <w:sz w:val="20"/>
          <w:szCs w:val="20"/>
        </w:rPr>
        <w:t xml:space="preserve">Tehnički glasnik, </w:t>
      </w:r>
      <w:r w:rsidRPr="004E6412">
        <w:rPr>
          <w:sz w:val="20"/>
          <w:szCs w:val="20"/>
        </w:rPr>
        <w:t>6, (2), str. 19-227.</w:t>
      </w:r>
    </w:p>
    <w:p w:rsidR="001B41B0" w:rsidRPr="004E6412" w:rsidRDefault="001B41B0" w:rsidP="006A331D">
      <w:pPr>
        <w:numPr>
          <w:ilvl w:val="0"/>
          <w:numId w:val="121"/>
        </w:numPr>
        <w:spacing w:line="240" w:lineRule="auto"/>
        <w:rPr>
          <w:sz w:val="20"/>
          <w:szCs w:val="20"/>
        </w:rPr>
      </w:pPr>
      <w:r w:rsidRPr="004E6412">
        <w:rPr>
          <w:sz w:val="20"/>
          <w:szCs w:val="20"/>
        </w:rPr>
        <w:t xml:space="preserve">PlasticsEurope  (2012) Plastics – An analysis of European plastics production, demand and waste data for 2011. Dpstupno na: </w:t>
      </w:r>
      <w:hyperlink r:id="rId164" w:history="1">
        <w:r w:rsidRPr="004E6412">
          <w:rPr>
            <w:sz w:val="20"/>
            <w:szCs w:val="20"/>
          </w:rPr>
          <w:t>http://www.plasticseurope.org/documents/document/20111107101127final_pe_factsfigures_uk2011_lr_041111.pdf</w:t>
        </w:r>
      </w:hyperlink>
      <w:r w:rsidRPr="004E6412">
        <w:rPr>
          <w:sz w:val="20"/>
          <w:szCs w:val="20"/>
        </w:rPr>
        <w:t>. [20.8.2013.].</w:t>
      </w:r>
    </w:p>
    <w:p w:rsidR="001B41B0" w:rsidRPr="004E6412" w:rsidRDefault="001B41B0" w:rsidP="006A331D">
      <w:pPr>
        <w:numPr>
          <w:ilvl w:val="0"/>
          <w:numId w:val="121"/>
        </w:numPr>
        <w:spacing w:line="240" w:lineRule="auto"/>
        <w:rPr>
          <w:sz w:val="20"/>
          <w:szCs w:val="20"/>
        </w:rPr>
      </w:pPr>
      <w:r w:rsidRPr="004E6412">
        <w:rPr>
          <w:sz w:val="20"/>
          <w:szCs w:val="20"/>
        </w:rPr>
        <w:t>Porter, M. E. (1980) C</w:t>
      </w:r>
      <w:r w:rsidRPr="004E6412">
        <w:rPr>
          <w:i/>
          <w:sz w:val="20"/>
          <w:szCs w:val="20"/>
        </w:rPr>
        <w:t>ompetitive Strategy: Techniques for Analyzing Industries and Competitors</w:t>
      </w:r>
      <w:r w:rsidRPr="004E6412">
        <w:rPr>
          <w:sz w:val="20"/>
          <w:szCs w:val="20"/>
        </w:rPr>
        <w:t>. New York:  The Free Press.</w:t>
      </w:r>
    </w:p>
    <w:p w:rsidR="001B41B0" w:rsidRPr="004E6412" w:rsidRDefault="001B41B0" w:rsidP="006A331D">
      <w:pPr>
        <w:numPr>
          <w:ilvl w:val="0"/>
          <w:numId w:val="121"/>
        </w:numPr>
        <w:spacing w:line="240" w:lineRule="auto"/>
        <w:rPr>
          <w:sz w:val="20"/>
          <w:szCs w:val="20"/>
        </w:rPr>
      </w:pPr>
      <w:r w:rsidRPr="004E6412">
        <w:rPr>
          <w:sz w:val="20"/>
          <w:szCs w:val="20"/>
        </w:rPr>
        <w:t>Pravilnik o mjerilima za određivanje cijena lijekova na veliko i o načinu izvješćivanja o cijenama na veliko. Narodne novine, 83/13.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(2010) Turning the Page: the Future of e-books. Dostupno na: </w:t>
      </w:r>
      <w:hyperlink r:id="rId165"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[20.08.2013.].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(2013) Forging Ahead – Second-quarter 2013 Global Metals Industry Mergers and Acquisitions Analysis. Dostupno na: </w:t>
      </w:r>
      <w:r w:rsidRPr="004E6412">
        <w:rPr>
          <w:iCs/>
          <w:sz w:val="20"/>
          <w:szCs w:val="20"/>
        </w:rPr>
        <w:t>www.slideshare.net/Mines_and.../pwc-</w:t>
      </w:r>
      <w:r w:rsidRPr="004E6412">
        <w:rPr>
          <w:bCs/>
          <w:iCs/>
          <w:sz w:val="20"/>
          <w:szCs w:val="20"/>
        </w:rPr>
        <w:t>forgingahead</w:t>
      </w:r>
      <w:r w:rsidRPr="004E6412">
        <w:rPr>
          <w:iCs/>
          <w:sz w:val="20"/>
          <w:szCs w:val="20"/>
        </w:rPr>
        <w:t>q32012-16382795</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PriceWaterhouseCoopers, From vision to decision, Pharma2020. Dostupno na: http://www.pwc.com/gx/en/pharma-life-sciences/pharma2020/vision-to-decision.jhtml [21.6.2013.].</w:t>
      </w:r>
    </w:p>
    <w:p w:rsidR="001B41B0" w:rsidRPr="004E6412" w:rsidRDefault="001B41B0" w:rsidP="006A331D">
      <w:pPr>
        <w:numPr>
          <w:ilvl w:val="0"/>
          <w:numId w:val="121"/>
        </w:numPr>
        <w:spacing w:line="240" w:lineRule="auto"/>
        <w:rPr>
          <w:sz w:val="20"/>
          <w:szCs w:val="20"/>
        </w:rPr>
      </w:pPr>
      <w:r w:rsidRPr="004E6412">
        <w:rPr>
          <w:sz w:val="20"/>
          <w:szCs w:val="20"/>
        </w:rPr>
        <w:t xml:space="preserve">PRWeb. Electricity Meter (Smart Meters) Market - New Market Research Report Published. Dostupno na:  </w:t>
      </w:r>
      <w:hyperlink r:id="rId166" w:history="1">
        <w:r w:rsidRPr="004E6412">
          <w:rPr>
            <w:iCs/>
            <w:sz w:val="20"/>
            <w:szCs w:val="20"/>
          </w:rPr>
          <w:t>www.prweb.com/releases/2013/5/prweb10767692.htm</w:t>
        </w:r>
      </w:hyperlink>
      <w:r w:rsidRPr="004E6412">
        <w:rPr>
          <w:sz w:val="20"/>
          <w:szCs w:val="20"/>
        </w:rPr>
        <w:t xml:space="preserve"> [21.6.2013.].</w:t>
      </w:r>
    </w:p>
    <w:p w:rsidR="001B41B0" w:rsidRPr="004E6412" w:rsidRDefault="001B41B0" w:rsidP="006A331D">
      <w:pPr>
        <w:numPr>
          <w:ilvl w:val="0"/>
          <w:numId w:val="121"/>
        </w:numPr>
        <w:spacing w:line="240" w:lineRule="auto"/>
        <w:rPr>
          <w:sz w:val="20"/>
          <w:szCs w:val="20"/>
        </w:rPr>
      </w:pPr>
      <w:r w:rsidRPr="004E6412">
        <w:rPr>
          <w:sz w:val="20"/>
          <w:szCs w:val="20"/>
        </w:rPr>
        <w:lastRenderedPageBreak/>
        <w:t>PWC, Introducing the Pharma 2020 Series. Dostupno na: http://www.pwc.com/en_GX/gx/pharma-life-sciences/pdf/introducing-the-pharma-2020-series-july-2011.pdf[22.6.2013.].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Rabobank (2013) Report: Global Beverage Outlook 2013 – Thirsting for Growth. Dostupno na: http://rabobank-food-agribusiness-research.pressdoc.com/37714-rabobank-report-global-beverage-outlook-2013-thirsting-for-growth </w:t>
      </w:r>
      <w:r w:rsidRPr="004E6412">
        <w:rPr>
          <w:sz w:val="20"/>
          <w:szCs w:val="20"/>
        </w:rPr>
        <w:t>[30.6.2013.].</w:t>
      </w:r>
    </w:p>
    <w:p w:rsidR="001B41B0" w:rsidRPr="004E6412" w:rsidRDefault="001B41B0" w:rsidP="006A331D">
      <w:pPr>
        <w:numPr>
          <w:ilvl w:val="0"/>
          <w:numId w:val="121"/>
        </w:numPr>
        <w:spacing w:line="240" w:lineRule="auto"/>
        <w:rPr>
          <w:sz w:val="20"/>
          <w:szCs w:val="20"/>
        </w:rPr>
      </w:pPr>
      <w:r w:rsidRPr="004E6412">
        <w:rPr>
          <w:sz w:val="20"/>
          <w:szCs w:val="20"/>
        </w:rPr>
        <w:t xml:space="preserve">Reed Electronics Research. The European Electronics Industry. Dostupno na: </w:t>
      </w:r>
      <w:hyperlink r:id="rId167" w:history="1">
        <w:r w:rsidRPr="004E6412">
          <w:rPr>
            <w:sz w:val="20"/>
            <w:szCs w:val="20"/>
          </w:rPr>
          <w:t>http://www.rer.co.uk/image/data/Sample%20Downloads/European%20Electronics%20Production.pdf</w:t>
        </w:r>
      </w:hyperlink>
      <w:r w:rsidRPr="004E6412">
        <w:rPr>
          <w:sz w:val="20"/>
          <w:szCs w:val="20"/>
        </w:rPr>
        <w:t xml:space="preserve">  [1.7.2013.].</w:t>
      </w:r>
    </w:p>
    <w:p w:rsidR="001B41B0" w:rsidRPr="004E6412" w:rsidRDefault="004F14D7" w:rsidP="006A331D">
      <w:pPr>
        <w:numPr>
          <w:ilvl w:val="0"/>
          <w:numId w:val="121"/>
        </w:numPr>
        <w:spacing w:line="240" w:lineRule="auto"/>
        <w:rPr>
          <w:bCs/>
          <w:sz w:val="20"/>
          <w:szCs w:val="20"/>
        </w:rPr>
      </w:pPr>
      <w:r w:rsidRPr="004E6412">
        <w:rPr>
          <w:sz w:val="20"/>
          <w:szCs w:val="20"/>
        </w:rPr>
        <w:t xml:space="preserve">Report Buyer, internetska </w:t>
      </w:r>
      <w:r w:rsidR="001B41B0" w:rsidRPr="004E6412">
        <w:rPr>
          <w:sz w:val="20"/>
          <w:szCs w:val="20"/>
        </w:rPr>
        <w:t xml:space="preserve">stranica. Dostupno na: </w:t>
      </w:r>
      <w:hyperlink r:id="rId168" w:history="1">
        <w:r w:rsidR="001B41B0" w:rsidRPr="004E6412">
          <w:rPr>
            <w:bCs/>
            <w:sz w:val="20"/>
            <w:szCs w:val="20"/>
          </w:rPr>
          <w:t>http://www.reportbuyer.com/business_government/misc_business_services/machinery_maintenance_heavy_equipment_repair_services_us.html</w:t>
        </w:r>
      </w:hyperlink>
      <w:r w:rsidR="001B41B0"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Report Linker. Dostupno na: </w:t>
      </w:r>
      <w:hyperlink r:id="rId169" w:history="1">
        <w:r w:rsidRPr="004E6412">
          <w:rPr>
            <w:sz w:val="20"/>
            <w:szCs w:val="20"/>
          </w:rPr>
          <w:t>http://www.reportlinker.com/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Research and Markets (2011) Petroleum Coke Industry to 2015 - Strong Demand Growth Driven by Increased Focus on Fuel Diversification. Dostupno na: </w:t>
      </w:r>
      <w:hyperlink r:id="rId170" w:history="1">
        <w:r w:rsidRPr="004E6412">
          <w:rPr>
            <w:sz w:val="20"/>
            <w:szCs w:val="20"/>
          </w:rPr>
          <w:t>http://www.researchandmarkets.com/reports/1839621/petroleum_coke_industry_to_2015_strong_demand</w:t>
        </w:r>
      </w:hyperlink>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Research and markets (2012.) Global Beverage Industry 2012.-2017: Trend, Profit and Forecast Analysis. Dostupno na: http://www.researchandmarkets.com/reports/2313594/global_beverage_industry_2012.2017_trend_profit [30.6.2013.].</w:t>
      </w:r>
    </w:p>
    <w:p w:rsidR="001B41B0" w:rsidRPr="004E6412" w:rsidRDefault="001B41B0" w:rsidP="006A331D">
      <w:pPr>
        <w:numPr>
          <w:ilvl w:val="0"/>
          <w:numId w:val="121"/>
        </w:numPr>
        <w:spacing w:line="240" w:lineRule="auto"/>
        <w:rPr>
          <w:sz w:val="20"/>
          <w:szCs w:val="20"/>
        </w:rPr>
      </w:pPr>
      <w:r w:rsidRPr="004E6412">
        <w:rPr>
          <w:sz w:val="20"/>
          <w:szCs w:val="20"/>
        </w:rPr>
        <w:t>Resources Net (2011) Coke Market Survey, Resouces Net. dostupno na:</w:t>
      </w:r>
      <w:r w:rsidRPr="004E6412">
        <w:rPr>
          <w:iCs/>
          <w:sz w:val="20"/>
          <w:szCs w:val="20"/>
        </w:rPr>
        <w:t xml:space="preserve"> www.</w:t>
      </w:r>
      <w:r w:rsidRPr="004E6412">
        <w:rPr>
          <w:bCs/>
          <w:iCs/>
          <w:sz w:val="20"/>
          <w:szCs w:val="20"/>
        </w:rPr>
        <w:t>resource</w:t>
      </w:r>
      <w:r w:rsidRPr="004E6412">
        <w:rPr>
          <w:iCs/>
          <w:sz w:val="20"/>
          <w:szCs w:val="20"/>
        </w:rPr>
        <w:t>-</w:t>
      </w:r>
      <w:r w:rsidRPr="004E6412">
        <w:rPr>
          <w:bCs/>
          <w:iCs/>
          <w:sz w:val="20"/>
          <w:szCs w:val="20"/>
        </w:rPr>
        <w:t>net</w:t>
      </w:r>
      <w:r w:rsidRPr="004E6412">
        <w:rPr>
          <w:iCs/>
          <w:sz w:val="20"/>
          <w:szCs w:val="20"/>
        </w:rPr>
        <w:t>.com/files/Sample_Pages.pdf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Roland Berger (2013) Global pharmaceutical industry is in a strategic crisis – Business models must be adjusted. Dostupno na: http://www.rolandberger.com/media/press_releases/513-press_archive2013_sc_content/Pharmaceutical_industry_in_a_strategic_crisis.html[22.6.2013.</w:t>
      </w:r>
      <w:r w:rsidR="004F14D7" w:rsidRPr="004E6412">
        <w:rPr>
          <w:sz w:val="20"/>
          <w:szCs w:val="20"/>
        </w:rPr>
        <w:t>].</w:t>
      </w:r>
    </w:p>
    <w:p w:rsidR="001B41B0" w:rsidRPr="004E6412" w:rsidRDefault="001B41B0" w:rsidP="006A331D">
      <w:pPr>
        <w:numPr>
          <w:ilvl w:val="0"/>
          <w:numId w:val="121"/>
        </w:numPr>
        <w:spacing w:line="240" w:lineRule="auto"/>
        <w:rPr>
          <w:sz w:val="20"/>
          <w:szCs w:val="20"/>
        </w:rPr>
      </w:pPr>
      <w:r w:rsidRPr="004E6412">
        <w:rPr>
          <w:sz w:val="20"/>
          <w:szCs w:val="20"/>
        </w:rPr>
        <w:t xml:space="preserve">Romano, F. (2006) The state of print. Info trend. Inc. Dostupno na: </w:t>
      </w:r>
      <w:r w:rsidRPr="004E6412">
        <w:rPr>
          <w:iCs/>
          <w:sz w:val="20"/>
          <w:szCs w:val="20"/>
        </w:rPr>
        <w:t>www.doxnet.de/pdf_dateien/drupa-08-02-</w:t>
      </w:r>
      <w:r w:rsidRPr="004E6412">
        <w:rPr>
          <w:bCs/>
          <w:iCs/>
          <w:sz w:val="20"/>
          <w:szCs w:val="20"/>
        </w:rPr>
        <w:t>Romano</w:t>
      </w:r>
      <w:r w:rsidRPr="004E6412">
        <w:rPr>
          <w:iCs/>
          <w:sz w:val="20"/>
          <w:szCs w:val="20"/>
        </w:rPr>
        <w:t xml:space="preserve">.pdf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Scheffer, M. (2012.) In-depth assessment of the situation of the t&amp;c sector in the EU and prospects. Dostupno na: </w:t>
      </w:r>
      <w:hyperlink r:id="rId171" w:history="1">
        <w:r w:rsidRPr="004E6412">
          <w:rPr>
            <w:sz w:val="20"/>
            <w:szCs w:val="20"/>
          </w:rPr>
          <w:t>http://ec.europa.eu/enterprise/sectors/textiles/single-market/EU27/</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SCI Verkehr GmbH (2009) The World Market for Diesel Locomotives - Vehicle Fleets, Procurements, Manufacturers, Market Development. Dostupno na: .http://www.sci.de/fileadmin/user_upload/en/mcs/Fahrzeugsegment/PDF/090427_Product_information_MC-Diesel-Locomotives_EN.pdf ‎ ‎[27.6.2013.].</w:t>
      </w:r>
    </w:p>
    <w:p w:rsidR="001B41B0" w:rsidRPr="004E6412" w:rsidRDefault="001B41B0" w:rsidP="006A331D">
      <w:pPr>
        <w:numPr>
          <w:ilvl w:val="0"/>
          <w:numId w:val="121"/>
        </w:numPr>
        <w:spacing w:line="240" w:lineRule="auto"/>
        <w:rPr>
          <w:sz w:val="20"/>
          <w:szCs w:val="20"/>
        </w:rPr>
      </w:pPr>
      <w:r w:rsidRPr="004E6412">
        <w:rPr>
          <w:sz w:val="20"/>
          <w:szCs w:val="20"/>
        </w:rPr>
        <w:t>Sektor drvno-prerađivačke industrije u Hrvatskoj, pripremljeno u okviru: projekta “Podrška razvoja klastera”. Dostupno na: www.razvoj-klastera.hr [30.6.2013.].</w:t>
      </w:r>
    </w:p>
    <w:p w:rsidR="001B41B0" w:rsidRPr="004E6412" w:rsidRDefault="001B41B0" w:rsidP="006A331D">
      <w:pPr>
        <w:numPr>
          <w:ilvl w:val="0"/>
          <w:numId w:val="121"/>
        </w:numPr>
        <w:spacing w:line="240" w:lineRule="auto"/>
        <w:rPr>
          <w:sz w:val="20"/>
          <w:szCs w:val="20"/>
        </w:rPr>
      </w:pPr>
      <w:r w:rsidRPr="004E6412">
        <w:rPr>
          <w:sz w:val="20"/>
          <w:szCs w:val="20"/>
        </w:rPr>
        <w:t xml:space="preserve">Select USA </w:t>
      </w:r>
      <w:r w:rsidRPr="004E6412">
        <w:rPr>
          <w:i/>
          <w:sz w:val="20"/>
          <w:szCs w:val="20"/>
        </w:rPr>
        <w:t>web</w:t>
      </w:r>
      <w:r w:rsidRPr="004E6412">
        <w:rPr>
          <w:sz w:val="20"/>
          <w:szCs w:val="20"/>
        </w:rPr>
        <w:t xml:space="preserve"> stranica. The Machinery and Equipment Industry in the United States. Dostupno na: </w:t>
      </w:r>
      <w:hyperlink r:id="rId172" w:history="1">
        <w:r w:rsidRPr="004E6412">
          <w:rPr>
            <w:sz w:val="20"/>
            <w:szCs w:val="20"/>
          </w:rPr>
          <w:t>http://selectusa.commerce.gov/industry-snapshots/machinery-and-equipment-industry-united-states</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Taplin, I. (2006) Restructuring and reconfiguration – The EU textile and clothing industry adapts to change, </w:t>
      </w:r>
      <w:r w:rsidRPr="004E6412">
        <w:rPr>
          <w:i/>
          <w:sz w:val="20"/>
          <w:szCs w:val="20"/>
        </w:rPr>
        <w:t>Journal of fashion marketing and management</w:t>
      </w:r>
      <w:r w:rsidRPr="004E6412">
        <w:rPr>
          <w:sz w:val="20"/>
          <w:szCs w:val="20"/>
        </w:rPr>
        <w:t>, 18 (3), str. 172-186.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(2000) Industrijska politika u nemirnim uvjetima, </w:t>
      </w:r>
      <w:r w:rsidRPr="004E6412">
        <w:rPr>
          <w:i/>
          <w:sz w:val="20"/>
          <w:szCs w:val="20"/>
        </w:rPr>
        <w:t>Ekonomski pregled</w:t>
      </w:r>
      <w:r w:rsidRPr="004E6412">
        <w:rPr>
          <w:sz w:val="20"/>
          <w:szCs w:val="20"/>
        </w:rPr>
        <w:t>, 51 (1-2), str. 37-54.</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Buturac, G. (2006) Perspektive industrijske proizvodnje u Hrvatskoj i intraindustrijska razmjena, </w:t>
      </w:r>
      <w:r w:rsidRPr="004E6412">
        <w:rPr>
          <w:i/>
          <w:sz w:val="20"/>
          <w:szCs w:val="20"/>
        </w:rPr>
        <w:t>Ekonomski pregled</w:t>
      </w:r>
      <w:r w:rsidRPr="004E6412">
        <w:rPr>
          <w:sz w:val="20"/>
          <w:szCs w:val="20"/>
        </w:rPr>
        <w:t>, 57 (11), str. 705-729.</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Tetra Pak (2011) 2020 vision: 8 global trends that will dominate food and beverage manufacturing in the next 8 years. Report. Dostupno na: </w:t>
      </w:r>
      <w:hyperlink r:id="rId173" w:history="1">
        <w:r w:rsidRPr="004E6412">
          <w:rPr>
            <w:sz w:val="20"/>
            <w:szCs w:val="20"/>
          </w:rPr>
          <w:t>http://campaign.tetrapak.com/tetra-brik-edge/upload/tb-edge/whitepapers/Whitepaper_Manufacturer_Trends.pdf</w:t>
        </w:r>
      </w:hyperlink>
      <w:r w:rsidRPr="004E6412">
        <w:rPr>
          <w:sz w:val="20"/>
          <w:szCs w:val="20"/>
        </w:rPr>
        <w:t>. ‎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The Economist (2013) The Global Cement Industry – Ready Mixed Fortunes. Dostupno na: </w:t>
      </w:r>
      <w:hyperlink r:id="rId174" w:history="1">
        <w:r w:rsidRPr="004E6412">
          <w:rPr>
            <w:sz w:val="20"/>
            <w:szCs w:val="20"/>
          </w:rPr>
          <w:t>http://www.economist.com/news/business/21579844-worlds-cement-giants-look-set-recoverybut-will-it-be-durable-ready-mixed-fortunes</w:t>
        </w:r>
      </w:hyperlink>
      <w:r w:rsidRPr="004E6412">
        <w:rPr>
          <w:sz w:val="20"/>
          <w:szCs w:val="20"/>
        </w:rPr>
        <w:t xml:space="preserve"> [28.7.2013.].</w:t>
      </w:r>
    </w:p>
    <w:p w:rsidR="001B41B0" w:rsidRPr="004E6412" w:rsidRDefault="001B41B0" w:rsidP="006A331D">
      <w:pPr>
        <w:numPr>
          <w:ilvl w:val="0"/>
          <w:numId w:val="121"/>
        </w:numPr>
        <w:spacing w:line="240" w:lineRule="auto"/>
        <w:contextualSpacing/>
        <w:rPr>
          <w:sz w:val="20"/>
          <w:szCs w:val="20"/>
        </w:rPr>
      </w:pPr>
      <w:r w:rsidRPr="004E6412">
        <w:rPr>
          <w:sz w:val="20"/>
          <w:szCs w:val="20"/>
        </w:rPr>
        <w:t>The textile and clothing sector in Europe. Dostupno na: http://www.texmedin.eu/upldocumenti/131_THE%20TEXTILE%20AND%20CLOTHING%20SECTOR%20IN%20EUROPE.pdf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Tintor, J. (2009) </w:t>
      </w:r>
      <w:r w:rsidRPr="004E6412">
        <w:rPr>
          <w:i/>
          <w:sz w:val="20"/>
          <w:szCs w:val="20"/>
        </w:rPr>
        <w:t>Poslovna analiza</w:t>
      </w:r>
      <w:r w:rsidRPr="004E6412">
        <w:rPr>
          <w:sz w:val="20"/>
          <w:szCs w:val="20"/>
        </w:rPr>
        <w:t xml:space="preserve">. Zagreb: Masmedia.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Tirole, J. (1988) The </w:t>
      </w:r>
      <w:r w:rsidRPr="004E6412">
        <w:rPr>
          <w:i/>
          <w:sz w:val="20"/>
          <w:szCs w:val="20"/>
        </w:rPr>
        <w:t>Theory of Industrial Organization</w:t>
      </w:r>
      <w:r w:rsidRPr="004E6412">
        <w:rPr>
          <w:sz w:val="20"/>
          <w:szCs w:val="20"/>
        </w:rPr>
        <w:t xml:space="preserve">. Cambridge, MA: M.I.T. Press. </w:t>
      </w:r>
    </w:p>
    <w:p w:rsidR="001B41B0" w:rsidRPr="004E6412" w:rsidRDefault="001B41B0" w:rsidP="006A331D">
      <w:pPr>
        <w:numPr>
          <w:ilvl w:val="0"/>
          <w:numId w:val="121"/>
        </w:numPr>
        <w:spacing w:line="240" w:lineRule="auto"/>
        <w:contextualSpacing/>
        <w:rPr>
          <w:sz w:val="20"/>
          <w:szCs w:val="20"/>
        </w:rPr>
      </w:pPr>
      <w:r w:rsidRPr="004E6412">
        <w:rPr>
          <w:sz w:val="20"/>
          <w:szCs w:val="20"/>
        </w:rPr>
        <w:t>Tomi Ahonen Almanac (2013) Dostupno na:  www.</w:t>
      </w:r>
      <w:r w:rsidRPr="004E6412">
        <w:rPr>
          <w:bCs/>
          <w:sz w:val="20"/>
          <w:szCs w:val="20"/>
        </w:rPr>
        <w:t>tomiahonen</w:t>
      </w:r>
      <w:r w:rsidRPr="004E6412">
        <w:rPr>
          <w:sz w:val="20"/>
          <w:szCs w:val="20"/>
        </w:rPr>
        <w:t>.com/ebook/</w:t>
      </w:r>
      <w:r w:rsidRPr="004E6412">
        <w:rPr>
          <w:bCs/>
          <w:sz w:val="20"/>
          <w:szCs w:val="20"/>
        </w:rPr>
        <w:t>almanac</w:t>
      </w:r>
      <w:r w:rsidRPr="004E6412">
        <w:rPr>
          <w:sz w:val="20"/>
          <w:szCs w:val="20"/>
        </w:rPr>
        <w:t>.html‎ [28.6.2013.].</w:t>
      </w:r>
    </w:p>
    <w:p w:rsidR="001B41B0" w:rsidRPr="004E6412" w:rsidRDefault="001B41B0" w:rsidP="006A331D">
      <w:pPr>
        <w:numPr>
          <w:ilvl w:val="0"/>
          <w:numId w:val="121"/>
        </w:numPr>
        <w:spacing w:line="240" w:lineRule="auto"/>
        <w:jc w:val="left"/>
        <w:rPr>
          <w:sz w:val="20"/>
          <w:szCs w:val="20"/>
        </w:rPr>
      </w:pPr>
      <w:r w:rsidRPr="004E6412">
        <w:rPr>
          <w:sz w:val="20"/>
          <w:szCs w:val="20"/>
        </w:rPr>
        <w:t xml:space="preserve">UNCE, Index of presentations. Dostupno na: </w:t>
      </w:r>
      <w:hyperlink r:id="rId175" w:history="1">
        <w:r w:rsidRPr="004E6412">
          <w:rPr>
            <w:sz w:val="20"/>
            <w:szCs w:val="20"/>
          </w:rPr>
          <w:t>http://www.unece.org/fileadmin/DAM/timber/mis/presentations/PepkeGlobalWoodMkts050510.pdf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lastRenderedPageBreak/>
        <w:t xml:space="preserve">UNIDO (2009) </w:t>
      </w:r>
      <w:r w:rsidRPr="004E6412">
        <w:rPr>
          <w:bCs/>
          <w:sz w:val="20"/>
          <w:szCs w:val="20"/>
        </w:rPr>
        <w:t>Globalization, the Changed Global</w:t>
      </w:r>
      <w:r w:rsidRPr="004E6412">
        <w:rPr>
          <w:sz w:val="20"/>
          <w:szCs w:val="20"/>
        </w:rPr>
        <w:t xml:space="preserve"> </w:t>
      </w:r>
      <w:r w:rsidRPr="004E6412">
        <w:rPr>
          <w:bCs/>
          <w:sz w:val="20"/>
          <w:szCs w:val="20"/>
        </w:rPr>
        <w:t>Dynamics of the Clothing and Textile</w:t>
      </w:r>
      <w:r w:rsidRPr="004E6412">
        <w:rPr>
          <w:sz w:val="20"/>
          <w:szCs w:val="20"/>
        </w:rPr>
        <w:t xml:space="preserve"> </w:t>
      </w:r>
      <w:r w:rsidRPr="004E6412">
        <w:rPr>
          <w:bCs/>
          <w:sz w:val="20"/>
          <w:szCs w:val="20"/>
        </w:rPr>
        <w:t>Value Chains and the Impact</w:t>
      </w:r>
      <w:r w:rsidRPr="004E6412">
        <w:rPr>
          <w:sz w:val="20"/>
          <w:szCs w:val="20"/>
        </w:rPr>
        <w:t xml:space="preserve"> </w:t>
      </w:r>
      <w:r w:rsidRPr="004E6412">
        <w:rPr>
          <w:bCs/>
          <w:sz w:val="20"/>
          <w:szCs w:val="20"/>
        </w:rPr>
        <w:t>on Sub-Saharan Africa.UNIDO  Working paper 10/2008.</w:t>
      </w:r>
    </w:p>
    <w:p w:rsidR="001B41B0" w:rsidRPr="004E6412" w:rsidRDefault="001B41B0" w:rsidP="006A331D">
      <w:pPr>
        <w:numPr>
          <w:ilvl w:val="0"/>
          <w:numId w:val="121"/>
        </w:numPr>
        <w:spacing w:line="240" w:lineRule="auto"/>
        <w:contextualSpacing/>
        <w:rPr>
          <w:sz w:val="20"/>
          <w:szCs w:val="20"/>
        </w:rPr>
      </w:pPr>
      <w:r w:rsidRPr="004E6412">
        <w:rPr>
          <w:sz w:val="20"/>
          <w:szCs w:val="20"/>
        </w:rPr>
        <w:t>UNIDO i Gherzi (2009) Update of the Textile Garment Industry sector study. United Nations Industrial Development Organisation, Abuja, str. 43-47.</w:t>
      </w:r>
    </w:p>
    <w:p w:rsidR="001B41B0" w:rsidRPr="004E6412" w:rsidRDefault="001B41B0" w:rsidP="006A331D">
      <w:pPr>
        <w:numPr>
          <w:ilvl w:val="0"/>
          <w:numId w:val="121"/>
        </w:numPr>
        <w:spacing w:line="240" w:lineRule="auto"/>
        <w:contextualSpacing/>
        <w:jc w:val="left"/>
        <w:rPr>
          <w:sz w:val="20"/>
          <w:szCs w:val="20"/>
        </w:rPr>
      </w:pPr>
      <w:r w:rsidRPr="004E6412">
        <w:rPr>
          <w:sz w:val="20"/>
          <w:szCs w:val="20"/>
        </w:rPr>
        <w:t xml:space="preserve">United Nations Environment Programme (2013) The Global Chemical Outlook – Towards Sound Management of Chemicals. Dostupno na: </w:t>
      </w:r>
      <w:hyperlink r:id="rId176" w:history="1">
        <w:r w:rsidRPr="004E6412">
          <w:rPr>
            <w:iCs/>
            <w:sz w:val="20"/>
            <w:szCs w:val="20"/>
          </w:rPr>
          <w:t>www.</w:t>
        </w:r>
        <w:r w:rsidRPr="004E6412">
          <w:rPr>
            <w:bCs/>
            <w:iCs/>
            <w:sz w:val="20"/>
            <w:szCs w:val="20"/>
          </w:rPr>
          <w:t>unep</w:t>
        </w:r>
        <w:r w:rsidRPr="004E6412">
          <w:rPr>
            <w:iCs/>
            <w:sz w:val="20"/>
            <w:szCs w:val="20"/>
          </w:rPr>
          <w:t>.org/.../The%20</w:t>
        </w:r>
        <w:r w:rsidRPr="004E6412">
          <w:rPr>
            <w:bCs/>
            <w:iCs/>
            <w:sz w:val="20"/>
            <w:szCs w:val="20"/>
          </w:rPr>
          <w:t>Global</w:t>
        </w:r>
        <w:r w:rsidRPr="004E6412">
          <w:rPr>
            <w:iCs/>
            <w:sz w:val="20"/>
            <w:szCs w:val="20"/>
          </w:rPr>
          <w:t>%20</w:t>
        </w:r>
        <w:r w:rsidRPr="004E6412">
          <w:rPr>
            <w:bCs/>
            <w:iCs/>
            <w:sz w:val="20"/>
            <w:szCs w:val="20"/>
          </w:rPr>
          <w:t>Chemical</w:t>
        </w:r>
        <w:r w:rsidRPr="004E6412">
          <w:rPr>
            <w:iCs/>
            <w:sz w:val="20"/>
            <w:szCs w:val="20"/>
          </w:rPr>
          <w:t>%20</w:t>
        </w:r>
        <w:r w:rsidRPr="004E6412">
          <w:rPr>
            <w:bCs/>
            <w:iCs/>
            <w:sz w:val="20"/>
            <w:szCs w:val="20"/>
          </w:rPr>
          <w:t>Outlook</w:t>
        </w:r>
        <w:r w:rsidRPr="004E6412">
          <w:rPr>
            <w:iCs/>
            <w:sz w:val="20"/>
            <w:szCs w:val="20"/>
          </w:rPr>
          <w:t>_Full%20report</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United States Department of Labour (2013) Industries at a Glance: Nonmetallic Mineral Product Manufacturing. Dostupno na: </w:t>
      </w:r>
      <w:hyperlink r:id="rId177" w:history="1">
        <w:r w:rsidRPr="004E6412">
          <w:rPr>
            <w:sz w:val="20"/>
            <w:szCs w:val="20"/>
          </w:rPr>
          <w:t>http://www.bls.gov/iag/tgs/iag327.htm</w:t>
        </w:r>
      </w:hyperlink>
      <w:r w:rsidRPr="004E6412">
        <w:rPr>
          <w:sz w:val="20"/>
          <w:szCs w:val="20"/>
        </w:rPr>
        <w:t xml:space="preserve"> [1.8.2013.].</w:t>
      </w:r>
    </w:p>
    <w:p w:rsidR="001B41B0" w:rsidRPr="004E6412" w:rsidRDefault="001B41B0" w:rsidP="006A331D">
      <w:pPr>
        <w:numPr>
          <w:ilvl w:val="0"/>
          <w:numId w:val="121"/>
        </w:numPr>
        <w:spacing w:line="240" w:lineRule="auto"/>
        <w:rPr>
          <w:sz w:val="20"/>
          <w:szCs w:val="20"/>
        </w:rPr>
      </w:pPr>
      <w:r w:rsidRPr="004E6412">
        <w:rPr>
          <w:sz w:val="20"/>
          <w:szCs w:val="20"/>
        </w:rPr>
        <w:t>US Department of Commerce (2013) Advance Report on Durable Goods Manufacturers’ Shipments, Inventories and Orders. Dostupno na: http://www.census.gov/manufacturing/m3/adv/pdf/durgd.pdf [1.7.2013.].</w:t>
      </w:r>
    </w:p>
    <w:p w:rsidR="001B41B0" w:rsidRPr="004E6412" w:rsidRDefault="001B41B0" w:rsidP="006A331D">
      <w:pPr>
        <w:numPr>
          <w:ilvl w:val="0"/>
          <w:numId w:val="121"/>
        </w:numPr>
        <w:spacing w:line="240" w:lineRule="auto"/>
        <w:rPr>
          <w:sz w:val="20"/>
          <w:szCs w:val="20"/>
        </w:rPr>
      </w:pPr>
      <w:r w:rsidRPr="004E6412">
        <w:rPr>
          <w:sz w:val="20"/>
          <w:szCs w:val="20"/>
        </w:rPr>
        <w:t xml:space="preserve">US Department of Commerce (2013) </w:t>
      </w:r>
      <w:r w:rsidRPr="004E6412">
        <w:rPr>
          <w:bCs/>
          <w:sz w:val="20"/>
          <w:szCs w:val="20"/>
        </w:rPr>
        <w:t>Advance Report on Durable Goods Manufacturers’ Shipments, Inventories and Orders</w:t>
      </w:r>
      <w:r w:rsidRPr="004E6412">
        <w:rPr>
          <w:sz w:val="20"/>
          <w:szCs w:val="20"/>
        </w:rPr>
        <w:t xml:space="preserve">. Dostupno na: </w:t>
      </w:r>
      <w:hyperlink r:id="rId178" w:history="1">
        <w:r w:rsidRPr="004E6412">
          <w:rPr>
            <w:sz w:val="20"/>
            <w:szCs w:val="20"/>
          </w:rPr>
          <w:t>http://www.census.gov/manufacturing/m3/adv/pdf/durgd.pdf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Value Line Research Hub (2013) Industry Analysis: Metal Fabricating. Dostupno na: </w:t>
      </w:r>
      <w:hyperlink r:id="rId179" w:history="1">
        <w:r w:rsidRPr="004E6412">
          <w:rPr>
            <w:sz w:val="20"/>
            <w:szCs w:val="20"/>
          </w:rPr>
          <w:t>http://www.valueline.com/Stocks/Industry_Report.aspx?id=7248</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Vlada Republike Hrvatske (2008) Industrijska politika Republike Hrvatske u pripremi za članstvo u EU. </w:t>
      </w:r>
    </w:p>
    <w:p w:rsidR="001B41B0" w:rsidRPr="004E6412" w:rsidRDefault="001B41B0" w:rsidP="006A331D">
      <w:pPr>
        <w:numPr>
          <w:ilvl w:val="0"/>
          <w:numId w:val="121"/>
        </w:numPr>
        <w:spacing w:line="240" w:lineRule="auto"/>
        <w:rPr>
          <w:sz w:val="20"/>
          <w:szCs w:val="20"/>
        </w:rPr>
      </w:pPr>
      <w:r w:rsidRPr="004E6412">
        <w:rPr>
          <w:sz w:val="20"/>
          <w:szCs w:val="20"/>
        </w:rPr>
        <w:t xml:space="preserve">Vukušić, M. (2011) Nadoknada troška lijeka u Hrvatskoj, </w:t>
      </w:r>
      <w:r w:rsidRPr="004E6412">
        <w:rPr>
          <w:i/>
          <w:sz w:val="20"/>
          <w:szCs w:val="20"/>
        </w:rPr>
        <w:t>Liječnički vjesnik</w:t>
      </w:r>
      <w:r w:rsidRPr="004E6412">
        <w:rPr>
          <w:sz w:val="20"/>
          <w:szCs w:val="20"/>
        </w:rPr>
        <w:t>, 132, str. 134-143.</w:t>
      </w:r>
    </w:p>
    <w:p w:rsidR="001B41B0" w:rsidRPr="004E6412" w:rsidRDefault="001B41B0" w:rsidP="006A331D">
      <w:pPr>
        <w:numPr>
          <w:ilvl w:val="0"/>
          <w:numId w:val="121"/>
        </w:numPr>
        <w:spacing w:line="240" w:lineRule="auto"/>
        <w:rPr>
          <w:sz w:val="20"/>
          <w:szCs w:val="20"/>
        </w:rPr>
      </w:pPr>
      <w:r w:rsidRPr="004E6412">
        <w:rPr>
          <w:sz w:val="20"/>
          <w:szCs w:val="20"/>
        </w:rPr>
        <w:t xml:space="preserve">Weathers, N. (2003) Marketing strategy to enhance the competitiveness of African clothing firms under the African Growth and Opportunity Act. Istraživanje Philadelphia University. Dostupno na: </w:t>
      </w:r>
      <w:r w:rsidRPr="004E6412">
        <w:rPr>
          <w:iCs/>
          <w:sz w:val="20"/>
          <w:szCs w:val="20"/>
        </w:rPr>
        <w:t xml:space="preserve">faculty.philau.edu/nixonn/download/AFR_APP_MKT2USA.pdf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Webster, T. J. (2003) </w:t>
      </w:r>
      <w:r w:rsidRPr="004E6412">
        <w:rPr>
          <w:i/>
          <w:sz w:val="20"/>
          <w:szCs w:val="20"/>
        </w:rPr>
        <w:t>Managerial Economics: Theory and Practice.</w:t>
      </w:r>
      <w:r w:rsidRPr="004E6412">
        <w:rPr>
          <w:sz w:val="20"/>
          <w:szCs w:val="20"/>
        </w:rPr>
        <w:t xml:space="preserve"> Elsevier.</w:t>
      </w:r>
    </w:p>
    <w:p w:rsidR="001B41B0" w:rsidRPr="004E6412" w:rsidRDefault="001B41B0" w:rsidP="006A331D">
      <w:pPr>
        <w:numPr>
          <w:ilvl w:val="0"/>
          <w:numId w:val="121"/>
        </w:numPr>
        <w:spacing w:line="240" w:lineRule="auto"/>
        <w:rPr>
          <w:sz w:val="20"/>
          <w:szCs w:val="20"/>
        </w:rPr>
      </w:pPr>
      <w:r w:rsidRPr="004E6412">
        <w:rPr>
          <w:sz w:val="20"/>
          <w:szCs w:val="20"/>
        </w:rPr>
        <w:t xml:space="preserve">Wheelen, T. L., Hunger, D. J. (2012) </w:t>
      </w:r>
      <w:r w:rsidRPr="004E6412">
        <w:rPr>
          <w:i/>
          <w:sz w:val="20"/>
          <w:szCs w:val="20"/>
        </w:rPr>
        <w:t xml:space="preserve">Strategic Management and Business Policy: Toward Global Sustainability. </w:t>
      </w:r>
      <w:r w:rsidRPr="004E6412">
        <w:rPr>
          <w:sz w:val="20"/>
          <w:szCs w:val="20"/>
        </w:rPr>
        <w:t>Trinaesto izdanje. New Jersey: Pearson.</w:t>
      </w:r>
    </w:p>
    <w:p w:rsidR="001B41B0" w:rsidRPr="004E6412" w:rsidRDefault="001B41B0" w:rsidP="006A331D">
      <w:pPr>
        <w:numPr>
          <w:ilvl w:val="0"/>
          <w:numId w:val="121"/>
        </w:numPr>
        <w:spacing w:after="80" w:line="240" w:lineRule="auto"/>
        <w:rPr>
          <w:sz w:val="20"/>
          <w:szCs w:val="20"/>
        </w:rPr>
      </w:pPr>
      <w:r w:rsidRPr="004E6412">
        <w:rPr>
          <w:sz w:val="20"/>
          <w:szCs w:val="20"/>
        </w:rPr>
        <w:t>World Furniture.com (2013) International Markets Review</w:t>
      </w:r>
      <w:r w:rsidRPr="004E6412">
        <w:rPr>
          <w:i/>
          <w:sz w:val="20"/>
          <w:szCs w:val="20"/>
        </w:rPr>
        <w:t xml:space="preserve">. </w:t>
      </w:r>
      <w:r w:rsidRPr="004E6412">
        <w:rPr>
          <w:sz w:val="20"/>
          <w:szCs w:val="20"/>
        </w:rPr>
        <w:t>Dostupno na  http://www.worldfurnitureonline.com/PDF/WFR-Magazine.pdf[1.7.2013.].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Shipyard Monitor. Dostupno na:  </w:t>
      </w:r>
      <w:r w:rsidRPr="004E6412">
        <w:rPr>
          <w:iCs/>
          <w:sz w:val="20"/>
          <w:szCs w:val="20"/>
        </w:rPr>
        <w:t>www.crsl.com/acatalog/</w:t>
      </w:r>
      <w:r w:rsidRPr="004E6412">
        <w:rPr>
          <w:bCs/>
          <w:iCs/>
          <w:sz w:val="20"/>
          <w:szCs w:val="20"/>
        </w:rPr>
        <w:t>world</w:t>
      </w:r>
      <w:r w:rsidRPr="004E6412">
        <w:rPr>
          <w:iCs/>
          <w:sz w:val="20"/>
          <w:szCs w:val="20"/>
        </w:rPr>
        <w:t>-</w:t>
      </w:r>
      <w:r w:rsidRPr="004E6412">
        <w:rPr>
          <w:bCs/>
          <w:iCs/>
          <w:sz w:val="20"/>
          <w:szCs w:val="20"/>
        </w:rPr>
        <w:t>shipyard</w:t>
      </w:r>
      <w:r w:rsidRPr="004E6412">
        <w:rPr>
          <w:iCs/>
          <w:sz w:val="20"/>
          <w:szCs w:val="20"/>
        </w:rPr>
        <w:t>-</w:t>
      </w:r>
      <w:r w:rsidRPr="004E6412">
        <w:rPr>
          <w:bCs/>
          <w:iCs/>
          <w:sz w:val="20"/>
          <w:szCs w:val="20"/>
        </w:rPr>
        <w:t>monitor</w:t>
      </w:r>
      <w:r w:rsidRPr="004E6412">
        <w:rPr>
          <w:iCs/>
          <w:sz w:val="20"/>
          <w:szCs w:val="20"/>
        </w:rPr>
        <w:t xml:space="preserve">.html </w:t>
      </w:r>
      <w:r w:rsidRPr="004E6412">
        <w:rPr>
          <w:sz w:val="20"/>
          <w:szCs w:val="20"/>
        </w:rPr>
        <w:t>‎[30.6.2013.].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Steel Association (2012) World Steel in Figures. Dostupno na: </w:t>
      </w:r>
      <w:hyperlink r:id="rId180" w:history="1">
        <w:r w:rsidRPr="004E6412">
          <w:rPr>
            <w:sz w:val="20"/>
            <w:szCs w:val="20"/>
          </w:rPr>
          <w:t>http://www.worldsteel.org/dms/internetDocumentList/bookshop/WSIF_2012/document/World%20Steel%20in%20Figures%202012.pdf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World Trade Organization (2013) Statistics. Dostupno na: http://www.wto.org/english/res_e/statis_e/its2012._e/its12_merch_trade_product_e.htm [28.6.2013.].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Trade Organization, </w:t>
      </w:r>
      <w:r w:rsidRPr="004E6412">
        <w:rPr>
          <w:i/>
          <w:sz w:val="20"/>
          <w:szCs w:val="20"/>
        </w:rPr>
        <w:t>web</w:t>
      </w:r>
      <w:r w:rsidRPr="004E6412">
        <w:rPr>
          <w:sz w:val="20"/>
          <w:szCs w:val="20"/>
        </w:rPr>
        <w:t xml:space="preserve"> stranica. Dostupno na: </w:t>
      </w:r>
      <w:hyperlink r:id="rId181" w:history="1">
        <w:r w:rsidRPr="004E6412">
          <w:rPr>
            <w:sz w:val="20"/>
            <w:szCs w:val="20"/>
          </w:rPr>
          <w:t>www.wto.com</w:t>
        </w:r>
      </w:hyperlink>
      <w:r w:rsidRPr="004E6412">
        <w:rPr>
          <w:sz w:val="20"/>
          <w:szCs w:val="20"/>
        </w:rPr>
        <w:t>, 2009. [26.7.2013.].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Wing Energy Association. Dostupno na: </w:t>
      </w:r>
      <w:hyperlink r:id="rId182" w:history="1">
        <w:r w:rsidRPr="004E6412">
          <w:rPr>
            <w:sz w:val="20"/>
            <w:szCs w:val="20"/>
          </w:rPr>
          <w:t>http://www.wwindea.org</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Worthington, I., Britton, C., Rees, A. (2005) </w:t>
      </w:r>
      <w:r w:rsidRPr="004E6412">
        <w:rPr>
          <w:i/>
          <w:sz w:val="20"/>
          <w:szCs w:val="20"/>
        </w:rPr>
        <w:t xml:space="preserve">Economics for Business: Blending Theory and Practice. </w:t>
      </w:r>
      <w:r w:rsidRPr="004E6412">
        <w:rPr>
          <w:sz w:val="20"/>
          <w:szCs w:val="20"/>
        </w:rPr>
        <w:t xml:space="preserve"> Drugo izdanje. Prentice Hall.</w:t>
      </w:r>
    </w:p>
    <w:p w:rsidR="001B41B0" w:rsidRPr="004E6412" w:rsidRDefault="001B41B0" w:rsidP="006A331D">
      <w:pPr>
        <w:numPr>
          <w:ilvl w:val="0"/>
          <w:numId w:val="121"/>
        </w:numPr>
        <w:spacing w:line="240" w:lineRule="auto"/>
        <w:rPr>
          <w:sz w:val="20"/>
          <w:szCs w:val="20"/>
        </w:rPr>
      </w:pPr>
      <w:r w:rsidRPr="004E6412">
        <w:rPr>
          <w:sz w:val="20"/>
          <w:szCs w:val="20"/>
        </w:rPr>
        <w:t>Wrinkle, H. (2012) Apparel industry trends: from farm to factory. Dostupno na:</w:t>
      </w:r>
      <w:r w:rsidRPr="004E6412">
        <w:rPr>
          <w:i/>
          <w:iCs/>
          <w:sz w:val="20"/>
          <w:szCs w:val="20"/>
        </w:rPr>
        <w:t xml:space="preserve"> </w:t>
      </w:r>
      <w:r w:rsidRPr="004E6412">
        <w:rPr>
          <w:iCs/>
          <w:sz w:val="20"/>
          <w:szCs w:val="20"/>
        </w:rPr>
        <w:t>www.free2work.org/</w:t>
      </w:r>
      <w:r w:rsidRPr="004E6412">
        <w:rPr>
          <w:bCs/>
          <w:iCs/>
          <w:sz w:val="20"/>
          <w:szCs w:val="20"/>
        </w:rPr>
        <w:t>trends</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Industry</w:t>
      </w:r>
      <w:r w:rsidRPr="004E6412">
        <w:rPr>
          <w:iCs/>
          <w:sz w:val="20"/>
          <w:szCs w:val="20"/>
        </w:rPr>
        <w:t>-</w:t>
      </w:r>
      <w:r w:rsidRPr="004E6412">
        <w:rPr>
          <w:bCs/>
          <w:iCs/>
          <w:sz w:val="20"/>
          <w:szCs w:val="20"/>
        </w:rPr>
        <w:t>Trends</w:t>
      </w:r>
      <w:r w:rsidRPr="004E6412">
        <w:rPr>
          <w:iCs/>
          <w:sz w:val="20"/>
          <w:szCs w:val="20"/>
        </w:rPr>
        <w:t>-2012.pdf</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Wyman O. (2011) The Changing Locomotive Marketplace: Implications for Future Demand. Dostupno na: </w:t>
      </w:r>
      <w:r w:rsidRPr="004E6412">
        <w:rPr>
          <w:iCs/>
          <w:sz w:val="20"/>
          <w:szCs w:val="20"/>
        </w:rPr>
        <w:t>rail.railplanning.com/2011/05/05/</w:t>
      </w:r>
      <w:r w:rsidRPr="004E6412">
        <w:rPr>
          <w:bCs/>
          <w:iCs/>
          <w:sz w:val="20"/>
          <w:szCs w:val="20"/>
        </w:rPr>
        <w:t>loco</w:t>
      </w:r>
      <w:r w:rsidRPr="004E6412">
        <w:rPr>
          <w:iCs/>
          <w:sz w:val="20"/>
          <w:szCs w:val="20"/>
        </w:rPr>
        <w:t>-</w:t>
      </w:r>
      <w:r w:rsidRPr="004E6412">
        <w:rPr>
          <w:bCs/>
          <w:iCs/>
          <w:sz w:val="20"/>
          <w:szCs w:val="20"/>
        </w:rPr>
        <w:t>marketplace</w:t>
      </w:r>
      <w:r w:rsidRPr="004E6412">
        <w:rPr>
          <w:iCs/>
          <w:sz w:val="20"/>
          <w:szCs w:val="20"/>
        </w:rPr>
        <w:t>/</w:t>
      </w:r>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Zelenika, R., Kaurić A. (2011) Ocjena ekonomskog položaja tekstilne industrije u Republici Hrvatskoj, </w:t>
      </w:r>
      <w:r w:rsidRPr="004E6412">
        <w:rPr>
          <w:i/>
          <w:sz w:val="20"/>
          <w:szCs w:val="20"/>
        </w:rPr>
        <w:t>Ekonomska misao i praksa</w:t>
      </w:r>
      <w:r w:rsidRPr="004E6412">
        <w:rPr>
          <w:sz w:val="20"/>
          <w:szCs w:val="20"/>
        </w:rPr>
        <w:t>, 2011 (2), str. 543-566.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Žager K., Mamić Sačer, I., Sever, S., Žager L. (2008) </w:t>
      </w:r>
      <w:r w:rsidRPr="004E6412">
        <w:rPr>
          <w:i/>
          <w:sz w:val="20"/>
          <w:szCs w:val="20"/>
        </w:rPr>
        <w:t>Analiza financijskih izvještaja.</w:t>
      </w:r>
      <w:r w:rsidRPr="004E6412">
        <w:rPr>
          <w:sz w:val="20"/>
          <w:szCs w:val="20"/>
        </w:rPr>
        <w:t xml:space="preserve"> Drugo prošireno izdanje. Zagreb: Masmedia.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Žibret, B., Čorak, T., Debelak, S. (2012) Preporuke za hrvatsku prehrambenu industriju pred ulaskom u EU. ATKearney. Dostupno na: </w:t>
      </w:r>
      <w:hyperlink r:id="rId183" w:history="1">
        <w:r w:rsidRPr="004E6412">
          <w:rPr>
            <w:sz w:val="20"/>
            <w:szCs w:val="20"/>
          </w:rPr>
          <w:t>http://www.atkearney.si/index.php/Publications/preporuke-za-hrvatsku-prehrambenu-industriju-pred-ulaskom-u-eu.html</w:t>
        </w:r>
      </w:hyperlink>
      <w:r w:rsidRPr="004E6412">
        <w:rPr>
          <w:sz w:val="20"/>
          <w:szCs w:val="20"/>
        </w:rPr>
        <w:t xml:space="preserve"> [27.6.2013.].</w:t>
      </w:r>
    </w:p>
    <w:p w:rsidR="001B41B0" w:rsidRPr="004E6412" w:rsidRDefault="001B41B0" w:rsidP="006A331D">
      <w:pPr>
        <w:spacing w:line="240" w:lineRule="auto"/>
        <w:contextualSpacing/>
        <w:rPr>
          <w:sz w:val="20"/>
          <w:szCs w:val="20"/>
        </w:rPr>
      </w:pPr>
    </w:p>
    <w:p w:rsidR="001B41B0" w:rsidRPr="004E6412" w:rsidRDefault="001B41B0" w:rsidP="006A331D">
      <w:pPr>
        <w:spacing w:line="240" w:lineRule="auto"/>
        <w:rPr>
          <w:b/>
          <w:sz w:val="20"/>
          <w:szCs w:val="20"/>
        </w:rPr>
      </w:pPr>
      <w:r w:rsidRPr="004E6412">
        <w:rPr>
          <w:b/>
          <w:sz w:val="20"/>
          <w:szCs w:val="20"/>
        </w:rPr>
        <w:t>Građevinarstvo</w:t>
      </w:r>
    </w:p>
    <w:p w:rsidR="001B41B0" w:rsidRPr="004E6412" w:rsidRDefault="001B41B0" w:rsidP="006A331D">
      <w:pPr>
        <w:numPr>
          <w:ilvl w:val="0"/>
          <w:numId w:val="119"/>
        </w:numPr>
        <w:spacing w:line="240" w:lineRule="auto"/>
        <w:rPr>
          <w:sz w:val="20"/>
          <w:szCs w:val="20"/>
        </w:rPr>
      </w:pPr>
      <w:r w:rsidRPr="004E6412">
        <w:rPr>
          <w:sz w:val="20"/>
          <w:szCs w:val="20"/>
        </w:rPr>
        <w:t xml:space="preserve">Armstrong, T. (2012) The cement industry in figures - An overview of global cement sector trends. Dostupno na: </w:t>
      </w:r>
      <w:hyperlink r:id="rId184" w:history="1">
        <w:r w:rsidRPr="004E6412">
          <w:rPr>
            <w:sz w:val="20"/>
            <w:szCs w:val="20"/>
          </w:rPr>
          <w:t>http://www.ficem.org/pres/THOMAS-ARMSTRONG-LA-INDUSTRIA-DEL-CEMENTO-EN-CIFRAS.pdf</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Bayramoglu, S. (2001) Partnering In Construction: Improvement through Integration And Collaboration</w:t>
      </w:r>
      <w:r w:rsidRPr="004E6412">
        <w:rPr>
          <w:i/>
          <w:sz w:val="20"/>
          <w:szCs w:val="20"/>
        </w:rPr>
        <w:t>, Leadership and Management in Engineering</w:t>
      </w:r>
      <w:r w:rsidRPr="004E6412">
        <w:rPr>
          <w:sz w:val="20"/>
          <w:szCs w:val="20"/>
        </w:rPr>
        <w:t>, 1 (3), str. 39-43.</w:t>
      </w:r>
    </w:p>
    <w:p w:rsidR="001B41B0" w:rsidRPr="004E6412" w:rsidRDefault="001B41B0" w:rsidP="006A331D">
      <w:pPr>
        <w:numPr>
          <w:ilvl w:val="0"/>
          <w:numId w:val="119"/>
        </w:numPr>
        <w:spacing w:line="240" w:lineRule="auto"/>
        <w:rPr>
          <w:sz w:val="20"/>
          <w:szCs w:val="20"/>
        </w:rPr>
      </w:pPr>
      <w:r w:rsidRPr="004E6412">
        <w:rPr>
          <w:sz w:val="20"/>
          <w:szCs w:val="20"/>
        </w:rPr>
        <w:t xml:space="preserve">Chen, C. i Messner, J.I. (2009) </w:t>
      </w:r>
      <w:r w:rsidRPr="004E6412">
        <w:rPr>
          <w:bCs/>
          <w:sz w:val="20"/>
          <w:szCs w:val="20"/>
        </w:rPr>
        <w:t xml:space="preserve">Entry Mode Taxonomy for International Construction Markets, </w:t>
      </w:r>
      <w:r w:rsidRPr="004E6412">
        <w:rPr>
          <w:bCs/>
          <w:i/>
          <w:sz w:val="20"/>
          <w:szCs w:val="20"/>
        </w:rPr>
        <w:t>Journal of Management in Engineering</w:t>
      </w:r>
      <w:r w:rsidRPr="004E6412">
        <w:rPr>
          <w:bCs/>
          <w:sz w:val="20"/>
          <w:szCs w:val="20"/>
        </w:rPr>
        <w:t>, 25 (3), str. 3-11.</w:t>
      </w:r>
    </w:p>
    <w:p w:rsidR="001B41B0" w:rsidRPr="004E6412" w:rsidRDefault="001B41B0" w:rsidP="006A331D">
      <w:pPr>
        <w:numPr>
          <w:ilvl w:val="0"/>
          <w:numId w:val="119"/>
        </w:numPr>
        <w:spacing w:line="240" w:lineRule="auto"/>
        <w:rPr>
          <w:sz w:val="20"/>
          <w:szCs w:val="20"/>
        </w:rPr>
      </w:pPr>
      <w:r w:rsidRPr="004E6412">
        <w:rPr>
          <w:sz w:val="20"/>
          <w:szCs w:val="20"/>
        </w:rPr>
        <w:t xml:space="preserve">Državni zavod za statistiku. Dostupno na: </w:t>
      </w:r>
      <w:hyperlink r:id="rId185" w:history="1">
        <w:r w:rsidRPr="004E6412">
          <w:rPr>
            <w:rStyle w:val="Hyperlink"/>
            <w:color w:val="auto"/>
            <w:sz w:val="20"/>
            <w:szCs w:val="20"/>
            <w:u w:val="none"/>
          </w:rPr>
          <w:t>http://www.dzs.hr/</w:t>
        </w:r>
      </w:hyperlink>
      <w:r w:rsidRPr="004E6412">
        <w:rPr>
          <w:sz w:val="20"/>
          <w:szCs w:val="20"/>
        </w:rPr>
        <w:t>[27.7.2013.].</w:t>
      </w:r>
    </w:p>
    <w:p w:rsidR="001B41B0" w:rsidRPr="004E6412" w:rsidRDefault="001B41B0" w:rsidP="006A331D">
      <w:pPr>
        <w:numPr>
          <w:ilvl w:val="0"/>
          <w:numId w:val="119"/>
        </w:numPr>
        <w:spacing w:line="240" w:lineRule="auto"/>
        <w:jc w:val="left"/>
        <w:rPr>
          <w:sz w:val="20"/>
          <w:szCs w:val="20"/>
        </w:rPr>
      </w:pPr>
      <w:r w:rsidRPr="004E6412">
        <w:rPr>
          <w:sz w:val="20"/>
          <w:szCs w:val="20"/>
        </w:rPr>
        <w:lastRenderedPageBreak/>
        <w:t xml:space="preserve">Eurostat, statistika. Dostupno na: </w:t>
      </w:r>
      <w:hyperlink r:id="rId186" w:history="1">
        <w:r w:rsidRPr="004E6412">
          <w:rPr>
            <w:sz w:val="20"/>
            <w:szCs w:val="20"/>
          </w:rPr>
          <w:t>http://epp.eurostat.ec.europa.eu/statistics_explained/index.php/Wood_and_wood_product_statistics_-_NACE_Rev._1.1</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 xml:space="preserve">Financijska agencija (FINA), </w:t>
      </w:r>
      <w:r w:rsidRPr="004E6412">
        <w:rPr>
          <w:i/>
          <w:sz w:val="20"/>
          <w:szCs w:val="20"/>
        </w:rPr>
        <w:t>web</w:t>
      </w:r>
      <w:r w:rsidRPr="004E6412">
        <w:rPr>
          <w:sz w:val="20"/>
          <w:szCs w:val="20"/>
        </w:rPr>
        <w:t xml:space="preserve"> stranica. Dostupno na http://</w:t>
      </w:r>
      <w:hyperlink r:id="rId187"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88" w:history="1">
        <w:r w:rsidRPr="004E6412">
          <w:rPr>
            <w:sz w:val="20"/>
            <w:szCs w:val="20"/>
          </w:rPr>
          <w:t>www.hgk.hr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Sektor za industriju (kolovoz 2012.). Dostupno na: </w:t>
      </w:r>
      <w:hyperlink r:id="rId189"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19"/>
        </w:numPr>
        <w:spacing w:line="240" w:lineRule="auto"/>
        <w:rPr>
          <w:sz w:val="20"/>
          <w:szCs w:val="20"/>
        </w:rPr>
      </w:pPr>
      <w:r w:rsidRPr="004E6412">
        <w:rPr>
          <w:sz w:val="20"/>
          <w:szCs w:val="20"/>
        </w:rPr>
        <w:t xml:space="preserve">Nacionalna Klasifikacija Djelatnosti 2007. s objašnjenjima. Dostupno na </w:t>
      </w:r>
      <w:hyperlink r:id="rId190"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19"/>
        </w:numPr>
        <w:spacing w:line="240" w:lineRule="auto"/>
        <w:rPr>
          <w:sz w:val="20"/>
          <w:szCs w:val="20"/>
        </w:rPr>
      </w:pPr>
      <w:r w:rsidRPr="004E6412">
        <w:rPr>
          <w:sz w:val="20"/>
          <w:szCs w:val="20"/>
        </w:rPr>
        <w:t xml:space="preserve">Sleight, C. (2012) Global construction trends &amp; forecasts. Dostupno na: </w:t>
      </w:r>
      <w:hyperlink r:id="rId191" w:history="1">
        <w:r w:rsidRPr="004E6412">
          <w:rPr>
            <w:sz w:val="20"/>
            <w:szCs w:val="20"/>
          </w:rPr>
          <w:t>http://www.khl-group.com/events/itc/assets/chris-sleight.pdf</w:t>
        </w:r>
      </w:hyperlink>
      <w:r w:rsidRPr="004E6412">
        <w:rPr>
          <w:sz w:val="20"/>
          <w:szCs w:val="20"/>
        </w:rPr>
        <w:t xml:space="preserve"> [08.08.2013.].</w:t>
      </w:r>
    </w:p>
    <w:p w:rsidR="001B41B0" w:rsidRPr="004E6412" w:rsidRDefault="001B41B0" w:rsidP="006A331D">
      <w:pPr>
        <w:numPr>
          <w:ilvl w:val="0"/>
          <w:numId w:val="119"/>
        </w:numPr>
        <w:spacing w:line="240" w:lineRule="auto"/>
        <w:rPr>
          <w:sz w:val="20"/>
          <w:szCs w:val="20"/>
        </w:rPr>
      </w:pPr>
      <w:r w:rsidRPr="004E6412">
        <w:rPr>
          <w:sz w:val="20"/>
          <w:szCs w:val="20"/>
        </w:rPr>
        <w:t xml:space="preserve">Šiškina, A., Juodis, A., Apanavičiene, R. (2009) Evaluation oft he competitiveness of construction company overhead costs, </w:t>
      </w:r>
      <w:r w:rsidRPr="004E6412">
        <w:rPr>
          <w:i/>
          <w:sz w:val="20"/>
          <w:szCs w:val="20"/>
        </w:rPr>
        <w:t>Journal of civil engineering and management</w:t>
      </w:r>
      <w:r w:rsidRPr="004E6412">
        <w:rPr>
          <w:sz w:val="20"/>
          <w:szCs w:val="20"/>
        </w:rPr>
        <w:t>, 15 (2), str. 215-224.</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Informacije i komunikacije</w:t>
      </w:r>
    </w:p>
    <w:p w:rsidR="001B41B0" w:rsidRPr="004E6412" w:rsidRDefault="001B41B0" w:rsidP="006A331D">
      <w:pPr>
        <w:numPr>
          <w:ilvl w:val="0"/>
          <w:numId w:val="120"/>
        </w:numPr>
        <w:spacing w:line="240" w:lineRule="auto"/>
        <w:rPr>
          <w:sz w:val="20"/>
          <w:szCs w:val="20"/>
        </w:rPr>
      </w:pPr>
      <w:r w:rsidRPr="004E6412">
        <w:rPr>
          <w:sz w:val="20"/>
          <w:szCs w:val="20"/>
        </w:rPr>
        <w:t xml:space="preserve">Bronzin, T., Adamec, D. (2009) Programska rješenja u oblacima: Windows Azure Services. </w:t>
      </w:r>
      <w:r w:rsidRPr="004E6412">
        <w:rPr>
          <w:i/>
          <w:sz w:val="20"/>
          <w:szCs w:val="20"/>
        </w:rPr>
        <w:t>Zbornik radova</w:t>
      </w:r>
      <w:r w:rsidRPr="004E6412">
        <w:rPr>
          <w:sz w:val="20"/>
          <w:szCs w:val="20"/>
        </w:rPr>
        <w:t xml:space="preserve"> konferencije „CASE 21“. Opatija, 2009. </w:t>
      </w:r>
    </w:p>
    <w:p w:rsidR="001B41B0" w:rsidRPr="004E6412" w:rsidRDefault="001B41B0" w:rsidP="006A331D">
      <w:pPr>
        <w:numPr>
          <w:ilvl w:val="0"/>
          <w:numId w:val="120"/>
        </w:numPr>
        <w:spacing w:line="240" w:lineRule="auto"/>
        <w:rPr>
          <w:sz w:val="20"/>
          <w:szCs w:val="20"/>
        </w:rPr>
      </w:pPr>
      <w:r w:rsidRPr="004E6412">
        <w:rPr>
          <w:sz w:val="20"/>
          <w:szCs w:val="20"/>
        </w:rPr>
        <w:t xml:space="preserve">De Prato, G., Simon, J.P. (2011) The Book Industry. Joint Research Centre, European Commission. Dostupno na: </w:t>
      </w:r>
      <w:r w:rsidRPr="004E6412">
        <w:rPr>
          <w:iCs/>
          <w:sz w:val="20"/>
          <w:szCs w:val="20"/>
        </w:rPr>
        <w:t>is.</w:t>
      </w:r>
      <w:r w:rsidRPr="004E6412">
        <w:rPr>
          <w:bCs/>
          <w:iCs/>
          <w:sz w:val="20"/>
          <w:szCs w:val="20"/>
        </w:rPr>
        <w:t>jrc</w:t>
      </w:r>
      <w:r w:rsidRPr="004E6412">
        <w:rPr>
          <w:iCs/>
          <w:sz w:val="20"/>
          <w:szCs w:val="20"/>
        </w:rPr>
        <w:t>.ec.europa.eu/pages/ISG/documents/</w:t>
      </w:r>
      <w:r w:rsidRPr="004E6412">
        <w:rPr>
          <w:bCs/>
          <w:iCs/>
          <w:sz w:val="20"/>
          <w:szCs w:val="20"/>
        </w:rPr>
        <w:t>Book</w:t>
      </w:r>
      <w:r w:rsidRPr="004E6412">
        <w:rPr>
          <w:iCs/>
          <w:sz w:val="20"/>
          <w:szCs w:val="20"/>
        </w:rPr>
        <w:t>Reportwithcovers.pdf</w:t>
      </w:r>
      <w:r w:rsidRPr="004E6412">
        <w:rPr>
          <w:sz w:val="20"/>
          <w:szCs w:val="20"/>
        </w:rPr>
        <w:t>‎ [27.7.2013.].</w:t>
      </w:r>
    </w:p>
    <w:p w:rsidR="001B41B0" w:rsidRPr="004E6412" w:rsidRDefault="001B41B0" w:rsidP="006A331D">
      <w:pPr>
        <w:numPr>
          <w:ilvl w:val="0"/>
          <w:numId w:val="120"/>
        </w:numPr>
        <w:spacing w:line="240" w:lineRule="auto"/>
        <w:rPr>
          <w:sz w:val="20"/>
          <w:szCs w:val="20"/>
        </w:rPr>
      </w:pPr>
      <w:r w:rsidRPr="004E6412">
        <w:rPr>
          <w:sz w:val="20"/>
          <w:szCs w:val="20"/>
        </w:rPr>
        <w:t xml:space="preserve">Državni zavod za statistiku. Dostupno na: </w:t>
      </w:r>
      <w:hyperlink r:id="rId192" w:history="1">
        <w:r w:rsidRPr="004E6412">
          <w:rPr>
            <w:sz w:val="20"/>
            <w:szCs w:val="20"/>
          </w:rPr>
          <w:t>http://www.dzs.hr/</w:t>
        </w:r>
      </w:hyperlink>
      <w:r w:rsidRPr="004E6412">
        <w:rPr>
          <w:sz w:val="20"/>
          <w:szCs w:val="20"/>
        </w:rPr>
        <w:t xml:space="preserve"> [27.7.2013.].</w:t>
      </w:r>
    </w:p>
    <w:p w:rsidR="001B41B0" w:rsidRPr="004E6412" w:rsidRDefault="001B41B0" w:rsidP="006A331D">
      <w:pPr>
        <w:numPr>
          <w:ilvl w:val="0"/>
          <w:numId w:val="120"/>
        </w:numPr>
        <w:spacing w:line="240" w:lineRule="auto"/>
        <w:rPr>
          <w:sz w:val="20"/>
          <w:szCs w:val="20"/>
        </w:rPr>
      </w:pPr>
      <w:r w:rsidRPr="004E6412">
        <w:rPr>
          <w:sz w:val="20"/>
          <w:szCs w:val="20"/>
        </w:rPr>
        <w:t xml:space="preserve">ECLAC Subregional Headquarters in Mexico (2011) The Mexican film industry and its participation in the global value chain. Dostupno na: </w:t>
      </w:r>
      <w:hyperlink r:id="rId193"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0"/>
        </w:numPr>
        <w:spacing w:line="240" w:lineRule="auto"/>
        <w:rPr>
          <w:sz w:val="20"/>
          <w:szCs w:val="20"/>
        </w:rPr>
      </w:pPr>
      <w:r w:rsidRPr="004E6412">
        <w:rPr>
          <w:sz w:val="20"/>
          <w:szCs w:val="20"/>
        </w:rPr>
        <w:t>European Commission (2007) Competittivnes of the European Graphic Industry: prospects for the EU printing sektor to respond to its structural and technological challenges. Brussels: EC, str. 80.</w:t>
      </w:r>
    </w:p>
    <w:p w:rsidR="001B41B0" w:rsidRPr="004E6412" w:rsidRDefault="001B41B0" w:rsidP="006A331D">
      <w:pPr>
        <w:numPr>
          <w:ilvl w:val="0"/>
          <w:numId w:val="120"/>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0"/>
        </w:numPr>
        <w:spacing w:line="240" w:lineRule="auto"/>
        <w:rPr>
          <w:sz w:val="20"/>
          <w:szCs w:val="20"/>
        </w:rPr>
      </w:pPr>
      <w:r w:rsidRPr="004E6412">
        <w:rPr>
          <w:sz w:val="20"/>
          <w:szCs w:val="20"/>
        </w:rPr>
        <w:t xml:space="preserve">Eurostat. Dostupno na: </w:t>
      </w:r>
      <w:hyperlink r:id="rId194" w:history="1">
        <w:r w:rsidRPr="004E6412">
          <w:rPr>
            <w:sz w:val="20"/>
            <w:szCs w:val="20"/>
          </w:rPr>
          <w:t>http://epp.eurostat.ec.europa.eu/cache/ITY_PUBLIC/4-11122012.-BP/EN/4-11122012.-BP-EN.PDF</w:t>
        </w:r>
      </w:hyperlink>
      <w:r w:rsidRPr="004E6412">
        <w:rPr>
          <w:sz w:val="20"/>
          <w:szCs w:val="20"/>
        </w:rPr>
        <w:t xml:space="preserve"> [30.6.2013.]</w:t>
      </w:r>
    </w:p>
    <w:p w:rsidR="001B41B0" w:rsidRPr="004E6412" w:rsidRDefault="001B41B0" w:rsidP="006A331D">
      <w:pPr>
        <w:numPr>
          <w:ilvl w:val="0"/>
          <w:numId w:val="120"/>
        </w:numPr>
        <w:spacing w:line="240" w:lineRule="auto"/>
        <w:rPr>
          <w:sz w:val="20"/>
          <w:szCs w:val="20"/>
        </w:rPr>
      </w:pPr>
      <w:r w:rsidRPr="004E6412">
        <w:rPr>
          <w:sz w:val="20"/>
          <w:szCs w:val="20"/>
        </w:rPr>
        <w:t>Financijska agencija (FINA),</w:t>
      </w:r>
      <w:r w:rsidR="00141C68" w:rsidRPr="004E6412">
        <w:rPr>
          <w:i/>
          <w:sz w:val="20"/>
          <w:szCs w:val="20"/>
        </w:rPr>
        <w:t xml:space="preserve"> </w:t>
      </w:r>
      <w:r w:rsidR="00141C68" w:rsidRPr="004E6412">
        <w:rPr>
          <w:sz w:val="20"/>
          <w:szCs w:val="20"/>
        </w:rPr>
        <w:t xml:space="preserve">internetska </w:t>
      </w:r>
      <w:r w:rsidRPr="004E6412">
        <w:rPr>
          <w:sz w:val="20"/>
          <w:szCs w:val="20"/>
        </w:rPr>
        <w:t>stranica. Dostupno na http://</w:t>
      </w:r>
      <w:hyperlink r:id="rId195"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0"/>
        </w:numPr>
        <w:spacing w:line="240" w:lineRule="auto"/>
        <w:rPr>
          <w:sz w:val="20"/>
          <w:szCs w:val="20"/>
        </w:rPr>
      </w:pPr>
      <w:r w:rsidRPr="004E6412">
        <w:rPr>
          <w:sz w:val="20"/>
          <w:szCs w:val="20"/>
        </w:rPr>
        <w:t xml:space="preserve">Forbes. The world biggest companies. Dostupno na: </w:t>
      </w:r>
      <w:hyperlink r:id="rId196" w:anchor="page:1_sort:0_direction:asc_search:_filter:Software%20%26%20Programming_filter:All%20countries_filter:All%20states" w:history="1">
        <w:r w:rsidRPr="004E6412">
          <w:rPr>
            <w:sz w:val="20"/>
            <w:szCs w:val="20"/>
          </w:rPr>
          <w:t>http://www.forbes.com/global2000/list/#page:1_sort:0_direction:asc_search:_filter:Software%20%26%20Programming_filter:All%20countries_filter:All%20states</w:t>
        </w:r>
      </w:hyperlink>
      <w:r w:rsidRPr="004E6412">
        <w:rPr>
          <w:sz w:val="20"/>
          <w:szCs w:val="20"/>
        </w:rPr>
        <w:t xml:space="preserve"> [22.8.2013.].</w:t>
      </w:r>
    </w:p>
    <w:p w:rsidR="001B41B0" w:rsidRPr="004E6412" w:rsidRDefault="001B41B0" w:rsidP="006A331D">
      <w:pPr>
        <w:numPr>
          <w:ilvl w:val="0"/>
          <w:numId w:val="120"/>
        </w:numPr>
        <w:spacing w:line="240" w:lineRule="auto"/>
        <w:rPr>
          <w:sz w:val="20"/>
          <w:szCs w:val="20"/>
        </w:rPr>
      </w:pPr>
      <w:r w:rsidRPr="004E6412">
        <w:rPr>
          <w:bCs/>
          <w:sz w:val="20"/>
          <w:szCs w:val="20"/>
        </w:rPr>
        <w:t xml:space="preserve">International Federation of the Phonographic Industry. Dostupno na: </w:t>
      </w:r>
      <w:hyperlink r:id="rId197" w:history="1">
        <w:r w:rsidRPr="004E6412">
          <w:rPr>
            <w:sz w:val="20"/>
            <w:szCs w:val="20"/>
          </w:rPr>
          <w:t>www.ifpi.org</w:t>
        </w:r>
      </w:hyperlink>
      <w:r w:rsidRPr="004E6412">
        <w:rPr>
          <w:sz w:val="20"/>
          <w:szCs w:val="20"/>
        </w:rPr>
        <w:t xml:space="preserve"> [28.7.2013.].</w:t>
      </w:r>
    </w:p>
    <w:p w:rsidR="001B41B0" w:rsidRPr="004E6412" w:rsidRDefault="001B41B0" w:rsidP="006A331D">
      <w:pPr>
        <w:numPr>
          <w:ilvl w:val="0"/>
          <w:numId w:val="120"/>
        </w:numPr>
        <w:spacing w:line="240" w:lineRule="auto"/>
        <w:rPr>
          <w:sz w:val="20"/>
          <w:szCs w:val="20"/>
        </w:rPr>
      </w:pPr>
      <w:r w:rsidRPr="004E6412">
        <w:rPr>
          <w:sz w:val="20"/>
          <w:szCs w:val="20"/>
        </w:rPr>
        <w:t xml:space="preserve">ITU (2013) ICT fact and figures. Dostupno na: </w:t>
      </w:r>
      <w:hyperlink r:id="rId198" w:history="1">
        <w:r w:rsidRPr="004E6412">
          <w:rPr>
            <w:sz w:val="20"/>
            <w:szCs w:val="20"/>
          </w:rPr>
          <w:t>http://www.itu.int/en/ITU-D/Statistics/Documents/facts/ICTFactsFigures2013.pdf</w:t>
        </w:r>
      </w:hyperlink>
      <w:r w:rsidRPr="004E6412">
        <w:rPr>
          <w:sz w:val="20"/>
          <w:szCs w:val="20"/>
        </w:rPr>
        <w:t xml:space="preserve"> [21.8.2013.].</w:t>
      </w:r>
    </w:p>
    <w:p w:rsidR="001B41B0" w:rsidRPr="004E6412" w:rsidRDefault="001B41B0" w:rsidP="006A331D">
      <w:pPr>
        <w:numPr>
          <w:ilvl w:val="0"/>
          <w:numId w:val="120"/>
        </w:numPr>
        <w:spacing w:line="240" w:lineRule="auto"/>
        <w:rPr>
          <w:sz w:val="20"/>
          <w:szCs w:val="20"/>
        </w:rPr>
      </w:pPr>
      <w:r w:rsidRPr="004E6412">
        <w:rPr>
          <w:sz w:val="20"/>
          <w:szCs w:val="20"/>
        </w:rPr>
        <w:t xml:space="preserve">Lorenzen, M. (2008) On the Globalization of the Film Industry, Copenhagen Business School. Dostupno na: </w:t>
      </w:r>
      <w:r w:rsidRPr="004E6412">
        <w:rPr>
          <w:iCs/>
          <w:sz w:val="20"/>
          <w:szCs w:val="20"/>
        </w:rPr>
        <w:t>openarchive.cbs.dk/.../Creative%20Encounters%20Working%20Papers%</w:t>
      </w:r>
      <w:r w:rsidRPr="004E6412">
        <w:rPr>
          <w:sz w:val="20"/>
          <w:szCs w:val="20"/>
        </w:rPr>
        <w:t>[20.8.2013.].</w:t>
      </w:r>
    </w:p>
    <w:p w:rsidR="001B41B0" w:rsidRPr="004E6412" w:rsidRDefault="001B41B0" w:rsidP="006A331D">
      <w:pPr>
        <w:numPr>
          <w:ilvl w:val="0"/>
          <w:numId w:val="120"/>
        </w:numPr>
        <w:spacing w:line="240" w:lineRule="auto"/>
        <w:rPr>
          <w:sz w:val="20"/>
          <w:szCs w:val="20"/>
        </w:rPr>
      </w:pPr>
      <w:r w:rsidRPr="004E6412">
        <w:rPr>
          <w:sz w:val="20"/>
          <w:szCs w:val="20"/>
        </w:rPr>
        <w:t xml:space="preserve">Nacionalna Klasifikacija Djelatnosti 2007. s objašnjenjima. Dostupno na </w:t>
      </w:r>
      <w:hyperlink r:id="rId199"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0"/>
        </w:numPr>
        <w:spacing w:line="240" w:lineRule="auto"/>
        <w:rPr>
          <w:sz w:val="20"/>
          <w:szCs w:val="20"/>
        </w:rPr>
      </w:pPr>
      <w:r w:rsidRPr="004E6412">
        <w:rPr>
          <w:sz w:val="20"/>
          <w:szCs w:val="20"/>
        </w:rPr>
        <w:t>Narodne novine (2007) Zakon o računovodstvu. Zagreb: Narodne novine d.d., broj 109/07, 54/13.</w:t>
      </w:r>
    </w:p>
    <w:p w:rsidR="001B41B0" w:rsidRPr="004E6412" w:rsidRDefault="001B41B0" w:rsidP="006A331D">
      <w:pPr>
        <w:numPr>
          <w:ilvl w:val="0"/>
          <w:numId w:val="120"/>
        </w:numPr>
        <w:spacing w:line="240" w:lineRule="auto"/>
        <w:rPr>
          <w:sz w:val="20"/>
          <w:szCs w:val="20"/>
        </w:rPr>
      </w:pPr>
      <w:r w:rsidRPr="004E6412">
        <w:rPr>
          <w:sz w:val="20"/>
          <w:szCs w:val="20"/>
        </w:rPr>
        <w:t xml:space="preserve">PricewaterhouseCoopers (2010) Turning the Page: the Future of e-books. Dostupno na: </w:t>
      </w:r>
      <w:hyperlink r:id="rId200"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PWC i Wilkofsky Gruen Associaties (2011) Global entertainment and media outlok 2011-2015. Dostupno na: </w:t>
      </w:r>
      <w:r w:rsidRPr="004E6412">
        <w:rPr>
          <w:iCs/>
          <w:sz w:val="20"/>
          <w:szCs w:val="20"/>
        </w:rPr>
        <w:t>www.</w:t>
      </w:r>
      <w:r w:rsidRPr="004E6412">
        <w:rPr>
          <w:bCs/>
          <w:iCs/>
          <w:sz w:val="20"/>
          <w:szCs w:val="20"/>
        </w:rPr>
        <w:t>pwc</w:t>
      </w:r>
      <w:r w:rsidRPr="004E6412">
        <w:rPr>
          <w:iCs/>
          <w:sz w:val="20"/>
          <w:szCs w:val="20"/>
        </w:rPr>
        <w:t>.tw/en_TW/tw/publications/events-and-trends/assets/e250.pdf</w:t>
      </w:r>
      <w:r w:rsidRPr="004E6412">
        <w:rPr>
          <w:sz w:val="20"/>
          <w:szCs w:val="20"/>
        </w:rPr>
        <w:t>[20.08.2013.].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QFinance (2012) Steel Industry – Major Industry Trends. Dostupno na: </w:t>
      </w:r>
      <w:hyperlink r:id="rId201" w:history="1">
        <w:r w:rsidRPr="004E6412">
          <w:rPr>
            <w:sz w:val="20"/>
            <w:szCs w:val="20"/>
          </w:rPr>
          <w:t>http://www.qfinance.com/sector-profiles/steel</w:t>
        </w:r>
      </w:hyperlink>
      <w:r w:rsidRPr="004E6412">
        <w:rPr>
          <w:sz w:val="20"/>
          <w:szCs w:val="20"/>
        </w:rPr>
        <w:t xml:space="preserve"> [30.6.2013.] .</w:t>
      </w:r>
    </w:p>
    <w:p w:rsidR="001B41B0" w:rsidRPr="004E6412" w:rsidRDefault="00141C68" w:rsidP="006A331D">
      <w:pPr>
        <w:numPr>
          <w:ilvl w:val="0"/>
          <w:numId w:val="120"/>
        </w:numPr>
        <w:spacing w:line="240" w:lineRule="auto"/>
        <w:rPr>
          <w:sz w:val="20"/>
          <w:szCs w:val="20"/>
        </w:rPr>
      </w:pPr>
      <w:r w:rsidRPr="004E6412">
        <w:rPr>
          <w:sz w:val="20"/>
          <w:szCs w:val="20"/>
        </w:rPr>
        <w:t xml:space="preserve">Qfinance, internetska </w:t>
      </w:r>
      <w:r w:rsidR="001B41B0" w:rsidRPr="004E6412">
        <w:rPr>
          <w:sz w:val="20"/>
          <w:szCs w:val="20"/>
        </w:rPr>
        <w:t xml:space="preserve">stranica. Inforamtion and communication Technology. Dostupno na: </w:t>
      </w:r>
      <w:hyperlink r:id="rId202" w:history="1">
        <w:r w:rsidR="001B41B0" w:rsidRPr="004E6412">
          <w:rPr>
            <w:sz w:val="20"/>
            <w:szCs w:val="20"/>
          </w:rPr>
          <w:t>http://www.qfinance.com/sector-profiles/information-technology</w:t>
        </w:r>
      </w:hyperlink>
      <w:r w:rsidR="001B41B0" w:rsidRPr="004E6412">
        <w:rPr>
          <w:sz w:val="20"/>
          <w:szCs w:val="20"/>
        </w:rPr>
        <w:t xml:space="preserve"> [20.8.2013.].</w:t>
      </w:r>
    </w:p>
    <w:p w:rsidR="001B41B0" w:rsidRPr="004E6412" w:rsidRDefault="00141C68" w:rsidP="006A331D">
      <w:pPr>
        <w:numPr>
          <w:ilvl w:val="0"/>
          <w:numId w:val="120"/>
        </w:numPr>
        <w:spacing w:line="240" w:lineRule="auto"/>
        <w:rPr>
          <w:sz w:val="20"/>
          <w:szCs w:val="20"/>
        </w:rPr>
      </w:pPr>
      <w:r w:rsidRPr="004E6412">
        <w:rPr>
          <w:sz w:val="20"/>
          <w:szCs w:val="20"/>
        </w:rPr>
        <w:t xml:space="preserve">UNCTAD, internetska </w:t>
      </w:r>
      <w:r w:rsidR="001B41B0" w:rsidRPr="004E6412">
        <w:rPr>
          <w:sz w:val="20"/>
          <w:szCs w:val="20"/>
        </w:rPr>
        <w:t xml:space="preserve">stranica. Dostupno na: </w:t>
      </w:r>
      <w:hyperlink r:id="rId203" w:history="1">
        <w:r w:rsidR="001B41B0" w:rsidRPr="004E6412">
          <w:rPr>
            <w:sz w:val="20"/>
            <w:szCs w:val="20"/>
          </w:rPr>
          <w:t>www.unctad.org</w:t>
        </w:r>
      </w:hyperlink>
      <w:r w:rsidR="001B41B0" w:rsidRPr="004E6412">
        <w:rPr>
          <w:sz w:val="20"/>
          <w:szCs w:val="20"/>
        </w:rPr>
        <w:t>, 2011. [26.7.2013.].</w:t>
      </w:r>
    </w:p>
    <w:p w:rsidR="001B41B0" w:rsidRPr="004E6412" w:rsidRDefault="00141C68" w:rsidP="006A331D">
      <w:pPr>
        <w:numPr>
          <w:ilvl w:val="0"/>
          <w:numId w:val="120"/>
        </w:numPr>
        <w:spacing w:line="240" w:lineRule="auto"/>
        <w:rPr>
          <w:sz w:val="20"/>
          <w:szCs w:val="20"/>
        </w:rPr>
      </w:pPr>
      <w:r w:rsidRPr="004E6412">
        <w:rPr>
          <w:sz w:val="20"/>
          <w:szCs w:val="20"/>
        </w:rPr>
        <w:t xml:space="preserve">World Trade Organisation, internetska </w:t>
      </w:r>
      <w:r w:rsidR="001B41B0" w:rsidRPr="004E6412">
        <w:rPr>
          <w:sz w:val="20"/>
          <w:szCs w:val="20"/>
        </w:rPr>
        <w:t>stranica. Dostupno na: www.wto.org. [26.7.2013.].</w:t>
      </w:r>
    </w:p>
    <w:p w:rsidR="001B41B0" w:rsidRPr="004E6412" w:rsidRDefault="001B41B0" w:rsidP="006A331D">
      <w:pPr>
        <w:spacing w:line="240" w:lineRule="auto"/>
        <w:rPr>
          <w:sz w:val="20"/>
          <w:szCs w:val="20"/>
        </w:rPr>
      </w:pPr>
    </w:p>
    <w:p w:rsidR="001B41B0" w:rsidRPr="004E6412" w:rsidRDefault="001B41B0" w:rsidP="006A331D">
      <w:pPr>
        <w:spacing w:line="240" w:lineRule="auto"/>
        <w:rPr>
          <w:b/>
          <w:sz w:val="20"/>
          <w:szCs w:val="20"/>
        </w:rPr>
      </w:pPr>
      <w:r w:rsidRPr="004E6412">
        <w:rPr>
          <w:b/>
          <w:sz w:val="20"/>
          <w:szCs w:val="20"/>
        </w:rPr>
        <w:t>Model vrednovanja i utvrđivanje ključnih djelatnosti</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Atesoglu, H. S. (1994): "An application of a Kaldorian export-led model of growth to the  United States", Applied Economics, 26, 479-483.</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Beckerman, W.  (1965): "Demand, Exports and Growth", in W. Beckerman, and Associates, The British Economy in 1975, The National Institute of Economic andSocial Research, 44-72.</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Ding, M. Y. Chenand S.L. Bressler. Grangercausality: Basictheoryandapplication to neuroscience. In J. Timmer, B.Schelter, M. Winterhalder, editor. Handbookof Time SeriesAnalysis, pages451–474. Wiley-VCHVerlage, 2006.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Dixon, R.J and A.P. Thirlwall (1975): "A model of regional growth differences on Kaldorian lines", Oxford Economic Papers, 27, 201-214.</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lastRenderedPageBreak/>
        <w:t>Engle, R. F.,  Granger, C. W. J.,  (1987.), Co-Integration and Error Correction: Representation, Estimation, and Testing Econometrica, Vol. 55, No. 2. str. 251-276.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Kaldor, N. (1970): "The case for regional policies", Scottish Journal of Political Economy, 17, 337-348.</w:t>
      </w:r>
    </w:p>
    <w:p w:rsidR="001B41B0" w:rsidRPr="004E6412" w:rsidRDefault="001B41B0" w:rsidP="006A331D">
      <w:pPr>
        <w:numPr>
          <w:ilvl w:val="0"/>
          <w:numId w:val="118"/>
        </w:numPr>
        <w:spacing w:line="240" w:lineRule="auto"/>
        <w:contextualSpacing/>
        <w:jc w:val="left"/>
        <w:rPr>
          <w:sz w:val="20"/>
          <w:szCs w:val="20"/>
          <w:lang w:eastAsia="hr-HR"/>
        </w:rPr>
      </w:pPr>
      <w:r w:rsidRPr="004E6412">
        <w:rPr>
          <w:sz w:val="20"/>
          <w:szCs w:val="20"/>
          <w:lang w:eastAsia="hr-HR"/>
        </w:rPr>
        <w:t>Maddala, KajalLahiri, (2009) Introduction to Econometrics, 4th Edition</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Thomas, Lyn C., Edelman, David B,Crook, Jonathan N. (2002) Credit Scoring and its Applications, Society for Industrial and Applied Mathematics, Philadephia SAD.</w:t>
      </w:r>
    </w:p>
    <w:p w:rsidR="00B31D5A" w:rsidRPr="004E6412" w:rsidRDefault="00B31D5A" w:rsidP="006A331D">
      <w:pPr>
        <w:spacing w:line="240" w:lineRule="auto"/>
        <w:contextualSpacing/>
        <w:rPr>
          <w:sz w:val="20"/>
          <w:szCs w:val="20"/>
          <w:lang w:eastAsia="hr-HR"/>
        </w:rPr>
      </w:pPr>
    </w:p>
    <w:p w:rsidR="00B31D5A" w:rsidRPr="004E6412" w:rsidRDefault="00B31D5A" w:rsidP="006A331D">
      <w:pPr>
        <w:spacing w:line="240" w:lineRule="auto"/>
        <w:contextualSpacing/>
        <w:rPr>
          <w:b/>
          <w:sz w:val="20"/>
          <w:szCs w:val="20"/>
          <w:lang w:eastAsia="hr-HR"/>
        </w:rPr>
      </w:pPr>
      <w:r w:rsidRPr="004E6412">
        <w:rPr>
          <w:b/>
          <w:sz w:val="20"/>
          <w:szCs w:val="20"/>
          <w:lang w:eastAsia="hr-HR"/>
        </w:rPr>
        <w:t>Strateški ciljevi hrvatske industrije 2014.</w:t>
      </w:r>
      <w:r w:rsidR="009364D9">
        <w:rPr>
          <w:b/>
          <w:sz w:val="20"/>
          <w:szCs w:val="20"/>
          <w:lang w:eastAsia="hr-HR"/>
        </w:rPr>
        <w:t>-</w:t>
      </w:r>
      <w:r w:rsidRPr="004E6412">
        <w:rPr>
          <w:b/>
          <w:sz w:val="20"/>
          <w:szCs w:val="20"/>
          <w:lang w:eastAsia="hr-HR"/>
        </w:rPr>
        <w:t>2020.</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Acemoglu, D., Zilibotti, F. (2000) Productivity Differences, </w:t>
      </w:r>
      <w:r w:rsidRPr="004E6412">
        <w:rPr>
          <w:i/>
          <w:sz w:val="20"/>
          <w:szCs w:val="20"/>
          <w:lang w:eastAsia="hr-HR"/>
        </w:rPr>
        <w:t>Quarterly Journal of Economics</w:t>
      </w:r>
      <w:r w:rsidRPr="004E6412">
        <w:rPr>
          <w:sz w:val="20"/>
          <w:szCs w:val="20"/>
          <w:lang w:eastAsia="hr-HR"/>
        </w:rPr>
        <w:t xml:space="preserve"> 116, str. 563-606.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Atesoglu, H. S. (1994) An application of a Kaldorian export-led model of growth to the  United States, </w:t>
      </w:r>
      <w:r w:rsidRPr="004E6412">
        <w:rPr>
          <w:i/>
          <w:sz w:val="20"/>
          <w:szCs w:val="20"/>
          <w:lang w:eastAsia="hr-HR"/>
        </w:rPr>
        <w:t>Applied Economics</w:t>
      </w:r>
      <w:r w:rsidRPr="004E6412">
        <w:rPr>
          <w:sz w:val="20"/>
          <w:szCs w:val="20"/>
          <w:lang w:eastAsia="hr-HR"/>
        </w:rPr>
        <w:t>, 26, str. 479-483.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Autor, D.H., W.R. Kerr, i A.D. Kugler (2007) ―Do Employment Protections Reduce Productivity? Evidence from U.S. States.‖ </w:t>
      </w:r>
      <w:r w:rsidRPr="004E6412">
        <w:rPr>
          <w:i/>
          <w:sz w:val="20"/>
          <w:szCs w:val="20"/>
          <w:lang w:eastAsia="hr-HR"/>
        </w:rPr>
        <w:t>NBER Working Papers</w:t>
      </w:r>
      <w:r w:rsidRPr="004E6412">
        <w:rPr>
          <w:sz w:val="20"/>
          <w:szCs w:val="20"/>
          <w:lang w:eastAsia="hr-HR"/>
        </w:rPr>
        <w:t xml:space="preserve"> 12860. Cambridge, MA: National Bureau of Economic Research.</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Bacchetta, P., Wincoop, E. (2005) A theory of the currency denomination of international trade, </w:t>
      </w:r>
      <w:r w:rsidRPr="004E6412">
        <w:rPr>
          <w:rFonts w:eastAsia="Times New Roman"/>
          <w:i/>
          <w:sz w:val="20"/>
          <w:szCs w:val="20"/>
        </w:rPr>
        <w:t>Journal of International Economics</w:t>
      </w:r>
      <w:r w:rsidRPr="004E6412">
        <w:rPr>
          <w:rFonts w:eastAsia="Times New Roman"/>
          <w:sz w:val="20"/>
          <w:szCs w:val="20"/>
        </w:rPr>
        <w:t xml:space="preserve"> 67</w:t>
      </w:r>
    </w:p>
    <w:p w:rsidR="007057D4" w:rsidRPr="004E6412" w:rsidRDefault="007057D4" w:rsidP="006A331D">
      <w:pPr>
        <w:numPr>
          <w:ilvl w:val="0"/>
          <w:numId w:val="276"/>
        </w:numPr>
        <w:autoSpaceDE w:val="0"/>
        <w:autoSpaceDN w:val="0"/>
        <w:adjustRightInd w:val="0"/>
        <w:spacing w:line="240" w:lineRule="auto"/>
        <w:rPr>
          <w:rFonts w:eastAsia="Times New Roman"/>
          <w:color w:val="000000"/>
          <w:sz w:val="20"/>
          <w:szCs w:val="20"/>
        </w:rPr>
      </w:pPr>
      <w:r w:rsidRPr="004E6412">
        <w:rPr>
          <w:sz w:val="20"/>
          <w:szCs w:val="20"/>
        </w:rPr>
        <w:t xml:space="preserve">Bacchettaa, P., Gerlach, S. (1997) Consumption and credit constraints: International Evidence, </w:t>
      </w:r>
      <w:r w:rsidRPr="004E6412">
        <w:rPr>
          <w:i/>
          <w:sz w:val="20"/>
          <w:szCs w:val="20"/>
        </w:rPr>
        <w:t>Journal of Monetary Economics</w:t>
      </w:r>
      <w:r w:rsidRPr="004E6412">
        <w:rPr>
          <w:sz w:val="20"/>
          <w:szCs w:val="20"/>
        </w:rPr>
        <w:t xml:space="preserve"> 40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Backus, D.K., Kahoe, P.J., Kydland, F.E. (1994) Dynamics of the trade balance and the terms of trade: the J-curve? </w:t>
      </w:r>
      <w:r w:rsidRPr="004E6412">
        <w:rPr>
          <w:rFonts w:eastAsia="Times New Roman"/>
          <w:i/>
          <w:sz w:val="20"/>
          <w:szCs w:val="20"/>
        </w:rPr>
        <w:t>American Economic Review</w:t>
      </w:r>
      <w:r w:rsidRPr="004E6412">
        <w:rPr>
          <w:rFonts w:eastAsia="Times New Roman"/>
          <w:sz w:val="20"/>
          <w:szCs w:val="20"/>
        </w:rPr>
        <w:t xml:space="preserve"> 84,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sz w:val="20"/>
          <w:szCs w:val="20"/>
          <w:lang w:eastAsia="hr-HR"/>
        </w:rPr>
        <w:t xml:space="preserve">Bahmani-Oskooee, M. (1998) Cointegration approach to estimate the long-run trade elasticities in LDCs.  </w:t>
      </w:r>
      <w:r w:rsidRPr="004E6412">
        <w:rPr>
          <w:i/>
          <w:iCs/>
          <w:sz w:val="20"/>
          <w:szCs w:val="20"/>
          <w:lang w:eastAsia="hr-HR"/>
        </w:rPr>
        <w:t>International Economic Journal</w:t>
      </w:r>
      <w:r w:rsidRPr="004E6412">
        <w:rPr>
          <w:sz w:val="20"/>
          <w:szCs w:val="20"/>
          <w:lang w:eastAsia="hr-HR"/>
        </w:rPr>
        <w:t xml:space="preserve">, Volume 12 (3), str. 89-96.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(1985) Devaluation and the J-curve: Some Evidence From LDCs”, </w:t>
      </w:r>
      <w:r w:rsidRPr="004E6412">
        <w:rPr>
          <w:rFonts w:eastAsia="Times New Roman"/>
          <w:i/>
          <w:sz w:val="20"/>
          <w:szCs w:val="20"/>
        </w:rPr>
        <w:t xml:space="preserve">The Review of Economics and Statistics </w:t>
      </w:r>
      <w:r w:rsidRPr="004E6412">
        <w:rPr>
          <w:rFonts w:eastAsia="Times New Roman"/>
          <w:sz w:val="20"/>
          <w:szCs w:val="20"/>
        </w:rPr>
        <w:t xml:space="preserve">67, str.500-504,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(1991) Is There a Long-run Relation Between the Trade Balance and the Real Effective Exchange Rate of LDCs, </w:t>
      </w:r>
      <w:r w:rsidRPr="004E6412">
        <w:rPr>
          <w:rFonts w:eastAsia="Times New Roman"/>
          <w:i/>
          <w:sz w:val="20"/>
          <w:szCs w:val="20"/>
        </w:rPr>
        <w:t>Economics Letters</w:t>
      </w:r>
      <w:r w:rsidRPr="004E6412">
        <w:rPr>
          <w:rFonts w:eastAsia="Times New Roman"/>
          <w:sz w:val="20"/>
          <w:szCs w:val="20"/>
        </w:rPr>
        <w:t xml:space="preserve"> 36, str. 403-407,</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Balassa, B. (1978) Export and economic growth, </w:t>
      </w:r>
      <w:r w:rsidRPr="004E6412">
        <w:rPr>
          <w:rFonts w:eastAsia="Times New Roman"/>
          <w:i/>
          <w:sz w:val="20"/>
          <w:szCs w:val="20"/>
        </w:rPr>
        <w:t>Journal of Development Economics</w:t>
      </w:r>
      <w:r w:rsidRPr="004E6412">
        <w:rPr>
          <w:rFonts w:eastAsia="Times New Roman"/>
          <w:sz w:val="20"/>
          <w:szCs w:val="20"/>
        </w:rPr>
        <w:t xml:space="preserve">, North-Holland Publishing Company, No. 5,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Bassanini, A. i Venn., D. (2007) Assessing the Impact of Labour Market Policies on Productivity. A Difference-in-Difference Approach‖. </w:t>
      </w:r>
      <w:r w:rsidRPr="004E6412">
        <w:rPr>
          <w:rFonts w:eastAsia="Times New Roman"/>
          <w:i/>
          <w:sz w:val="20"/>
          <w:szCs w:val="20"/>
        </w:rPr>
        <w:t>OECD Social, Employment and Migration Working Paper</w:t>
      </w:r>
      <w:r w:rsidRPr="004E6412">
        <w:rPr>
          <w:rFonts w:eastAsia="Times New Roman"/>
          <w:sz w:val="20"/>
          <w:szCs w:val="20"/>
        </w:rPr>
        <w:t>, No. 54.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Bassanini, A., Nunziata, L.  i D Ven. ( 2008) Job Protection Legislation and Productivity Growth in OECD Countries.‖ </w:t>
      </w:r>
      <w:r w:rsidRPr="004E6412">
        <w:rPr>
          <w:i/>
          <w:sz w:val="20"/>
          <w:szCs w:val="20"/>
          <w:lang w:eastAsia="hr-HR"/>
        </w:rPr>
        <w:t>IZA Discussion Paper</w:t>
      </w:r>
      <w:r w:rsidRPr="004E6412">
        <w:rPr>
          <w:sz w:val="20"/>
          <w:szCs w:val="20"/>
          <w:lang w:eastAsia="hr-HR"/>
        </w:rPr>
        <w:t xml:space="preserve"> No. 3555. Bonn: IZA.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Beckerman, W.  (1965) Demand, Exports and Growth; in W. Beckerman and Associates, </w:t>
      </w:r>
      <w:r w:rsidRPr="004E6412">
        <w:rPr>
          <w:i/>
          <w:sz w:val="20"/>
          <w:szCs w:val="20"/>
          <w:lang w:eastAsia="hr-HR"/>
        </w:rPr>
        <w:t>The British Economy in 1975</w:t>
      </w:r>
      <w:r w:rsidRPr="004E6412">
        <w:rPr>
          <w:sz w:val="20"/>
          <w:szCs w:val="20"/>
          <w:lang w:eastAsia="hr-HR"/>
        </w:rPr>
        <w:t>, The National Institute of Economic andSocial Research, 44-72.</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Bernard, A. B., Bradford J. i Schott, P. K. (2001) Factor Price Equality and the Economies of the United States, </w:t>
      </w:r>
      <w:r w:rsidRPr="004E6412">
        <w:rPr>
          <w:i/>
          <w:iCs/>
          <w:sz w:val="20"/>
          <w:szCs w:val="20"/>
          <w:lang w:eastAsia="hr-HR"/>
        </w:rPr>
        <w:t>NBER Working Paper</w:t>
      </w:r>
      <w:r w:rsidRPr="004E6412">
        <w:rPr>
          <w:iCs/>
          <w:sz w:val="20"/>
          <w:szCs w:val="20"/>
          <w:lang w:eastAsia="hr-HR"/>
        </w:rPr>
        <w:t>, 8068.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Bernard, Andrew B. and J. Bradford Jensen. (1999) Exceptional Exporter Performance:Cause, Effect, or Both?. </w:t>
      </w:r>
      <w:r w:rsidRPr="004E6412">
        <w:rPr>
          <w:i/>
          <w:sz w:val="20"/>
          <w:szCs w:val="20"/>
          <w:lang w:eastAsia="hr-HR"/>
        </w:rPr>
        <w:t>Journal of International Economics</w:t>
      </w:r>
      <w:r w:rsidRPr="004E6412">
        <w:rPr>
          <w:sz w:val="20"/>
          <w:szCs w:val="20"/>
          <w:lang w:eastAsia="hr-HR"/>
        </w:rPr>
        <w:t xml:space="preserve"> Vol 47, No.1, 1-26.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Bhagwati , Jagdish N., (1978) </w:t>
      </w:r>
      <w:r w:rsidRPr="004E6412">
        <w:rPr>
          <w:i/>
          <w:sz w:val="20"/>
          <w:szCs w:val="20"/>
          <w:lang w:eastAsia="hr-HR"/>
        </w:rPr>
        <w:t>Foreign Trade Regimes and Economic Development:  Anatomy and Consequences of Exchange Control Regimes</w:t>
      </w:r>
      <w:r w:rsidRPr="004E6412">
        <w:rPr>
          <w:sz w:val="20"/>
          <w:szCs w:val="20"/>
          <w:lang w:eastAsia="hr-HR"/>
        </w:rPr>
        <w:t>. Cambridge,  Ballinger.</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BIS economics paper No. 18 (2012) Industrial strategy: UK sector analysis. Department for Business Innovation &amp; Skills</w:t>
      </w:r>
    </w:p>
    <w:p w:rsidR="007057D4" w:rsidRPr="004E6412" w:rsidRDefault="007057D4" w:rsidP="006A331D">
      <w:pPr>
        <w:pStyle w:val="ListParagraph"/>
        <w:numPr>
          <w:ilvl w:val="0"/>
          <w:numId w:val="276"/>
        </w:numPr>
        <w:spacing w:after="0" w:line="240" w:lineRule="auto"/>
        <w:jc w:val="both"/>
        <w:rPr>
          <w:rFonts w:ascii="Times New Roman" w:hAnsi="Times New Roman"/>
          <w:sz w:val="20"/>
          <w:szCs w:val="20"/>
        </w:rPr>
      </w:pPr>
      <w:r w:rsidRPr="004E6412">
        <w:rPr>
          <w:rFonts w:ascii="Times New Roman" w:hAnsi="Times New Roman"/>
          <w:sz w:val="20"/>
          <w:szCs w:val="20"/>
        </w:rPr>
        <w:t xml:space="preserve">Blanchard, O. (2006) </w:t>
      </w:r>
      <w:r w:rsidRPr="004E6412">
        <w:rPr>
          <w:rFonts w:ascii="Times New Roman" w:hAnsi="Times New Roman"/>
          <w:i/>
          <w:sz w:val="20"/>
          <w:szCs w:val="20"/>
        </w:rPr>
        <w:t>Macroeconomics</w:t>
      </w:r>
      <w:r w:rsidRPr="004E6412">
        <w:rPr>
          <w:rFonts w:ascii="Times New Roman" w:hAnsi="Times New Roman"/>
          <w:sz w:val="20"/>
          <w:szCs w:val="20"/>
        </w:rPr>
        <w:t xml:space="preserve">, Forth Edition, Pearson Prentica Hall, </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 (2006) Current Account Deficits in Rich Countries. Paper presented at the IMF </w:t>
      </w:r>
      <w:r w:rsidRPr="004E6412">
        <w:rPr>
          <w:i/>
          <w:iCs/>
          <w:sz w:val="20"/>
          <w:szCs w:val="20"/>
          <w:lang w:eastAsia="hr-HR"/>
        </w:rPr>
        <w:t>Seventh Jacques Polak Annual Research Conference on Capital Flows</w:t>
      </w:r>
      <w:r w:rsidRPr="004E6412">
        <w:rPr>
          <w:iCs/>
          <w:sz w:val="20"/>
          <w:szCs w:val="20"/>
          <w:lang w:eastAsia="hr-HR"/>
        </w:rPr>
        <w:t>,Washington D.C.,November 9—10,</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Olivier, Francesco Giavazzi, and Filipa Sa (2005) The U.S. Current Account and the Dollar, in William Brainard and George Perry (eds.), </w:t>
      </w:r>
      <w:r w:rsidRPr="004E6412">
        <w:rPr>
          <w:i/>
          <w:iCs/>
          <w:sz w:val="20"/>
          <w:szCs w:val="20"/>
          <w:lang w:eastAsia="hr-HR"/>
        </w:rPr>
        <w:t xml:space="preserve">Brookings Papers on Economic Activity </w:t>
      </w:r>
      <w:r w:rsidRPr="004E6412">
        <w:rPr>
          <w:iCs/>
          <w:sz w:val="20"/>
          <w:szCs w:val="20"/>
          <w:lang w:eastAsia="hr-HR"/>
        </w:rPr>
        <w:t xml:space="preserve">1, str. 67-146.,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Dixon, R.J and A.P. Thirlwall (1975) A model of regional growth differences on Kaldorian lines. </w:t>
      </w:r>
      <w:r w:rsidRPr="004E6412">
        <w:rPr>
          <w:i/>
          <w:sz w:val="20"/>
          <w:szCs w:val="20"/>
          <w:lang w:eastAsia="hr-HR"/>
        </w:rPr>
        <w:t>Oxford Economic Papers</w:t>
      </w:r>
      <w:r w:rsidRPr="004E6412">
        <w:rPr>
          <w:sz w:val="20"/>
          <w:szCs w:val="20"/>
          <w:lang w:eastAsia="hr-HR"/>
        </w:rPr>
        <w:t>, 27, 201-214.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Engle, R. F.,  Granger, C. W. J.,  (1987.) Co-Integration and Error Correction: Representation, Estimation and Testing. </w:t>
      </w:r>
      <w:r w:rsidRPr="004E6412">
        <w:rPr>
          <w:i/>
          <w:sz w:val="20"/>
          <w:szCs w:val="20"/>
          <w:lang w:eastAsia="hr-HR"/>
        </w:rPr>
        <w:t>Econometrica</w:t>
      </w:r>
      <w:r w:rsidRPr="004E6412">
        <w:rPr>
          <w:sz w:val="20"/>
          <w:szCs w:val="20"/>
          <w:lang w:eastAsia="hr-HR"/>
        </w:rPr>
        <w:t>, Vol. 55, No. 2. str. 251-276.</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(2012) </w:t>
      </w:r>
      <w:r w:rsidRPr="004E6412">
        <w:rPr>
          <w:i/>
          <w:sz w:val="20"/>
          <w:szCs w:val="20"/>
          <w:lang w:eastAsia="hr-HR"/>
        </w:rPr>
        <w:t>Communication from the Commission to the European Parliament, the Council, the European Economic and Social Committee and the Committee of the Regions. A Stronger European Industry for Growth and Economic Recovery.</w:t>
      </w:r>
      <w:r w:rsidRPr="004E6412">
        <w:rPr>
          <w:sz w:val="20"/>
          <w:szCs w:val="20"/>
          <w:lang w:eastAsia="hr-HR"/>
        </w:rPr>
        <w:t xml:space="preserve"> Brussels</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(2013) </w:t>
      </w:r>
      <w:r w:rsidRPr="004E6412">
        <w:rPr>
          <w:i/>
          <w:sz w:val="20"/>
          <w:szCs w:val="20"/>
          <w:lang w:eastAsia="hr-HR"/>
        </w:rPr>
        <w:t>Public consultation on the Industrial Policy Communication 2012.</w:t>
      </w:r>
      <w:r w:rsidRPr="004E6412">
        <w:rPr>
          <w:sz w:val="20"/>
          <w:szCs w:val="20"/>
          <w:lang w:eastAsia="hr-HR"/>
        </w:rPr>
        <w:t xml:space="preserve"> Draft public consultation report</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Competitiveness Report 2013: </w:t>
      </w:r>
      <w:r w:rsidRPr="004E6412">
        <w:rPr>
          <w:i/>
          <w:sz w:val="20"/>
          <w:szCs w:val="20"/>
          <w:lang w:eastAsia="hr-HR"/>
        </w:rPr>
        <w:t>Towards Knowledge Driven Reindustrialisation</w:t>
      </w:r>
      <w:r w:rsidRPr="004E6412">
        <w:rPr>
          <w:sz w:val="20"/>
          <w:szCs w:val="20"/>
          <w:lang w:eastAsia="hr-HR"/>
        </w:rPr>
        <w:t>. Commission Staff Working Document. Luxembourg: Publications Office oft he European Union, 2013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lastRenderedPageBreak/>
        <w:t xml:space="preserve">Granger, C. W. J. (1969) Investigating Causal Relations by Econometric Models and Cross-spectral Methods. </w:t>
      </w:r>
      <w:r w:rsidRPr="004E6412">
        <w:rPr>
          <w:i/>
          <w:sz w:val="20"/>
          <w:szCs w:val="20"/>
          <w:lang w:eastAsia="hr-HR"/>
        </w:rPr>
        <w:t>Econo-metrica</w:t>
      </w:r>
      <w:r w:rsidRPr="004E6412">
        <w:rPr>
          <w:sz w:val="20"/>
          <w:szCs w:val="20"/>
          <w:lang w:eastAsia="hr-HR"/>
        </w:rPr>
        <w:t xml:space="preserve">, 37(3):424-438. </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Hausmann, R. and ROdik, D. (2006) </w:t>
      </w:r>
      <w:r w:rsidRPr="004E6412">
        <w:rPr>
          <w:i/>
          <w:sz w:val="20"/>
          <w:szCs w:val="20"/>
          <w:lang w:eastAsia="hr-HR"/>
        </w:rPr>
        <w:t>Doomed to choose: Industrial policy as predicament</w:t>
      </w:r>
      <w:r w:rsidRPr="004E6412">
        <w:rPr>
          <w:sz w:val="20"/>
          <w:szCs w:val="20"/>
          <w:lang w:eastAsia="hr-HR"/>
        </w:rPr>
        <w:t>. Paper prepared for the first Blue Sky seminar organized by the Center for International Development at Harvard University on September 9, 2006.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Helpman, E., Krugman. P., (1985) </w:t>
      </w:r>
      <w:r w:rsidRPr="004E6412">
        <w:rPr>
          <w:i/>
          <w:sz w:val="20"/>
          <w:szCs w:val="20"/>
          <w:lang w:eastAsia="hr-HR"/>
        </w:rPr>
        <w:t>Market Structure and Foreign Trade</w:t>
      </w:r>
      <w:r w:rsidRPr="004E6412">
        <w:rPr>
          <w:sz w:val="20"/>
          <w:szCs w:val="20"/>
          <w:lang w:eastAsia="hr-HR"/>
        </w:rPr>
        <w:t>. Cambridge: MIT Press</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Horvat, B. (2007) </w:t>
      </w:r>
      <w:r w:rsidRPr="004E6412">
        <w:rPr>
          <w:i/>
          <w:sz w:val="20"/>
          <w:szCs w:val="20"/>
          <w:lang w:eastAsia="hr-HR"/>
        </w:rPr>
        <w:t>Dinamični gospodarski razvoj</w:t>
      </w:r>
      <w:r w:rsidRPr="004E6412">
        <w:rPr>
          <w:sz w:val="20"/>
          <w:szCs w:val="20"/>
          <w:lang w:eastAsia="hr-HR"/>
        </w:rPr>
        <w:t>. Zagreb: Dom i svijet/Zagreb i Ekonomski fakultet sveučilišta u Zagrebu. Zagreb</w:t>
      </w:r>
    </w:p>
    <w:p w:rsidR="007057D4" w:rsidRPr="004E6412" w:rsidRDefault="00BF13E1" w:rsidP="006A331D">
      <w:pPr>
        <w:numPr>
          <w:ilvl w:val="0"/>
          <w:numId w:val="276"/>
        </w:numPr>
        <w:autoSpaceDE w:val="0"/>
        <w:autoSpaceDN w:val="0"/>
        <w:adjustRightInd w:val="0"/>
        <w:spacing w:line="240" w:lineRule="auto"/>
        <w:rPr>
          <w:sz w:val="20"/>
          <w:szCs w:val="20"/>
          <w:lang w:eastAsia="hr-HR"/>
        </w:rPr>
      </w:pPr>
      <w:hyperlink r:id="rId204" w:history="1">
        <w:r w:rsidR="007057D4" w:rsidRPr="004E6412">
          <w:rPr>
            <w:rStyle w:val="Hyperlink"/>
            <w:sz w:val="20"/>
            <w:szCs w:val="20"/>
            <w:lang w:eastAsia="hr-HR"/>
          </w:rPr>
          <w:t>http://ec.europa.eu/enterprise/policies/industrial-competitiveness/monitoring-member-states/files/ms_comp_report_2012_en.pdf</w:t>
        </w:r>
      </w:hyperlink>
      <w:r w:rsidR="007057D4" w:rsidRPr="004E6412">
        <w:rPr>
          <w:sz w:val="20"/>
          <w:szCs w:val="20"/>
          <w:lang w:eastAsia="hr-HR"/>
        </w:rPr>
        <w:t>; 2.12.2013.</w:t>
      </w:r>
    </w:p>
    <w:p w:rsidR="007057D4" w:rsidRPr="004E6412" w:rsidRDefault="00BF13E1" w:rsidP="006A331D">
      <w:pPr>
        <w:numPr>
          <w:ilvl w:val="0"/>
          <w:numId w:val="276"/>
        </w:numPr>
        <w:autoSpaceDE w:val="0"/>
        <w:autoSpaceDN w:val="0"/>
        <w:adjustRightInd w:val="0"/>
        <w:spacing w:line="240" w:lineRule="auto"/>
        <w:rPr>
          <w:sz w:val="20"/>
          <w:szCs w:val="20"/>
          <w:lang w:eastAsia="hr-HR"/>
        </w:rPr>
      </w:pPr>
      <w:hyperlink r:id="rId205" w:history="1">
        <w:r w:rsidR="007057D4" w:rsidRPr="004E6412">
          <w:rPr>
            <w:rStyle w:val="Hyperlink"/>
            <w:sz w:val="20"/>
            <w:szCs w:val="20"/>
            <w:lang w:eastAsia="hr-HR"/>
          </w:rPr>
          <w:t>http://www.doingbusiness.org/~/media/GIAWB/Doing%20Business/Documents/Annual-Reports/English/DB13-full-report.pdf</w:t>
        </w:r>
      </w:hyperlink>
      <w:r w:rsidR="007057D4" w:rsidRPr="004E6412">
        <w:rPr>
          <w:sz w:val="20"/>
          <w:szCs w:val="20"/>
          <w:lang w:eastAsia="hr-HR"/>
        </w:rPr>
        <w:t>; 2.12.2013.</w:t>
      </w:r>
    </w:p>
    <w:p w:rsidR="007057D4" w:rsidRPr="004E6412" w:rsidRDefault="00BF13E1" w:rsidP="006A331D">
      <w:pPr>
        <w:numPr>
          <w:ilvl w:val="0"/>
          <w:numId w:val="276"/>
        </w:numPr>
        <w:autoSpaceDE w:val="0"/>
        <w:autoSpaceDN w:val="0"/>
        <w:adjustRightInd w:val="0"/>
        <w:spacing w:line="240" w:lineRule="auto"/>
        <w:rPr>
          <w:sz w:val="20"/>
          <w:szCs w:val="20"/>
          <w:lang w:eastAsia="hr-HR"/>
        </w:rPr>
      </w:pPr>
      <w:hyperlink r:id="rId206" w:history="1">
        <w:r w:rsidR="007057D4" w:rsidRPr="004E6412">
          <w:rPr>
            <w:rStyle w:val="Hyperlink"/>
            <w:sz w:val="20"/>
            <w:szCs w:val="20"/>
            <w:lang w:eastAsia="hr-HR"/>
          </w:rPr>
          <w:t>http://www3.weforum.org/docs/WEF_GlobalCompetitivenessReport_2013-14.pdf</w:t>
        </w:r>
      </w:hyperlink>
      <w:r w:rsidR="007057D4" w:rsidRPr="004E6412">
        <w:rPr>
          <w:sz w:val="20"/>
          <w:szCs w:val="20"/>
          <w:lang w:eastAsia="hr-HR"/>
        </w:rPr>
        <w:t>; 2.12.2013.</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Industrial Performance Scoreboard and Member States' Competitiveness Performance and Policies. A Europe 2020 Initiative. SWD (2012) 298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Kaldor, N. (1970): "The case for regional policies", Scottish Journal of Political Economy, 17, 337-348.</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Kankanen, J., Lindroos, P. and Myllyla, M. (2013) </w:t>
      </w:r>
      <w:r w:rsidRPr="004E6412">
        <w:rPr>
          <w:i/>
          <w:sz w:val="20"/>
          <w:szCs w:val="20"/>
          <w:lang w:eastAsia="hr-HR"/>
        </w:rPr>
        <w:t>Industrial Competitiveness Approach. Means to guarantee economic growth in Finland int he 2010s.</w:t>
      </w:r>
      <w:r w:rsidRPr="004E6412">
        <w:rPr>
          <w:sz w:val="20"/>
          <w:szCs w:val="20"/>
          <w:lang w:eastAsia="hr-HR"/>
        </w:rPr>
        <w:t xml:space="preserve"> Publications of the Ministry of Employment and the Economy. Innovation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Kunst,R.M.,Marion, D. (1989) </w:t>
      </w:r>
      <w:r w:rsidR="007057D4" w:rsidRPr="004E6412">
        <w:rPr>
          <w:sz w:val="20"/>
          <w:szCs w:val="20"/>
          <w:lang w:eastAsia="hr-HR"/>
        </w:rPr>
        <w:t xml:space="preserve">Notes on Exports and </w:t>
      </w:r>
      <w:r w:rsidRPr="004E6412">
        <w:rPr>
          <w:sz w:val="20"/>
          <w:szCs w:val="20"/>
          <w:lang w:eastAsia="hr-HR"/>
        </w:rPr>
        <w:t>Productivity  a Causal Analysis</w:t>
      </w:r>
      <w:r w:rsidR="007057D4" w:rsidRPr="004E6412">
        <w:rPr>
          <w:sz w:val="20"/>
          <w:szCs w:val="20"/>
          <w:lang w:eastAsia="hr-HR"/>
        </w:rPr>
        <w:t xml:space="preserve">, </w:t>
      </w:r>
      <w:r w:rsidR="007057D4" w:rsidRPr="004E6412">
        <w:rPr>
          <w:i/>
          <w:sz w:val="20"/>
          <w:szCs w:val="20"/>
          <w:lang w:eastAsia="hr-HR"/>
        </w:rPr>
        <w:t>Review of Economics and  Statistics</w:t>
      </w:r>
      <w:r w:rsidR="007057D4" w:rsidRPr="004E6412">
        <w:rPr>
          <w:sz w:val="20"/>
          <w:szCs w:val="20"/>
          <w:lang w:eastAsia="hr-HR"/>
        </w:rPr>
        <w:t>, Vol 71, str. 699-703.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(1984) </w:t>
      </w:r>
      <w:r w:rsidR="007057D4" w:rsidRPr="004E6412">
        <w:rPr>
          <w:i/>
          <w:iCs/>
          <w:sz w:val="20"/>
          <w:szCs w:val="20"/>
          <w:lang w:eastAsia="hr-HR"/>
        </w:rPr>
        <w:t>The Leontief Paradox, Reconsidered</w:t>
      </w:r>
      <w:r w:rsidRPr="004E6412">
        <w:rPr>
          <w:i/>
          <w:iCs/>
          <w:sz w:val="20"/>
          <w:szCs w:val="20"/>
          <w:lang w:eastAsia="hr-HR"/>
        </w:rPr>
        <w:t>.</w:t>
      </w:r>
      <w:r w:rsidR="007057D4" w:rsidRPr="004E6412">
        <w:rPr>
          <w:i/>
          <w:iCs/>
          <w:sz w:val="20"/>
          <w:szCs w:val="20"/>
          <w:lang w:eastAsia="hr-HR"/>
        </w:rPr>
        <w:t xml:space="preserve"> Source of International Comparative Advantage: Theory and Evidence</w:t>
      </w:r>
      <w:r w:rsidR="007057D4" w:rsidRPr="004E6412">
        <w:rPr>
          <w:iCs/>
          <w:sz w:val="20"/>
          <w:szCs w:val="20"/>
          <w:lang w:eastAsia="hr-HR"/>
        </w:rPr>
        <w:t>. Cambridge, Mass.:MIT Press.</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(1989) </w:t>
      </w:r>
      <w:r w:rsidR="007057D4" w:rsidRPr="004E6412">
        <w:rPr>
          <w:iCs/>
          <w:sz w:val="20"/>
          <w:szCs w:val="20"/>
          <w:lang w:eastAsia="hr-HR"/>
        </w:rPr>
        <w:t xml:space="preserve">The </w:t>
      </w:r>
      <w:r w:rsidRPr="004E6412">
        <w:rPr>
          <w:iCs/>
          <w:sz w:val="20"/>
          <w:szCs w:val="20"/>
          <w:lang w:eastAsia="hr-HR"/>
        </w:rPr>
        <w:t>Leontief Paradox, Reconsidered,</w:t>
      </w:r>
      <w:r w:rsidR="007057D4" w:rsidRPr="004E6412">
        <w:rPr>
          <w:iCs/>
          <w:sz w:val="20"/>
          <w:szCs w:val="20"/>
          <w:lang w:eastAsia="hr-HR"/>
        </w:rPr>
        <w:t xml:space="preserve"> </w:t>
      </w:r>
      <w:r w:rsidR="007057D4" w:rsidRPr="004E6412">
        <w:rPr>
          <w:i/>
          <w:iCs/>
          <w:sz w:val="20"/>
          <w:szCs w:val="20"/>
          <w:lang w:eastAsia="hr-HR"/>
        </w:rPr>
        <w:t>Journal of Political Economy</w:t>
      </w:r>
      <w:r w:rsidR="007057D4" w:rsidRPr="004E6412">
        <w:rPr>
          <w:iCs/>
          <w:sz w:val="20"/>
          <w:szCs w:val="20"/>
          <w:lang w:eastAsia="hr-HR"/>
        </w:rPr>
        <w:t xml:space="preserve"> 88:495-503.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(1993) </w:t>
      </w:r>
      <w:r w:rsidR="007057D4" w:rsidRPr="004E6412">
        <w:rPr>
          <w:iCs/>
          <w:sz w:val="20"/>
          <w:szCs w:val="20"/>
          <w:lang w:eastAsia="hr-HR"/>
        </w:rPr>
        <w:t>Factor-Supply Difference as a Sourc</w:t>
      </w:r>
      <w:r w:rsidRPr="004E6412">
        <w:rPr>
          <w:iCs/>
          <w:sz w:val="20"/>
          <w:szCs w:val="20"/>
          <w:lang w:eastAsia="hr-HR"/>
        </w:rPr>
        <w:t>e of Comparative Advantage</w:t>
      </w:r>
      <w:r w:rsidR="007057D4" w:rsidRPr="004E6412">
        <w:rPr>
          <w:iCs/>
          <w:sz w:val="20"/>
          <w:szCs w:val="20"/>
          <w:lang w:eastAsia="hr-HR"/>
        </w:rPr>
        <w:t xml:space="preserve">, </w:t>
      </w:r>
      <w:r w:rsidR="007057D4" w:rsidRPr="004E6412">
        <w:rPr>
          <w:i/>
          <w:iCs/>
          <w:sz w:val="20"/>
          <w:szCs w:val="20"/>
          <w:lang w:eastAsia="hr-HR"/>
        </w:rPr>
        <w:t>American Economic Review</w:t>
      </w:r>
      <w:r w:rsidR="007057D4" w:rsidRPr="004E6412">
        <w:rPr>
          <w:iCs/>
          <w:sz w:val="20"/>
          <w:szCs w:val="20"/>
          <w:lang w:eastAsia="hr-HR"/>
        </w:rPr>
        <w:t>, 83(2), str. 436-439.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Leamer</w:t>
      </w:r>
      <w:r w:rsidR="009E0DAF" w:rsidRPr="004E6412">
        <w:rPr>
          <w:iCs/>
          <w:sz w:val="20"/>
          <w:szCs w:val="20"/>
          <w:lang w:eastAsia="hr-HR"/>
        </w:rPr>
        <w:t xml:space="preserve">, E. E., Levinsohn, J., (1995) </w:t>
      </w:r>
      <w:r w:rsidRPr="004E6412">
        <w:rPr>
          <w:iCs/>
          <w:sz w:val="20"/>
          <w:szCs w:val="20"/>
          <w:lang w:eastAsia="hr-HR"/>
        </w:rPr>
        <w:t>Internati</w:t>
      </w:r>
      <w:r w:rsidR="009E0DAF" w:rsidRPr="004E6412">
        <w:rPr>
          <w:iCs/>
          <w:sz w:val="20"/>
          <w:szCs w:val="20"/>
          <w:lang w:eastAsia="hr-HR"/>
        </w:rPr>
        <w:t>onal Trade Theory: The Evidence,</w:t>
      </w:r>
      <w:r w:rsidRPr="004E6412">
        <w:rPr>
          <w:iCs/>
          <w:sz w:val="20"/>
          <w:szCs w:val="20"/>
          <w:lang w:eastAsia="hr-HR"/>
        </w:rPr>
        <w:t xml:space="preserve"> </w:t>
      </w:r>
      <w:r w:rsidRPr="004E6412">
        <w:rPr>
          <w:i/>
          <w:iCs/>
          <w:sz w:val="20"/>
          <w:szCs w:val="20"/>
          <w:lang w:eastAsia="hr-HR"/>
        </w:rPr>
        <w:t>Handbook of International Economics</w:t>
      </w:r>
      <w:r w:rsidRPr="004E6412">
        <w:rPr>
          <w:iCs/>
          <w:sz w:val="20"/>
          <w:szCs w:val="20"/>
          <w:lang w:eastAsia="hr-HR"/>
        </w:rPr>
        <w:t xml:space="preserve"> 3:13, str. 39-94</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Leontief, W. (1953):  </w:t>
      </w:r>
      <w:r w:rsidR="007057D4" w:rsidRPr="004E6412">
        <w:rPr>
          <w:iCs/>
          <w:sz w:val="20"/>
          <w:szCs w:val="20"/>
          <w:lang w:eastAsia="hr-HR"/>
        </w:rPr>
        <w:t>Domestic Production and Foreign Trade: The America</w:t>
      </w:r>
      <w:r w:rsidRPr="004E6412">
        <w:rPr>
          <w:iCs/>
          <w:sz w:val="20"/>
          <w:szCs w:val="20"/>
          <w:lang w:eastAsia="hr-HR"/>
        </w:rPr>
        <w:t>n Capital Position Re-examined.</w:t>
      </w:r>
      <w:r w:rsidR="007057D4" w:rsidRPr="004E6412">
        <w:rPr>
          <w:iCs/>
          <w:sz w:val="20"/>
          <w:szCs w:val="20"/>
          <w:lang w:eastAsia="hr-HR"/>
        </w:rPr>
        <w:t xml:space="preserve"> </w:t>
      </w:r>
      <w:r w:rsidR="007057D4" w:rsidRPr="004E6412">
        <w:rPr>
          <w:i/>
          <w:iCs/>
          <w:sz w:val="20"/>
          <w:szCs w:val="20"/>
          <w:lang w:eastAsia="hr-HR"/>
        </w:rPr>
        <w:t>Proc. American Philosophical Soc.</w:t>
      </w:r>
      <w:r w:rsidR="007057D4" w:rsidRPr="004E6412">
        <w:rPr>
          <w:iCs/>
          <w:sz w:val="20"/>
          <w:szCs w:val="20"/>
          <w:lang w:eastAsia="hr-HR"/>
        </w:rPr>
        <w:t xml:space="preserve"> 9 , str. 332–49.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Leontief, W.W. (1969) Domestic production and foreign trade: The American capital position re-examined.</w:t>
      </w:r>
      <w:r w:rsidR="009E0DAF" w:rsidRPr="004E6412">
        <w:rPr>
          <w:iCs/>
          <w:sz w:val="20"/>
          <w:szCs w:val="20"/>
          <w:lang w:eastAsia="hr-HR"/>
        </w:rPr>
        <w:t xml:space="preserve"> </w:t>
      </w:r>
      <w:r w:rsidRPr="004E6412">
        <w:rPr>
          <w:iCs/>
          <w:sz w:val="20"/>
          <w:szCs w:val="20"/>
          <w:lang w:eastAsia="hr-HR"/>
        </w:rPr>
        <w:t xml:space="preserve">U: Bhagwati, J., ed., </w:t>
      </w:r>
      <w:r w:rsidRPr="004E6412">
        <w:rPr>
          <w:i/>
          <w:iCs/>
          <w:sz w:val="20"/>
          <w:szCs w:val="20"/>
          <w:lang w:eastAsia="hr-HR"/>
        </w:rPr>
        <w:t>International Trade</w:t>
      </w:r>
      <w:r w:rsidRPr="004E6412">
        <w:rPr>
          <w:iCs/>
          <w:sz w:val="20"/>
          <w:szCs w:val="20"/>
          <w:lang w:eastAsia="hr-HR"/>
        </w:rPr>
        <w:t>, Penguin Modern Economics Readings, str. 125.</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Micco, A. i Pages., C. (2006) </w:t>
      </w:r>
      <w:r w:rsidR="007057D4" w:rsidRPr="004E6412">
        <w:rPr>
          <w:sz w:val="20"/>
          <w:szCs w:val="20"/>
          <w:lang w:eastAsia="hr-HR"/>
        </w:rPr>
        <w:t xml:space="preserve">The Economic Effects of Employment Protection: Evidence from International Industry-Level Data‖, </w:t>
      </w:r>
      <w:r w:rsidR="007057D4" w:rsidRPr="004E6412">
        <w:rPr>
          <w:i/>
          <w:sz w:val="20"/>
          <w:szCs w:val="20"/>
          <w:lang w:eastAsia="hr-HR"/>
        </w:rPr>
        <w:t>IZA Discussion Paper</w:t>
      </w:r>
      <w:r w:rsidR="007057D4" w:rsidRPr="004E6412">
        <w:rPr>
          <w:sz w:val="20"/>
          <w:szCs w:val="20"/>
          <w:lang w:eastAsia="hr-HR"/>
        </w:rPr>
        <w:t>, 2433.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Ministarstvo gospodarstva (2013) Prijedlog strategije poticanja investicija u Republici Hrvatskoj za razdoblje 2014.-2020. Interni dokument Ministarstva gospodarstva.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Nacrt prijedloga inovacijske strategije Republike Hrvatske 2014.-2020.; dostupno na </w:t>
      </w:r>
      <w:hyperlink r:id="rId207" w:history="1">
        <w:r w:rsidRPr="004E6412">
          <w:rPr>
            <w:rStyle w:val="Hyperlink"/>
            <w:sz w:val="20"/>
            <w:szCs w:val="20"/>
            <w:lang w:eastAsia="hr-HR"/>
          </w:rPr>
          <w:t>http://www.mingo.hr/userdocsimages/NACRT%20PRIJEDLOGA%20INOVACIJSKE%20STRATEGIJE%20RH.PDF</w:t>
        </w:r>
      </w:hyperlink>
      <w:r w:rsidRPr="004E6412">
        <w:rPr>
          <w:sz w:val="20"/>
          <w:szCs w:val="20"/>
          <w:lang w:eastAsia="hr-HR"/>
        </w:rPr>
        <w:t xml:space="preserve">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Nickell, S. i Layard., R. (1999) </w:t>
      </w:r>
      <w:r w:rsidR="007057D4" w:rsidRPr="004E6412">
        <w:rPr>
          <w:sz w:val="20"/>
          <w:szCs w:val="20"/>
          <w:lang w:eastAsia="hr-HR"/>
        </w:rPr>
        <w:t xml:space="preserve">Labor Market Institutions and Economic Performance‖. In O. Ashenfelter and D. Card (eds.), </w:t>
      </w:r>
      <w:r w:rsidR="007057D4" w:rsidRPr="004E6412">
        <w:rPr>
          <w:i/>
          <w:sz w:val="20"/>
          <w:szCs w:val="20"/>
          <w:lang w:eastAsia="hr-HR"/>
        </w:rPr>
        <w:t>Handbook of Labor Economics</w:t>
      </w:r>
      <w:r w:rsidR="007057D4" w:rsidRPr="004E6412">
        <w:rPr>
          <w:sz w:val="20"/>
          <w:szCs w:val="20"/>
          <w:lang w:eastAsia="hr-HR"/>
        </w:rPr>
        <w:t>, Edition 1, Elsevier.OECD. Various years. OECD Employment Outlook. Paris: OECD.</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Partnership Agreement CROATIA (1 July 2013), Working draft (ver 2.0)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Peneder, M. (2009) </w:t>
      </w:r>
      <w:r w:rsidRPr="004E6412">
        <w:rPr>
          <w:i/>
          <w:sz w:val="20"/>
          <w:szCs w:val="20"/>
          <w:lang w:eastAsia="hr-HR"/>
        </w:rPr>
        <w:t>Sectoral Growth Drivers and Competitiveness in the European Union</w:t>
      </w:r>
      <w:r w:rsidRPr="004E6412">
        <w:rPr>
          <w:sz w:val="20"/>
          <w:szCs w:val="20"/>
          <w:lang w:eastAsia="hr-HR"/>
        </w:rPr>
        <w:t>. Luxembourg: Office for Official Publications of the European Communities.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Proudman, James and Steven Redding (eds). (1998) Openness and Growth, Bank of England, London.</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Ricardo, D.</w:t>
      </w:r>
      <w:r w:rsidR="007057D4" w:rsidRPr="004E6412">
        <w:rPr>
          <w:sz w:val="20"/>
          <w:szCs w:val="20"/>
          <w:lang w:eastAsia="hr-HR"/>
        </w:rPr>
        <w:t xml:space="preserve"> (1821) </w:t>
      </w:r>
      <w:r w:rsidR="007057D4" w:rsidRPr="004E6412">
        <w:rPr>
          <w:i/>
          <w:sz w:val="20"/>
          <w:szCs w:val="20"/>
          <w:lang w:eastAsia="hr-HR"/>
        </w:rPr>
        <w:t>The Principles of Political Economy and Taxation</w:t>
      </w:r>
      <w:r w:rsidR="007057D4" w:rsidRPr="004E6412">
        <w:rPr>
          <w:sz w:val="20"/>
          <w:szCs w:val="20"/>
          <w:lang w:eastAsia="hr-HR"/>
        </w:rPr>
        <w:t>, (New York, Everyman’s Library, 1973).</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(2004) </w:t>
      </w:r>
      <w:r w:rsidRPr="004E6412">
        <w:rPr>
          <w:i/>
          <w:sz w:val="20"/>
          <w:szCs w:val="20"/>
          <w:lang w:eastAsia="hr-HR"/>
        </w:rPr>
        <w:t>Industrial policy for the twnty-first century</w:t>
      </w:r>
      <w:r w:rsidRPr="004E6412">
        <w:rPr>
          <w:sz w:val="20"/>
          <w:szCs w:val="20"/>
          <w:lang w:eastAsia="hr-HR"/>
        </w:rPr>
        <w:t>. Cambridge.</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(2006) </w:t>
      </w:r>
      <w:r w:rsidRPr="004E6412">
        <w:rPr>
          <w:i/>
          <w:sz w:val="20"/>
          <w:szCs w:val="20"/>
          <w:lang w:eastAsia="hr-HR"/>
        </w:rPr>
        <w:t>Industrial development: Stilized facts and policies</w:t>
      </w:r>
      <w:r w:rsidRPr="004E6412">
        <w:rPr>
          <w:sz w:val="20"/>
          <w:szCs w:val="20"/>
          <w:lang w:eastAsia="hr-HR"/>
        </w:rPr>
        <w:t>. Draft of a chapter prepared for the U.N.-DESA publication Industrial Development for the 2221st Century. Cambridge</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Santos, P.G. ,</w:t>
      </w:r>
      <w:r w:rsidR="009E0DAF" w:rsidRPr="004E6412">
        <w:rPr>
          <w:sz w:val="20"/>
          <w:szCs w:val="20"/>
          <w:lang w:eastAsia="hr-HR"/>
        </w:rPr>
        <w:t xml:space="preserve"> Ribeiro ,A.P. , Carvalho, V.M.</w:t>
      </w:r>
      <w:r w:rsidRPr="004E6412">
        <w:rPr>
          <w:sz w:val="20"/>
          <w:szCs w:val="20"/>
          <w:lang w:eastAsia="hr-HR"/>
        </w:rPr>
        <w:t xml:space="preserve"> (2013) Export-led Growth in Europe: Where and What to Export?, </w:t>
      </w:r>
      <w:r w:rsidRPr="004E6412">
        <w:rPr>
          <w:i/>
          <w:sz w:val="20"/>
          <w:szCs w:val="20"/>
          <w:lang w:eastAsia="hr-HR"/>
        </w:rPr>
        <w:t>FEP Working Papers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Scarp</w:t>
      </w:r>
      <w:r w:rsidR="009E0DAF" w:rsidRPr="004E6412">
        <w:rPr>
          <w:sz w:val="20"/>
          <w:szCs w:val="20"/>
          <w:lang w:eastAsia="hr-HR"/>
        </w:rPr>
        <w:t xml:space="preserve">etta, S. i Tressel. T. (2004) </w:t>
      </w:r>
      <w:r w:rsidRPr="004E6412">
        <w:rPr>
          <w:sz w:val="20"/>
          <w:szCs w:val="20"/>
          <w:lang w:eastAsia="hr-HR"/>
        </w:rPr>
        <w:t xml:space="preserve">Boosting Productivity via Innovation and Adoption of New Technologies: Any Role for Labor Market Institutions?‖ </w:t>
      </w:r>
      <w:r w:rsidRPr="004E6412">
        <w:rPr>
          <w:i/>
          <w:sz w:val="20"/>
          <w:szCs w:val="20"/>
          <w:lang w:eastAsia="hr-HR"/>
        </w:rPr>
        <w:t>The World Bank Policy Research Working Paper Series</w:t>
      </w:r>
      <w:r w:rsidRPr="004E6412">
        <w:rPr>
          <w:sz w:val="20"/>
          <w:szCs w:val="20"/>
          <w:lang w:eastAsia="hr-HR"/>
        </w:rPr>
        <w:t>, 3273 78.</w:t>
      </w:r>
      <w:r w:rsidRPr="004E6412">
        <w:rPr>
          <w:sz w:val="20"/>
          <w:szCs w:val="20"/>
          <w:lang w:eastAsia="hr-HR"/>
        </w:rPr>
        <w:tab/>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obrazovanja, znanosti i tehnologije (2013.), radna verzija.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razvoja poduzetništva u Republici Hrvatskoj 2013. - 2020. (2013.): dostupno na </w:t>
      </w:r>
      <w:hyperlink r:id="rId208" w:anchor="document-preview" w:history="1">
        <w:r w:rsidRPr="004E6412">
          <w:rPr>
            <w:rStyle w:val="Hyperlink"/>
            <w:sz w:val="20"/>
            <w:szCs w:val="20"/>
            <w:lang w:eastAsia="hr-HR"/>
          </w:rPr>
          <w:t>http://www.vlada.hr/hr/naslovnica/sjednice_i_odluke_vlade_rh/2013/89_sjednica_vlade_republike_hrvatske/89_2/(view_online)/1#document-preview</w:t>
        </w:r>
      </w:hyperlink>
      <w:r w:rsidRPr="004E6412">
        <w:rPr>
          <w:sz w:val="20"/>
          <w:szCs w:val="20"/>
          <w:lang w:eastAsia="hr-HR"/>
        </w:rPr>
        <w:t xml:space="preserve">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lastRenderedPageBreak/>
        <w:t>Škuflić, L., V</w:t>
      </w:r>
      <w:r w:rsidR="009E0DAF" w:rsidRPr="004E6412">
        <w:rPr>
          <w:sz w:val="20"/>
          <w:szCs w:val="20"/>
          <w:lang w:eastAsia="hr-HR"/>
        </w:rPr>
        <w:t xml:space="preserve">lahinić-Dizdarević, N. (2004) </w:t>
      </w:r>
      <w:r w:rsidRPr="004E6412">
        <w:rPr>
          <w:sz w:val="20"/>
          <w:szCs w:val="20"/>
          <w:lang w:eastAsia="hr-HR"/>
        </w:rPr>
        <w:t xml:space="preserve">Koliko je Hrvatska Robna razmjena Intra-industrijska? </w:t>
      </w:r>
      <w:r w:rsidRPr="004E6412">
        <w:rPr>
          <w:i/>
          <w:sz w:val="20"/>
          <w:szCs w:val="20"/>
          <w:lang w:eastAsia="hr-HR"/>
        </w:rPr>
        <w:t>Ekonomski pregled</w:t>
      </w:r>
      <w:r w:rsidRPr="004E6412">
        <w:rPr>
          <w:sz w:val="20"/>
          <w:szCs w:val="20"/>
          <w:lang w:eastAsia="hr-HR"/>
        </w:rPr>
        <w:t xml:space="preserve">, Vol.55 No.9-10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Vernon, Raymond (1966) </w:t>
      </w:r>
      <w:r w:rsidR="007057D4" w:rsidRPr="004E6412">
        <w:rPr>
          <w:sz w:val="20"/>
          <w:szCs w:val="20"/>
          <w:lang w:eastAsia="hr-HR"/>
        </w:rPr>
        <w:t>International Investment and Internati</w:t>
      </w:r>
      <w:r w:rsidRPr="004E6412">
        <w:rPr>
          <w:sz w:val="20"/>
          <w:szCs w:val="20"/>
          <w:lang w:eastAsia="hr-HR"/>
        </w:rPr>
        <w:t>onal Trade int he Product Cycle</w:t>
      </w:r>
      <w:r w:rsidR="007057D4" w:rsidRPr="004E6412">
        <w:rPr>
          <w:sz w:val="20"/>
          <w:szCs w:val="20"/>
          <w:lang w:eastAsia="hr-HR"/>
        </w:rPr>
        <w:t xml:space="preserve"> </w:t>
      </w:r>
      <w:r w:rsidR="007057D4" w:rsidRPr="004E6412">
        <w:rPr>
          <w:i/>
          <w:sz w:val="20"/>
          <w:szCs w:val="20"/>
          <w:lang w:eastAsia="hr-HR"/>
        </w:rPr>
        <w:t>Quartarly Journal of  Economics</w:t>
      </w:r>
      <w:r w:rsidR="007057D4" w:rsidRPr="004E6412">
        <w:rPr>
          <w:sz w:val="20"/>
          <w:szCs w:val="20"/>
          <w:lang w:eastAsia="hr-HR"/>
        </w:rPr>
        <w:t xml:space="preserve"> 80, str 290-307</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rPr>
        <w:t xml:space="preserve">Warwick, K. (2013) Beyond Industrial Policy: Emerging Issues and New Trends. Global Industry and Economic Forum 2013: preuzeto iz Gereffi, G. (2010) </w:t>
      </w:r>
      <w:r w:rsidRPr="004E6412">
        <w:rPr>
          <w:i/>
          <w:sz w:val="20"/>
          <w:szCs w:val="20"/>
        </w:rPr>
        <w:t>Presentation at OECD workshop</w:t>
      </w:r>
      <w:r w:rsidRPr="004E6412">
        <w:rPr>
          <w:sz w:val="20"/>
          <w:szCs w:val="20"/>
        </w:rPr>
        <w:t>, September 2010.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Warwick, K. (2013) </w:t>
      </w:r>
      <w:r w:rsidRPr="004E6412">
        <w:rPr>
          <w:i/>
          <w:sz w:val="20"/>
          <w:szCs w:val="20"/>
          <w:lang w:eastAsia="hr-HR"/>
        </w:rPr>
        <w:t>Beyond Industrial Policy: Emerging Issues and New Trends</w:t>
      </w:r>
      <w:r w:rsidRPr="004E6412">
        <w:rPr>
          <w:sz w:val="20"/>
          <w:szCs w:val="20"/>
          <w:lang w:eastAsia="hr-HR"/>
        </w:rPr>
        <w:t xml:space="preserve">. </w:t>
      </w:r>
      <w:r w:rsidRPr="004E6412">
        <w:rPr>
          <w:i/>
          <w:sz w:val="20"/>
          <w:szCs w:val="20"/>
          <w:lang w:eastAsia="hr-HR"/>
        </w:rPr>
        <w:t>Global Industry and Economic Forum 2013</w:t>
      </w:r>
      <w:r w:rsidRPr="004E6412">
        <w:rPr>
          <w:sz w:val="20"/>
          <w:szCs w:val="20"/>
          <w:lang w:eastAsia="hr-HR"/>
        </w:rPr>
        <w:t xml:space="preserve">: Creativity, Innovation, Industry – New Chalenges for Policies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 (2011) Employment Protection Legislation and Labor Market Outcomes: Theory, Evidence and Lessons for Croatia</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w:t>
      </w:r>
      <w:r w:rsidR="007057D4" w:rsidRPr="004E6412">
        <w:rPr>
          <w:sz w:val="20"/>
          <w:szCs w:val="20"/>
          <w:lang w:eastAsia="hr-HR"/>
        </w:rPr>
        <w:t xml:space="preserve"> </w:t>
      </w:r>
      <w:r w:rsidRPr="004E6412">
        <w:rPr>
          <w:sz w:val="20"/>
          <w:szCs w:val="20"/>
          <w:lang w:eastAsia="hr-HR"/>
        </w:rPr>
        <w:t>(2005)</w:t>
      </w:r>
      <w:r w:rsidR="007057D4" w:rsidRPr="004E6412">
        <w:rPr>
          <w:sz w:val="20"/>
          <w:szCs w:val="20"/>
          <w:lang w:eastAsia="hr-HR"/>
        </w:rPr>
        <w:t xml:space="preserve"> Enhancing Job Opportunities. Eastern Europe and the Former Soviet Union, Washington, DC: World Bank.</w:t>
      </w:r>
    </w:p>
    <w:p w:rsidR="007057D4" w:rsidRPr="004E6412" w:rsidRDefault="00BF13E1" w:rsidP="006A331D">
      <w:pPr>
        <w:numPr>
          <w:ilvl w:val="0"/>
          <w:numId w:val="276"/>
        </w:numPr>
        <w:autoSpaceDE w:val="0"/>
        <w:autoSpaceDN w:val="0"/>
        <w:adjustRightInd w:val="0"/>
        <w:spacing w:line="240" w:lineRule="auto"/>
        <w:rPr>
          <w:sz w:val="20"/>
          <w:szCs w:val="20"/>
          <w:lang w:eastAsia="hr-HR"/>
        </w:rPr>
      </w:pPr>
      <w:hyperlink r:id="rId209" w:history="1">
        <w:r w:rsidR="007057D4" w:rsidRPr="004E6412">
          <w:rPr>
            <w:rStyle w:val="Hyperlink"/>
            <w:sz w:val="20"/>
            <w:szCs w:val="20"/>
            <w:lang w:eastAsia="hr-HR"/>
          </w:rPr>
          <w:t>www.dzs.hr</w:t>
        </w:r>
      </w:hyperlink>
      <w:r w:rsidR="007057D4" w:rsidRPr="004E6412">
        <w:rPr>
          <w:sz w:val="20"/>
          <w:szCs w:val="20"/>
          <w:lang w:eastAsia="hr-HR"/>
        </w:rPr>
        <w:t xml:space="preserve"> </w:t>
      </w:r>
    </w:p>
    <w:p w:rsidR="00EC128A" w:rsidRPr="004E6412" w:rsidRDefault="00EC128A" w:rsidP="006A331D">
      <w:pPr>
        <w:autoSpaceDE w:val="0"/>
        <w:autoSpaceDN w:val="0"/>
        <w:adjustRightInd w:val="0"/>
        <w:spacing w:line="240" w:lineRule="auto"/>
        <w:rPr>
          <w:sz w:val="20"/>
          <w:szCs w:val="20"/>
          <w:lang w:eastAsia="hr-HR"/>
        </w:rPr>
      </w:pPr>
    </w:p>
    <w:p w:rsidR="00C06D75" w:rsidRPr="004E6412" w:rsidRDefault="00BD0D35" w:rsidP="006A331D">
      <w:pPr>
        <w:autoSpaceDE w:val="0"/>
        <w:autoSpaceDN w:val="0"/>
        <w:adjustRightInd w:val="0"/>
        <w:spacing w:line="240" w:lineRule="auto"/>
        <w:rPr>
          <w:b/>
          <w:sz w:val="20"/>
          <w:szCs w:val="20"/>
          <w:lang w:eastAsia="hr-HR"/>
        </w:rPr>
      </w:pPr>
      <w:r>
        <w:rPr>
          <w:b/>
          <w:sz w:val="20"/>
          <w:szCs w:val="20"/>
          <w:lang w:eastAsia="hr-HR"/>
        </w:rPr>
        <w:t>Provedba</w:t>
      </w:r>
      <w:r w:rsidR="00C06D75" w:rsidRPr="004E6412">
        <w:rPr>
          <w:b/>
          <w:sz w:val="20"/>
          <w:szCs w:val="20"/>
          <w:lang w:eastAsia="hr-HR"/>
        </w:rPr>
        <w:t xml:space="preserve"> strategije</w:t>
      </w:r>
    </w:p>
    <w:p w:rsidR="00C06D75" w:rsidRPr="004E6412" w:rsidRDefault="00053B67" w:rsidP="006A331D">
      <w:pPr>
        <w:numPr>
          <w:ilvl w:val="0"/>
          <w:numId w:val="277"/>
        </w:numPr>
        <w:autoSpaceDE w:val="0"/>
        <w:autoSpaceDN w:val="0"/>
        <w:adjustRightInd w:val="0"/>
        <w:spacing w:line="240" w:lineRule="auto"/>
        <w:rPr>
          <w:sz w:val="20"/>
          <w:szCs w:val="20"/>
          <w:lang w:eastAsia="hr-HR"/>
        </w:rPr>
      </w:pPr>
      <w:r w:rsidRPr="004E6412">
        <w:rPr>
          <w:sz w:val="20"/>
          <w:szCs w:val="20"/>
          <w:lang w:eastAsia="hr-HR"/>
        </w:rPr>
        <w:t xml:space="preserve">Radoš, T (2009) </w:t>
      </w:r>
      <w:r w:rsidRPr="004E6412">
        <w:rPr>
          <w:i/>
          <w:sz w:val="20"/>
          <w:szCs w:val="20"/>
          <w:lang w:eastAsia="hr-HR"/>
        </w:rPr>
        <w:t>Povezanost strategije i uspješnosti poslovanja hrvatskih poduzeća</w:t>
      </w:r>
      <w:r w:rsidRPr="004E6412">
        <w:rPr>
          <w:sz w:val="20"/>
          <w:szCs w:val="20"/>
          <w:lang w:eastAsia="hr-HR"/>
        </w:rPr>
        <w:t>. Doktorska disertacija. Ekonomski fakultet sveučilišta u Zagrebu.</w:t>
      </w:r>
    </w:p>
    <w:p w:rsidR="00B31D5A" w:rsidRPr="004E6412" w:rsidRDefault="00B31D5A" w:rsidP="006A331D">
      <w:pPr>
        <w:spacing w:line="240" w:lineRule="auto"/>
        <w:ind w:left="360"/>
        <w:contextualSpacing/>
        <w:rPr>
          <w:sz w:val="20"/>
          <w:szCs w:val="20"/>
          <w:lang w:eastAsia="hr-HR"/>
        </w:rPr>
      </w:pPr>
    </w:p>
    <w:p w:rsidR="001B41B0" w:rsidRPr="004E6412" w:rsidRDefault="001B41B0" w:rsidP="006A331D">
      <w:pPr>
        <w:spacing w:line="240" w:lineRule="auto"/>
        <w:ind w:left="360"/>
        <w:rPr>
          <w:sz w:val="20"/>
          <w:szCs w:val="20"/>
        </w:rPr>
      </w:pPr>
    </w:p>
    <w:p w:rsidR="001B41B0" w:rsidRPr="004E6412" w:rsidRDefault="001B41B0" w:rsidP="006A331D">
      <w:pPr>
        <w:spacing w:line="240" w:lineRule="auto"/>
        <w:ind w:left="360"/>
        <w:contextualSpacing/>
        <w:rPr>
          <w:b/>
          <w:sz w:val="20"/>
          <w:szCs w:val="20"/>
        </w:rPr>
      </w:pPr>
    </w:p>
    <w:p w:rsidR="001B41B0" w:rsidRPr="004E6412" w:rsidRDefault="001B41B0" w:rsidP="006A331D">
      <w:pPr>
        <w:spacing w:line="240" w:lineRule="auto"/>
        <w:rPr>
          <w:lang w:eastAsia="hr-HR"/>
        </w:rPr>
      </w:pPr>
    </w:p>
    <w:sectPr w:rsidR="001B41B0" w:rsidRPr="004E6412" w:rsidSect="00894355">
      <w:footerReference w:type="default" r:id="rId2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E1" w:rsidRDefault="00BF13E1" w:rsidP="00122813">
      <w:pPr>
        <w:spacing w:line="240" w:lineRule="auto"/>
      </w:pPr>
      <w:r>
        <w:separator/>
      </w:r>
    </w:p>
  </w:endnote>
  <w:endnote w:type="continuationSeparator" w:id="0">
    <w:p w:rsidR="00BF13E1" w:rsidRDefault="00BF13E1" w:rsidP="00122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F5" w:rsidRDefault="00683AF5">
    <w:pPr>
      <w:pStyle w:val="Footer"/>
      <w:jc w:val="right"/>
    </w:pPr>
    <w:r>
      <w:fldChar w:fldCharType="begin"/>
    </w:r>
    <w:r>
      <w:instrText xml:space="preserve"> PAGE   \* MERGEFORMAT </w:instrText>
    </w:r>
    <w:r>
      <w:fldChar w:fldCharType="separate"/>
    </w:r>
    <w:r w:rsidR="005B5EA0">
      <w:rPr>
        <w:noProof/>
      </w:rPr>
      <w:t>4</w:t>
    </w:r>
    <w:r>
      <w:rPr>
        <w:noProof/>
      </w:rPr>
      <w:fldChar w:fldCharType="end"/>
    </w:r>
  </w:p>
  <w:p w:rsidR="00683AF5" w:rsidRDefault="00683A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F5" w:rsidRDefault="00683AF5">
    <w:pPr>
      <w:pStyle w:val="Footer"/>
      <w:jc w:val="right"/>
    </w:pPr>
    <w:r>
      <w:fldChar w:fldCharType="begin"/>
    </w:r>
    <w:r>
      <w:instrText xml:space="preserve"> PAGE   \* MERGEFORMAT </w:instrText>
    </w:r>
    <w:r>
      <w:fldChar w:fldCharType="separate"/>
    </w:r>
    <w:r w:rsidR="00661B08">
      <w:rPr>
        <w:noProof/>
      </w:rPr>
      <w:t>24</w:t>
    </w:r>
    <w:r>
      <w:rPr>
        <w:noProof/>
      </w:rPr>
      <w:fldChar w:fldCharType="end"/>
    </w:r>
  </w:p>
  <w:p w:rsidR="00683AF5" w:rsidRDefault="00683A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F5" w:rsidRDefault="00683AF5">
    <w:pPr>
      <w:pStyle w:val="Footer"/>
      <w:jc w:val="right"/>
    </w:pPr>
    <w:r>
      <w:fldChar w:fldCharType="begin"/>
    </w:r>
    <w:r>
      <w:instrText xml:space="preserve"> PAGE   \* MERGEFORMAT </w:instrText>
    </w:r>
    <w:r>
      <w:fldChar w:fldCharType="separate"/>
    </w:r>
    <w:r w:rsidR="005B5EA0">
      <w:rPr>
        <w:noProof/>
      </w:rPr>
      <w:t>180</w:t>
    </w:r>
    <w:r>
      <w:rPr>
        <w:noProof/>
      </w:rPr>
      <w:fldChar w:fldCharType="end"/>
    </w:r>
  </w:p>
  <w:p w:rsidR="00683AF5" w:rsidRPr="00874BDA" w:rsidRDefault="00683AF5">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F5" w:rsidRDefault="00683AF5">
    <w:pPr>
      <w:pStyle w:val="Footer"/>
      <w:jc w:val="right"/>
    </w:pPr>
    <w:r>
      <w:fldChar w:fldCharType="begin"/>
    </w:r>
    <w:r>
      <w:instrText xml:space="preserve"> PAGE   \* MERGEFORMAT </w:instrText>
    </w:r>
    <w:r>
      <w:fldChar w:fldCharType="separate"/>
    </w:r>
    <w:r w:rsidR="00661B08">
      <w:rPr>
        <w:noProof/>
      </w:rPr>
      <w:t>281</w:t>
    </w:r>
    <w:r>
      <w:rPr>
        <w:noProof/>
      </w:rPr>
      <w:fldChar w:fldCharType="end"/>
    </w:r>
  </w:p>
  <w:p w:rsidR="00683AF5" w:rsidRDefault="00683A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1478"/>
      <w:docPartObj>
        <w:docPartGallery w:val="Page Numbers (Bottom of Page)"/>
        <w:docPartUnique/>
      </w:docPartObj>
    </w:sdtPr>
    <w:sdtEndPr/>
    <w:sdtContent>
      <w:p w:rsidR="00683AF5" w:rsidRDefault="00683AF5">
        <w:pPr>
          <w:pStyle w:val="Footer"/>
          <w:jc w:val="right"/>
        </w:pPr>
        <w:r>
          <w:fldChar w:fldCharType="begin"/>
        </w:r>
        <w:r>
          <w:instrText>PAGE   \* MERGEFORMAT</w:instrText>
        </w:r>
        <w:r>
          <w:fldChar w:fldCharType="separate"/>
        </w:r>
        <w:r w:rsidR="00661B08">
          <w:rPr>
            <w:noProof/>
          </w:rPr>
          <w:t>301</w:t>
        </w:r>
        <w:r>
          <w:rPr>
            <w:noProof/>
          </w:rPr>
          <w:fldChar w:fldCharType="end"/>
        </w:r>
      </w:p>
    </w:sdtContent>
  </w:sdt>
  <w:p w:rsidR="00683AF5" w:rsidRDefault="00683A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45472"/>
      <w:docPartObj>
        <w:docPartGallery w:val="Page Numbers (Bottom of Page)"/>
        <w:docPartUnique/>
      </w:docPartObj>
    </w:sdtPr>
    <w:sdtEndPr/>
    <w:sdtContent>
      <w:p w:rsidR="00683AF5" w:rsidRDefault="00683AF5">
        <w:pPr>
          <w:pStyle w:val="Footer"/>
          <w:jc w:val="right"/>
        </w:pPr>
        <w:r>
          <w:fldChar w:fldCharType="begin"/>
        </w:r>
        <w:r>
          <w:instrText xml:space="preserve"> PAGE   \* MERGEFORMAT </w:instrText>
        </w:r>
        <w:r>
          <w:fldChar w:fldCharType="separate"/>
        </w:r>
        <w:r w:rsidR="00661B08">
          <w:rPr>
            <w:noProof/>
          </w:rPr>
          <w:t>313</w:t>
        </w:r>
        <w:r>
          <w:rPr>
            <w:noProof/>
          </w:rPr>
          <w:fldChar w:fldCharType="end"/>
        </w:r>
      </w:p>
    </w:sdtContent>
  </w:sdt>
  <w:p w:rsidR="00683AF5" w:rsidRDefault="00683A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F5" w:rsidRDefault="00683AF5">
    <w:pPr>
      <w:pStyle w:val="Footer"/>
      <w:jc w:val="right"/>
    </w:pPr>
    <w:r>
      <w:fldChar w:fldCharType="begin"/>
    </w:r>
    <w:r>
      <w:instrText xml:space="preserve"> PAGE   \* MERGEFORMAT </w:instrText>
    </w:r>
    <w:r>
      <w:fldChar w:fldCharType="separate"/>
    </w:r>
    <w:r w:rsidR="00661B08">
      <w:rPr>
        <w:noProof/>
      </w:rPr>
      <w:t>343</w:t>
    </w:r>
    <w:r>
      <w:rPr>
        <w:noProof/>
      </w:rPr>
      <w:fldChar w:fldCharType="end"/>
    </w:r>
  </w:p>
  <w:p w:rsidR="00683AF5" w:rsidRDefault="00683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E1" w:rsidRDefault="00BF13E1" w:rsidP="00122813">
      <w:pPr>
        <w:spacing w:line="240" w:lineRule="auto"/>
      </w:pPr>
      <w:r>
        <w:separator/>
      </w:r>
    </w:p>
  </w:footnote>
  <w:footnote w:type="continuationSeparator" w:id="0">
    <w:p w:rsidR="00BF13E1" w:rsidRDefault="00BF13E1" w:rsidP="00122813">
      <w:pPr>
        <w:spacing w:line="240" w:lineRule="auto"/>
      </w:pPr>
      <w:r>
        <w:continuationSeparator/>
      </w:r>
    </w:p>
  </w:footnote>
  <w:footnote w:id="1">
    <w:p w:rsidR="00683AF5" w:rsidRDefault="00683AF5" w:rsidP="00006F29">
      <w:pPr>
        <w:pStyle w:val="FootnoteText"/>
      </w:pPr>
      <w:r>
        <w:rPr>
          <w:rStyle w:val="FootnoteReference"/>
        </w:rPr>
        <w:footnoteRef/>
      </w:r>
      <w:r>
        <w:t xml:space="preserve"> </w:t>
      </w:r>
      <w:r w:rsidRPr="00284AE0">
        <w:t>Baletić, Z. (1995</w:t>
      </w:r>
      <w:r>
        <w:t>.</w:t>
      </w:r>
      <w:r w:rsidRPr="00284AE0">
        <w:t>) Ekonomski leksikon Zagreb: Leksikografski zavod Miroslav Krleža i Masmedia</w:t>
      </w:r>
    </w:p>
  </w:footnote>
  <w:footnote w:id="2">
    <w:p w:rsidR="00683AF5" w:rsidRDefault="00683AF5" w:rsidP="00DE4832">
      <w:pPr>
        <w:pStyle w:val="FootnoteText"/>
      </w:pPr>
      <w:r>
        <w:rPr>
          <w:rStyle w:val="FootnoteReference"/>
        </w:rPr>
        <w:footnoteRef/>
      </w:r>
      <w:r>
        <w:t xml:space="preserve"> Warwick, K. (2013) Beyond Industrial Policy, Emerging Issues and New Trends. Global Industry and Economy Forum 2013. OECD</w:t>
      </w:r>
    </w:p>
  </w:footnote>
  <w:footnote w:id="3">
    <w:p w:rsidR="00683AF5" w:rsidRDefault="00683AF5" w:rsidP="00AE218E">
      <w:pPr>
        <w:pStyle w:val="FootnoteText"/>
      </w:pPr>
      <w:r>
        <w:rPr>
          <w:rStyle w:val="FootnoteReference"/>
        </w:rPr>
        <w:footnoteRef/>
      </w:r>
      <w:r>
        <w:t xml:space="preserve"> Prema </w:t>
      </w:r>
      <w:r w:rsidRPr="00125A94">
        <w:t>EUROSTAT</w:t>
      </w:r>
      <w:r>
        <w:t>-u,</w:t>
      </w:r>
      <w:r w:rsidRPr="00125A94">
        <w:t xml:space="preserve"> prije revidiranja od strane DZS</w:t>
      </w:r>
      <w:r>
        <w:t>-a.</w:t>
      </w:r>
    </w:p>
  </w:footnote>
  <w:footnote w:id="4">
    <w:p w:rsidR="00683AF5" w:rsidRDefault="00683AF5" w:rsidP="00DA2484">
      <w:pPr>
        <w:pStyle w:val="FootnoteText"/>
      </w:pPr>
      <w:r>
        <w:rPr>
          <w:rStyle w:val="FootnoteReference"/>
        </w:rPr>
        <w:footnoteRef/>
      </w:r>
      <w:r>
        <w:t xml:space="preserve"> LKIS – Trgovina, Kopneni prijevoz i cjevovodni transport, Skladištenje, Poštanske usluge, Smještaj, Ugostiteljstvo, Poslovanje nekretninama, Iznajmljivanje, Zapošljavanje, Putničke agencije, Uslužne djelatnosti povezane s upravljanjem, Uredske i administrativne djelatnosti, Popravak računala, itd. </w:t>
      </w:r>
    </w:p>
  </w:footnote>
  <w:footnote w:id="5">
    <w:p w:rsidR="00683AF5" w:rsidRDefault="00683AF5" w:rsidP="001B41B0">
      <w:pPr>
        <w:pStyle w:val="FootnoteText"/>
      </w:pPr>
      <w:r w:rsidRPr="00BD075C">
        <w:rPr>
          <w:rStyle w:val="FootnoteReference"/>
        </w:rPr>
        <w:footnoteRef/>
      </w:r>
      <w:r>
        <w:t xml:space="preserve"> Poda</w:t>
      </w:r>
      <w:r w:rsidRPr="00BD075C">
        <w:t>ci dobiveni iz financijskih izvještaja.</w:t>
      </w:r>
      <w:r>
        <w:t xml:space="preserve"> </w:t>
      </w:r>
    </w:p>
  </w:footnote>
  <w:footnote w:id="6">
    <w:p w:rsidR="00683AF5" w:rsidRDefault="00683AF5" w:rsidP="001B41B0">
      <w:pPr>
        <w:pStyle w:val="FootnoteText"/>
        <w:jc w:val="both"/>
      </w:pPr>
      <w:r>
        <w:rPr>
          <w:rStyle w:val="FootnoteReference"/>
        </w:rPr>
        <w:footnoteRef/>
      </w:r>
      <w:r>
        <w:t xml:space="preserve"> P</w:t>
      </w:r>
      <w:r w:rsidRPr="007B1812">
        <w:t>roizvodni resurs</w:t>
      </w:r>
      <w:r>
        <w:t>i koji se uvoze uključuju velik</w:t>
      </w:r>
      <w:r w:rsidRPr="007B1812">
        <w:t xml:space="preserve"> broj različitih sirovina (koje se razlik</w:t>
      </w:r>
      <w:r>
        <w:t>uju ovisno o tome što je krajnji rezultat</w:t>
      </w:r>
      <w:r w:rsidRPr="007B1812">
        <w:t>) - otapala, pigmenti, toulen, ksilen, površinski ak</w:t>
      </w:r>
      <w:r>
        <w:t>tivne tvari, sulfati, karbonati,</w:t>
      </w:r>
      <w:r w:rsidRPr="007B1812">
        <w:t xml:space="preserve"> itd. Proizvodnja navedenih sirovina u Hrvatskoj nije raz</w:t>
      </w:r>
      <w:r>
        <w:t>vijena jer kako ne postoji moguć</w:t>
      </w:r>
      <w:r w:rsidRPr="007B1812">
        <w:t xml:space="preserve">nost </w:t>
      </w:r>
      <w:r>
        <w:t>diferencijacije proizvoda, ključ uspješ</w:t>
      </w:r>
      <w:r w:rsidRPr="007B1812">
        <w:t>nog poslovanja je ostvarivanje troškovnih prednosti kroz ekonomiju obujma što je u Hrvatskoj teško ostvarivo. Vrlo je teško ocijeniti bi li proizvodnja bila profitabilnija kada bi se koristile domaće sirovine – jer premda nabavnu cijenu ne bi vi</w:t>
      </w:r>
      <w:r>
        <w:t>še opterećivao trošak prijevoza</w:t>
      </w:r>
      <w:r w:rsidRPr="007B1812">
        <w:t>, troškovi proizvodnje domaćeg proizvođača bili bi relativno viši zbog manjeg obujma proizvodnje.</w:t>
      </w:r>
    </w:p>
  </w:footnote>
  <w:footnote w:id="7">
    <w:p w:rsidR="00683AF5" w:rsidRPr="00AD4AB0" w:rsidRDefault="00683AF5" w:rsidP="001B41B0">
      <w:pPr>
        <w:pStyle w:val="FootnoteText"/>
      </w:pPr>
      <w:r w:rsidRPr="00AD4AB0">
        <w:rPr>
          <w:rStyle w:val="FootnoteReference"/>
        </w:rPr>
        <w:footnoteRef/>
      </w:r>
      <w:r>
        <w:t xml:space="preserve"> Bruto dodana vrijednost </w:t>
      </w:r>
      <w:r w:rsidRPr="00AD4AB0">
        <w:t xml:space="preserve">negativna </w:t>
      </w:r>
      <w:r>
        <w:t xml:space="preserve">je </w:t>
      </w:r>
      <w:r w:rsidRPr="00AD4AB0">
        <w:t>zbog ostvarenog</w:t>
      </w:r>
      <w:r>
        <w:t>a</w:t>
      </w:r>
      <w:r w:rsidRPr="00AD4AB0">
        <w:t xml:space="preserve"> značajnog</w:t>
      </w:r>
      <w:r>
        <w:t>a</w:t>
      </w:r>
      <w:r w:rsidRPr="00AD4AB0">
        <w:t xml:space="preserve"> gubitka prije poreza u 2011. godini, čija negativna vrijedn</w:t>
      </w:r>
      <w:r>
        <w:t xml:space="preserve">ost nadmašuje ostale sastavnice </w:t>
      </w:r>
      <w:r w:rsidRPr="00AD4AB0">
        <w:t>bruto dodane vrijednosti.</w:t>
      </w:r>
    </w:p>
  </w:footnote>
  <w:footnote w:id="8">
    <w:p w:rsidR="00683AF5" w:rsidRDefault="00683AF5" w:rsidP="001B41B0">
      <w:pPr>
        <w:pStyle w:val="FootnoteText"/>
      </w:pPr>
      <w:r w:rsidRPr="00AD4AB0">
        <w:rPr>
          <w:rStyle w:val="FootnoteReference"/>
        </w:rPr>
        <w:footnoteRef/>
      </w:r>
      <w:r>
        <w:t xml:space="preserve"> Jedinični trošak rada </w:t>
      </w:r>
      <w:r w:rsidRPr="00AD4AB0">
        <w:t xml:space="preserve">negativan </w:t>
      </w:r>
      <w:r>
        <w:t xml:space="preserve">je </w:t>
      </w:r>
      <w:r w:rsidRPr="00AD4AB0">
        <w:t>zbog negativne bruto dodane vrijednosti.</w:t>
      </w:r>
    </w:p>
  </w:footnote>
  <w:footnote w:id="9">
    <w:p w:rsidR="00683AF5" w:rsidRDefault="00683AF5" w:rsidP="001B41B0">
      <w:pPr>
        <w:pStyle w:val="FootnoteText"/>
        <w:jc w:val="both"/>
      </w:pPr>
      <w:r>
        <w:rPr>
          <w:rStyle w:val="FootnoteReference"/>
        </w:rPr>
        <w:footnoteRef/>
      </w:r>
      <w:r>
        <w:t xml:space="preserve"> </w:t>
      </w:r>
      <w:r w:rsidRPr="00485C5C">
        <w:t>Osnovno ograničenje prikaza stvarnog stanja industrijske djelatnosti je činjenica kako većin</w:t>
      </w:r>
      <w:r>
        <w:t>a tvrtki registrirana u Djelatnosti C</w:t>
      </w:r>
      <w:r w:rsidRPr="00485C5C">
        <w:t xml:space="preserve">26 prerađivačke industrije </w:t>
      </w:r>
      <w:r w:rsidRPr="00485C5C">
        <w:rPr>
          <w:i/>
        </w:rPr>
        <w:t>zapravo</w:t>
      </w:r>
      <w:r w:rsidRPr="00485C5C">
        <w:t xml:space="preserve"> obavlja djelatnosti i ostvaruje većinu prihoda iz područja J – Informacije i komunikacije</w:t>
      </w:r>
      <w:r>
        <w:t>.</w:t>
      </w:r>
    </w:p>
  </w:footnote>
  <w:footnote w:id="10">
    <w:p w:rsidR="00683AF5" w:rsidRDefault="00683AF5" w:rsidP="001B41B0">
      <w:pPr>
        <w:pStyle w:val="FootnoteText"/>
        <w:jc w:val="both"/>
      </w:pPr>
      <w:r>
        <w:rPr>
          <w:rStyle w:val="FootnoteReference"/>
        </w:rPr>
        <w:footnoteRef/>
      </w:r>
      <w:r>
        <w:t xml:space="preserve"> Napomena: </w:t>
      </w:r>
      <w:r w:rsidRPr="00285454">
        <w:t>Većina poduzeća iz ove djelatnosti vertikalno je povezana s poduzećima iz djela</w:t>
      </w:r>
      <w:r>
        <w:t xml:space="preserve">tnosti C16 </w:t>
      </w:r>
      <w:r w:rsidRPr="00285454">
        <w:t>Prerada drva</w:t>
      </w:r>
      <w:r>
        <w:t xml:space="preserve"> i proizvoda od drva i pluta pa se tako</w:t>
      </w:r>
      <w:r w:rsidRPr="00285454">
        <w:t xml:space="preserve"> određeni čimbenici djelatnosti C16 odnose i na ovu djelatnost.</w:t>
      </w:r>
    </w:p>
  </w:footnote>
  <w:footnote w:id="11">
    <w:p w:rsidR="00683AF5" w:rsidRDefault="00683AF5" w:rsidP="001B41B0">
      <w:pPr>
        <w:pStyle w:val="FootnoteText"/>
        <w:jc w:val="both"/>
      </w:pPr>
      <w:r w:rsidRPr="00074959">
        <w:rPr>
          <w:rStyle w:val="FootnoteReference"/>
          <w:sz w:val="18"/>
          <w:szCs w:val="18"/>
        </w:rPr>
        <w:footnoteRef/>
      </w:r>
      <w:r w:rsidRPr="00074959">
        <w:rPr>
          <w:sz w:val="18"/>
          <w:szCs w:val="18"/>
        </w:rPr>
        <w:t xml:space="preserve"> Poduzeće je u promatranom razdoblju privatizirano</w:t>
      </w:r>
      <w:r>
        <w:rPr>
          <w:sz w:val="18"/>
          <w:szCs w:val="18"/>
        </w:rPr>
        <w:t>.</w:t>
      </w:r>
    </w:p>
  </w:footnote>
  <w:footnote w:id="12">
    <w:p w:rsidR="00683AF5" w:rsidRPr="00731137" w:rsidRDefault="00683AF5" w:rsidP="001B41B0">
      <w:pPr>
        <w:pStyle w:val="FootnoteText"/>
        <w:jc w:val="both"/>
      </w:pPr>
      <w:r w:rsidRPr="00731137">
        <w:rPr>
          <w:rStyle w:val="FootnoteReference"/>
        </w:rPr>
        <w:footnoteRef/>
      </w:r>
      <w:r w:rsidRPr="00731137">
        <w:t xml:space="preserve"> Prema izračunu na temelju financijskih izvještaja, BDV građevinske industrije manji je od onog prema izračunu DZS-a. Razlika je i do 30% zbog razlike u obuhvatu podataka prilikom izračuna.  U tablici je prikazan BDV izračunat iz financijskih izvještaja, isto kao i njegov udio u ukupnom BDV-u gospodarstva. DZS objavljuje BDV za razdoblje 2010. - 2012. prema privremenim podacima. Ako se uzmu vrijednosti iz DZS</w:t>
      </w:r>
      <w:r>
        <w:t>-a</w:t>
      </w:r>
      <w:r w:rsidRPr="00731137">
        <w:t>, onda je udio BDV-a u ukupnom BDV-u gospodarstva: 8,36% (2010.),  7,60% (2011.) i 6,84% (2012.). Prema DZS</w:t>
      </w:r>
      <w:r>
        <w:t>-u</w:t>
      </w:r>
      <w:r w:rsidRPr="00731137">
        <w:t>, apsolutne vrijednos</w:t>
      </w:r>
      <w:r>
        <w:t>ti BDV-a građevinarstva iznosile</w:t>
      </w:r>
      <w:r w:rsidRPr="00731137">
        <w:t xml:space="preserve"> su za 2010</w:t>
      </w:r>
      <w:r>
        <w:t>.</w:t>
      </w:r>
      <w:r w:rsidRPr="00731137">
        <w:t>, 2011. i 2012. godinu redom: 18.685.000.000 HRK, 17.076.000.000 HRK i 15.180.000.000</w:t>
      </w:r>
      <w:r>
        <w:t xml:space="preserve"> HRK</w:t>
      </w:r>
      <w:r w:rsidRPr="00731137">
        <w:t xml:space="preserve">. </w:t>
      </w:r>
    </w:p>
  </w:footnote>
  <w:footnote w:id="13">
    <w:p w:rsidR="00683AF5" w:rsidRDefault="00683AF5" w:rsidP="001B41B0">
      <w:pPr>
        <w:pStyle w:val="FootnoteText"/>
        <w:jc w:val="both"/>
      </w:pPr>
      <w:r>
        <w:rPr>
          <w:rStyle w:val="FootnoteReference"/>
        </w:rPr>
        <w:footnoteRef/>
      </w:r>
      <w:r>
        <w:t xml:space="preserve"> </w:t>
      </w:r>
      <w:r w:rsidRPr="00D47904">
        <w:t>BDV djelatnosti je upisan prema izračunu iz dostupnih financijskih izvještaja. Razlikuje se za 10 - 15</w:t>
      </w:r>
      <w:r>
        <w:t>% od vrijednosti prema</w:t>
      </w:r>
      <w:r w:rsidRPr="00D47904">
        <w:t xml:space="preserve"> DZS</w:t>
      </w:r>
      <w:r>
        <w:t>-u</w:t>
      </w:r>
      <w:r w:rsidRPr="00D47904">
        <w:t>. DZS bilježi sljedeće vrijednosti BDV-a za industri</w:t>
      </w:r>
      <w:r>
        <w:t>ju informacija i komunikacija:13.302.000.000 HRK</w:t>
      </w:r>
      <w:r w:rsidRPr="00D47904">
        <w:t xml:space="preserve"> (2010.); 13.770.000.000 </w:t>
      </w:r>
      <w:r>
        <w:t>HRK</w:t>
      </w:r>
      <w:r w:rsidRPr="00D47904">
        <w:t xml:space="preserve"> (2011.); 14.240.000.000 </w:t>
      </w:r>
      <w:r>
        <w:t>HRK</w:t>
      </w:r>
      <w:r w:rsidRPr="00D47904">
        <w:t xml:space="preserve"> (2012.)</w:t>
      </w:r>
    </w:p>
  </w:footnote>
  <w:footnote w:id="14">
    <w:p w:rsidR="00683AF5" w:rsidRDefault="00683AF5" w:rsidP="00C923F3">
      <w:pPr>
        <w:pStyle w:val="FootnoteText"/>
      </w:pPr>
      <w:r>
        <w:rPr>
          <w:rStyle w:val="FootnoteReference"/>
        </w:rPr>
        <w:footnoteRef/>
      </w:r>
      <w:r>
        <w:t xml:space="preserve"> Vrijednosni lanac predstavlja raščlanjivanje procesa stvaranja vrijednosti na strateški važne aktivnosti. </w:t>
      </w:r>
    </w:p>
  </w:footnote>
  <w:footnote w:id="15">
    <w:p w:rsidR="00683AF5" w:rsidRDefault="00683AF5" w:rsidP="00C923F3">
      <w:pPr>
        <w:pStyle w:val="FootnoteText"/>
      </w:pPr>
      <w:r>
        <w:rPr>
          <w:rStyle w:val="FootnoteReference"/>
        </w:rPr>
        <w:footnoteRef/>
      </w:r>
      <w:r>
        <w:t xml:space="preserve"> Izvoz se prilagođavao makroekonomskom okruženju, prije svega deviznom tečaju. </w:t>
      </w:r>
    </w:p>
  </w:footnote>
  <w:footnote w:id="16">
    <w:p w:rsidR="00683AF5" w:rsidRDefault="00683AF5" w:rsidP="00C923F3">
      <w:pPr>
        <w:pStyle w:val="FootnoteText"/>
      </w:pPr>
      <w:r>
        <w:rPr>
          <w:rStyle w:val="FootnoteReference"/>
        </w:rPr>
        <w:footnoteRef/>
      </w:r>
      <w:r>
        <w:t xml:space="preserve"> Ulaganje</w:t>
      </w:r>
      <w:r w:rsidRPr="00184613">
        <w:t xml:space="preserve"> u ist</w:t>
      </w:r>
      <w:r>
        <w:t>raživanje i razvoj (inovacije)</w:t>
      </w:r>
      <w:r w:rsidRPr="00184613">
        <w:t xml:space="preserve"> predstavlja osnovu dugoročne konkurentnosti ind</w:t>
      </w:r>
      <w:r>
        <w:t>ustrije kroz repozicioniranje u</w:t>
      </w:r>
      <w:r w:rsidRPr="00184613">
        <w:t xml:space="preserve"> globa</w:t>
      </w:r>
      <w:r>
        <w:t>lnom vrijednosnome lancu usmjereno</w:t>
      </w:r>
      <w:r w:rsidRPr="00184613">
        <w:t xml:space="preserve"> na proi</w:t>
      </w:r>
      <w:r>
        <w:t>zvode više razine dodane vrijed</w:t>
      </w:r>
      <w:r w:rsidRPr="00184613">
        <w:t>nosti.</w:t>
      </w:r>
    </w:p>
  </w:footnote>
  <w:footnote w:id="17">
    <w:p w:rsidR="00683AF5" w:rsidRDefault="00683AF5" w:rsidP="00C923F3">
      <w:pPr>
        <w:pStyle w:val="FootnoteText"/>
      </w:pPr>
      <w:r>
        <w:rPr>
          <w:rStyle w:val="FootnoteReference"/>
        </w:rPr>
        <w:footnoteRef/>
      </w:r>
      <w:r>
        <w:t xml:space="preserve"> Za područje F Graditeljstvo analiziran je indeks fizičkog obujma građevinskih radova.</w:t>
      </w:r>
    </w:p>
  </w:footnote>
  <w:footnote w:id="18">
    <w:p w:rsidR="00683AF5" w:rsidRDefault="00683AF5" w:rsidP="00C923F3">
      <w:pPr>
        <w:pStyle w:val="FootnoteText"/>
      </w:pPr>
      <w:r>
        <w:rPr>
          <w:rStyle w:val="FootnoteReference"/>
        </w:rPr>
        <w:footnoteRef/>
      </w:r>
      <w:r>
        <w:t xml:space="preserve"> Prema „Partnership Agreement CROATIA (1 July 2013), Working draft (ver 2.0), Hrvatska je u 2011. u istraživanje i razvoj uložila 0,75% BDP-a. U 2020. godini cilj je u istraživanje i razvoj uložiti 1,4% BDP-a.</w:t>
      </w:r>
    </w:p>
  </w:footnote>
  <w:footnote w:id="19">
    <w:p w:rsidR="00683AF5" w:rsidRPr="00C81C7F" w:rsidRDefault="00683AF5" w:rsidP="00C923F3">
      <w:pPr>
        <w:pStyle w:val="FootnoteText"/>
      </w:pPr>
      <w:r w:rsidRPr="00C81C7F">
        <w:rPr>
          <w:rStyle w:val="FootnoteReference"/>
        </w:rPr>
        <w:footnoteRef/>
      </w:r>
      <w:r w:rsidRPr="00C81C7F">
        <w:t xml:space="preserve"> Indeks fizičkog obujma industrijske proizvodnje bilo je moguće prikazati samo za C Prerađivačku industriju, za F Građevinarstvo je uzet indeks </w:t>
      </w:r>
      <w:r>
        <w:t xml:space="preserve">fizičkog </w:t>
      </w:r>
      <w:r w:rsidRPr="00C81C7F">
        <w:t>obujma građevinskih radova, dok za područje J Informacije i k</w:t>
      </w:r>
      <w:r>
        <w:t>omunikacije ne postoji prikladna</w:t>
      </w:r>
      <w:r w:rsidRPr="00C81C7F">
        <w:t xml:space="preserve"> mjera koja bi bila ekvivalent prethodnim dvjema mjerama.</w:t>
      </w:r>
    </w:p>
  </w:footnote>
  <w:footnote w:id="20">
    <w:p w:rsidR="00683AF5" w:rsidRDefault="00683AF5" w:rsidP="00C923F3">
      <w:pPr>
        <w:pStyle w:val="FootnoteText"/>
      </w:pPr>
      <w:r>
        <w:rPr>
          <w:rStyle w:val="FootnoteReference"/>
        </w:rPr>
        <w:footnoteRef/>
      </w:r>
      <w:r>
        <w:t xml:space="preserve"> Dostupno na </w:t>
      </w:r>
      <w:hyperlink r:id="rId1" w:history="1">
        <w:r w:rsidRPr="00473F61">
          <w:rPr>
            <w:rStyle w:val="Hyperlink"/>
          </w:rPr>
          <w:t>http://www3.weforum.org/docs/WEF_GlobalCompetitivenessReport_2013-14.pdf</w:t>
        </w:r>
      </w:hyperlink>
      <w:r>
        <w:t xml:space="preserve">; 2.12.2013. </w:t>
      </w:r>
    </w:p>
  </w:footnote>
  <w:footnote w:id="21">
    <w:p w:rsidR="00683AF5" w:rsidRDefault="00683AF5" w:rsidP="00C923F3">
      <w:pPr>
        <w:pStyle w:val="FootnoteText"/>
      </w:pPr>
      <w:r>
        <w:rPr>
          <w:rStyle w:val="FootnoteReference"/>
        </w:rPr>
        <w:footnoteRef/>
      </w:r>
      <w:r>
        <w:t xml:space="preserve"> Dostupno na </w:t>
      </w:r>
      <w:hyperlink r:id="rId2" w:history="1">
        <w:r w:rsidRPr="00473F61">
          <w:rPr>
            <w:rStyle w:val="Hyperlink"/>
          </w:rPr>
          <w:t>http://www.doingbusiness.org/~/media/GIAWB/Doing%20Business/Documents/Annual-Reports/English/DB13-full-report.pdf</w:t>
        </w:r>
      </w:hyperlink>
      <w:r>
        <w:t xml:space="preserve">; 2.12.2013. </w:t>
      </w:r>
    </w:p>
  </w:footnote>
  <w:footnote w:id="22">
    <w:p w:rsidR="00683AF5" w:rsidRDefault="00683AF5" w:rsidP="00C923F3">
      <w:pPr>
        <w:pStyle w:val="FootnoteText"/>
      </w:pPr>
      <w:r>
        <w:rPr>
          <w:rStyle w:val="FootnoteReference"/>
        </w:rPr>
        <w:footnoteRef/>
      </w:r>
      <w:r>
        <w:t xml:space="preserve"> Dostupno na </w:t>
      </w:r>
      <w:hyperlink r:id="rId3" w:history="1">
        <w:r w:rsidRPr="00473F61">
          <w:rPr>
            <w:rStyle w:val="Hyperlink"/>
          </w:rPr>
          <w:t>http://ec.europa.eu/enterprise/policies/industrial-competitiveness/monitoring-member-states/files/ms_comp_report_2012_en.pdf</w:t>
        </w:r>
      </w:hyperlink>
      <w:r>
        <w:t xml:space="preserve">; 2.12.2013. </w:t>
      </w:r>
    </w:p>
  </w:footnote>
  <w:footnote w:id="23">
    <w:p w:rsidR="00683AF5" w:rsidRPr="00C81C7F" w:rsidRDefault="00683AF5" w:rsidP="00C923F3">
      <w:pPr>
        <w:pStyle w:val="FootnoteText"/>
      </w:pPr>
      <w:r w:rsidRPr="00C81C7F">
        <w:rPr>
          <w:rStyle w:val="FootnoteReference"/>
        </w:rPr>
        <w:footnoteRef/>
      </w:r>
      <w:r w:rsidRPr="00C81C7F">
        <w:t xml:space="preserve"> Složena heterogena struktura industrijskih djelatnosti uvjetovala je modeliranje na razini poddjelatnosti kako bi se dobili relevantni rezultati za definiranje horizontalnih, ali i sektorskih politika. </w:t>
      </w:r>
      <w:r>
        <w:t>P</w:t>
      </w:r>
      <w:r w:rsidRPr="00C81C7F">
        <w:t>rovođenje analize na razini poddjelatnosti ima puno veću korist kako za  str</w:t>
      </w:r>
      <w:r>
        <w:t>ategiju pametne specijalizacije tako i za definiranje posebnih</w:t>
      </w:r>
      <w:r w:rsidRPr="00C81C7F">
        <w:t xml:space="preserve"> mjera usmjer</w:t>
      </w:r>
      <w:r>
        <w:t>e</w:t>
      </w:r>
      <w:r w:rsidRPr="00C81C7F">
        <w:t xml:space="preserve">nih na razvoj određenih vještina i sposobnosti. </w:t>
      </w:r>
    </w:p>
  </w:footnote>
  <w:footnote w:id="24">
    <w:p w:rsidR="00683AF5" w:rsidRDefault="00683AF5" w:rsidP="0050036B">
      <w:pPr>
        <w:pStyle w:val="FootnoteText"/>
      </w:pPr>
      <w:r>
        <w:rPr>
          <w:rStyle w:val="FootnoteReference"/>
        </w:rPr>
        <w:footnoteRef/>
      </w:r>
      <w:r>
        <w:t xml:space="preserve"> Za C prerađivačka industrija dan je indeks fizičkog obujma industrijske proizvodnje, dok je za F Građevinarstvo prikazan i</w:t>
      </w:r>
      <w:r w:rsidRPr="001304C6">
        <w:t>ndeks fizičkog obujma građevinskih radova</w:t>
      </w:r>
    </w:p>
  </w:footnote>
  <w:footnote w:id="25">
    <w:p w:rsidR="00683AF5" w:rsidRDefault="00683AF5" w:rsidP="0050036B">
      <w:pPr>
        <w:pStyle w:val="FootnoteText"/>
      </w:pPr>
      <w:r>
        <w:rPr>
          <w:rStyle w:val="FootnoteReference"/>
        </w:rPr>
        <w:footnoteRef/>
      </w:r>
      <w:r>
        <w:t xml:space="preserve"> Podatak</w:t>
      </w:r>
      <w:r w:rsidRPr="00961393">
        <w:t xml:space="preserve"> DZS</w:t>
      </w:r>
      <w:r>
        <w:t xml:space="preserve">-a za 2012. godinu objavljen </w:t>
      </w:r>
      <w:r w:rsidRPr="00961393">
        <w:t>29.11.2013.</w:t>
      </w:r>
    </w:p>
  </w:footnote>
  <w:footnote w:id="26">
    <w:p w:rsidR="00683AF5" w:rsidRDefault="00683AF5" w:rsidP="0050036B">
      <w:pPr>
        <w:pStyle w:val="FootnoteText"/>
      </w:pPr>
      <w:r>
        <w:rPr>
          <w:rStyle w:val="FootnoteReference"/>
        </w:rPr>
        <w:footnoteRef/>
      </w:r>
      <w:r>
        <w:t xml:space="preserve"> Podaci za 2011. godinu</w:t>
      </w:r>
    </w:p>
  </w:footnote>
  <w:footnote w:id="27">
    <w:p w:rsidR="00683AF5" w:rsidRPr="00961393" w:rsidRDefault="00683AF5" w:rsidP="0050036B">
      <w:pPr>
        <w:pStyle w:val="FootnoteText"/>
      </w:pPr>
      <w:r>
        <w:rPr>
          <w:rStyle w:val="FootnoteReference"/>
        </w:rPr>
        <w:footnoteRef/>
      </w:r>
      <w:r>
        <w:t xml:space="preserve"> </w:t>
      </w:r>
      <w:r w:rsidRPr="00961393">
        <w:t>Analiza prema stupnju obrazovanja rađena je na podacima DZS koji nisu u potpunosti usklađeni s brojem zaposlenih evidentiranom na agregiranim financijskim izvještajima koj</w:t>
      </w:r>
      <w:r>
        <w:t>i su korišteni</w:t>
      </w:r>
      <w:r w:rsidRPr="00961393">
        <w:t xml:space="preserve"> u ostatku analize. </w:t>
      </w:r>
    </w:p>
    <w:p w:rsidR="00683AF5" w:rsidRDefault="00683AF5" w:rsidP="0050036B">
      <w:pPr>
        <w:pStyle w:val="FootnoteText"/>
      </w:pPr>
    </w:p>
  </w:footnote>
  <w:footnote w:id="28">
    <w:p w:rsidR="00683AF5" w:rsidRDefault="00683AF5" w:rsidP="0050036B">
      <w:pPr>
        <w:pStyle w:val="FootnoteText"/>
      </w:pPr>
      <w:r>
        <w:rPr>
          <w:rStyle w:val="FootnoteReference"/>
        </w:rPr>
        <w:footnoteRef/>
      </w:r>
      <w:r>
        <w:t xml:space="preserve"> Navedeni su samo oni ciljevi za koje se smatra da imaju direktan utjecaj na industriju i implementaciju industrijske strategije u razdoblju 2014. – 2020.</w:t>
      </w:r>
    </w:p>
  </w:footnote>
  <w:footnote w:id="29">
    <w:p w:rsidR="00683AF5" w:rsidRDefault="00683AF5" w:rsidP="00A27012">
      <w:pPr>
        <w:pStyle w:val="FootnoteText"/>
      </w:pPr>
      <w:r>
        <w:rPr>
          <w:rStyle w:val="FootnoteReference"/>
        </w:rPr>
        <w:footnoteRef/>
      </w:r>
      <w:r>
        <w:t xml:space="preserve"> Prema “</w:t>
      </w:r>
      <w:r w:rsidRPr="00963723">
        <w:t>Partnership Agreement CROATIA</w:t>
      </w:r>
      <w:r>
        <w:t>“</w:t>
      </w:r>
      <w:r w:rsidRPr="00963723">
        <w:t xml:space="preserve"> (1 July 2013), Working draft (ver 2.0)</w:t>
      </w:r>
      <w:r>
        <w:t>.</w:t>
      </w:r>
    </w:p>
  </w:footnote>
  <w:footnote w:id="30">
    <w:p w:rsidR="00683AF5" w:rsidRDefault="00683AF5" w:rsidP="0050036B">
      <w:pPr>
        <w:pStyle w:val="FootnoteText"/>
      </w:pPr>
      <w:r>
        <w:rPr>
          <w:rStyle w:val="FootnoteReference"/>
        </w:rPr>
        <w:footnoteRef/>
      </w:r>
      <w:r>
        <w:t xml:space="preserve"> Broj</w:t>
      </w:r>
      <w:r w:rsidRPr="008642E5">
        <w:t xml:space="preserve"> visokoobrazovanih u ukupnom broju </w:t>
      </w:r>
      <w:r>
        <w:t>novo</w:t>
      </w:r>
      <w:r w:rsidRPr="008642E5">
        <w:t>zaposlenih u pesimističnom scenariju nije relevantan budući u pesimističnom scenariju nema novih zapošljavanja</w:t>
      </w:r>
    </w:p>
  </w:footnote>
  <w:footnote w:id="31">
    <w:p w:rsidR="00683AF5" w:rsidRDefault="00683AF5">
      <w:pPr>
        <w:pStyle w:val="FootnoteText"/>
      </w:pPr>
      <w:r>
        <w:rPr>
          <w:rStyle w:val="FootnoteReference"/>
        </w:rPr>
        <w:footnoteRef/>
      </w:r>
      <w:r>
        <w:t xml:space="preserve"> Strateškim projektima smatraju se oni koji osiguravaju transfer znanja i tehnologija</w:t>
      </w:r>
    </w:p>
  </w:footnote>
  <w:footnote w:id="32">
    <w:p w:rsidR="00683AF5" w:rsidRPr="00A93F5F" w:rsidRDefault="00683AF5" w:rsidP="00A27012">
      <w:pPr>
        <w:autoSpaceDE w:val="0"/>
        <w:autoSpaceDN w:val="0"/>
        <w:adjustRightInd w:val="0"/>
        <w:spacing w:line="240" w:lineRule="auto"/>
        <w:rPr>
          <w:sz w:val="20"/>
          <w:szCs w:val="20"/>
        </w:rPr>
      </w:pPr>
      <w:r>
        <w:rPr>
          <w:rStyle w:val="FootnoteReference"/>
        </w:rPr>
        <w:footnoteRef/>
      </w:r>
      <w:r>
        <w:t xml:space="preserve"> </w:t>
      </w:r>
      <w:r w:rsidRPr="00A93F5F">
        <w:rPr>
          <w:sz w:val="20"/>
          <w:szCs w:val="20"/>
        </w:rPr>
        <w:t>Ekonomski institut Zagreb, „Strateške odrednice razvitka i konkurentnost prerađivačke industrije Hrvatske do 2013. godine“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8E8"/>
    <w:multiLevelType w:val="hybridMultilevel"/>
    <w:tmpl w:val="F04E6B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710D54"/>
    <w:multiLevelType w:val="hybridMultilevel"/>
    <w:tmpl w:val="240EA6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1D73F2B"/>
    <w:multiLevelType w:val="hybridMultilevel"/>
    <w:tmpl w:val="210AD04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A52C6A"/>
    <w:multiLevelType w:val="hybridMultilevel"/>
    <w:tmpl w:val="52FAB1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3E16D8"/>
    <w:multiLevelType w:val="hybridMultilevel"/>
    <w:tmpl w:val="45F8C4B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3917517"/>
    <w:multiLevelType w:val="hybridMultilevel"/>
    <w:tmpl w:val="7BF618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3A15F86"/>
    <w:multiLevelType w:val="hybridMultilevel"/>
    <w:tmpl w:val="BCD0FF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3DD6523"/>
    <w:multiLevelType w:val="hybridMultilevel"/>
    <w:tmpl w:val="7B469D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42B0DB0"/>
    <w:multiLevelType w:val="hybridMultilevel"/>
    <w:tmpl w:val="74485C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47817EB"/>
    <w:multiLevelType w:val="hybridMultilevel"/>
    <w:tmpl w:val="9C783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4D936C4"/>
    <w:multiLevelType w:val="hybridMultilevel"/>
    <w:tmpl w:val="729A13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9B305C"/>
    <w:multiLevelType w:val="hybridMultilevel"/>
    <w:tmpl w:val="064AA83E"/>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
    <w:nsid w:val="05A07E8C"/>
    <w:multiLevelType w:val="hybridMultilevel"/>
    <w:tmpl w:val="2D1CFA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5A2504E"/>
    <w:multiLevelType w:val="hybridMultilevel"/>
    <w:tmpl w:val="3280DC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68A12A3"/>
    <w:multiLevelType w:val="hybridMultilevel"/>
    <w:tmpl w:val="6F1270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70C0FB6"/>
    <w:multiLevelType w:val="hybridMultilevel"/>
    <w:tmpl w:val="C6ECEA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451710"/>
    <w:multiLevelType w:val="hybridMultilevel"/>
    <w:tmpl w:val="CCF2D544"/>
    <w:lvl w:ilvl="0" w:tplc="4EF43C8A">
      <w:start w:val="1"/>
      <w:numFmt w:val="decimal"/>
      <w:lvlText w:val="%1."/>
      <w:lvlJc w:val="left"/>
      <w:pPr>
        <w:tabs>
          <w:tab w:val="num" w:pos="720"/>
        </w:tabs>
        <w:ind w:left="720" w:hanging="360"/>
      </w:pPr>
    </w:lvl>
    <w:lvl w:ilvl="1" w:tplc="FF365350" w:tentative="1">
      <w:start w:val="1"/>
      <w:numFmt w:val="decimal"/>
      <w:lvlText w:val="%2."/>
      <w:lvlJc w:val="left"/>
      <w:pPr>
        <w:tabs>
          <w:tab w:val="num" w:pos="1440"/>
        </w:tabs>
        <w:ind w:left="1440" w:hanging="360"/>
      </w:pPr>
    </w:lvl>
    <w:lvl w:ilvl="2" w:tplc="B4EEB86E" w:tentative="1">
      <w:start w:val="1"/>
      <w:numFmt w:val="decimal"/>
      <w:lvlText w:val="%3."/>
      <w:lvlJc w:val="left"/>
      <w:pPr>
        <w:tabs>
          <w:tab w:val="num" w:pos="2160"/>
        </w:tabs>
        <w:ind w:left="2160" w:hanging="360"/>
      </w:pPr>
    </w:lvl>
    <w:lvl w:ilvl="3" w:tplc="CE8C50A8" w:tentative="1">
      <w:start w:val="1"/>
      <w:numFmt w:val="decimal"/>
      <w:lvlText w:val="%4."/>
      <w:lvlJc w:val="left"/>
      <w:pPr>
        <w:tabs>
          <w:tab w:val="num" w:pos="2880"/>
        </w:tabs>
        <w:ind w:left="2880" w:hanging="360"/>
      </w:pPr>
    </w:lvl>
    <w:lvl w:ilvl="4" w:tplc="C9D21148" w:tentative="1">
      <w:start w:val="1"/>
      <w:numFmt w:val="decimal"/>
      <w:lvlText w:val="%5."/>
      <w:lvlJc w:val="left"/>
      <w:pPr>
        <w:tabs>
          <w:tab w:val="num" w:pos="3600"/>
        </w:tabs>
        <w:ind w:left="3600" w:hanging="360"/>
      </w:pPr>
    </w:lvl>
    <w:lvl w:ilvl="5" w:tplc="6EFADC48" w:tentative="1">
      <w:start w:val="1"/>
      <w:numFmt w:val="decimal"/>
      <w:lvlText w:val="%6."/>
      <w:lvlJc w:val="left"/>
      <w:pPr>
        <w:tabs>
          <w:tab w:val="num" w:pos="4320"/>
        </w:tabs>
        <w:ind w:left="4320" w:hanging="360"/>
      </w:pPr>
    </w:lvl>
    <w:lvl w:ilvl="6" w:tplc="38F6B88A" w:tentative="1">
      <w:start w:val="1"/>
      <w:numFmt w:val="decimal"/>
      <w:lvlText w:val="%7."/>
      <w:lvlJc w:val="left"/>
      <w:pPr>
        <w:tabs>
          <w:tab w:val="num" w:pos="5040"/>
        </w:tabs>
        <w:ind w:left="5040" w:hanging="360"/>
      </w:pPr>
    </w:lvl>
    <w:lvl w:ilvl="7" w:tplc="33B401CA" w:tentative="1">
      <w:start w:val="1"/>
      <w:numFmt w:val="decimal"/>
      <w:lvlText w:val="%8."/>
      <w:lvlJc w:val="left"/>
      <w:pPr>
        <w:tabs>
          <w:tab w:val="num" w:pos="5760"/>
        </w:tabs>
        <w:ind w:left="5760" w:hanging="360"/>
      </w:pPr>
    </w:lvl>
    <w:lvl w:ilvl="8" w:tplc="0854BFA2" w:tentative="1">
      <w:start w:val="1"/>
      <w:numFmt w:val="decimal"/>
      <w:lvlText w:val="%9."/>
      <w:lvlJc w:val="left"/>
      <w:pPr>
        <w:tabs>
          <w:tab w:val="num" w:pos="6480"/>
        </w:tabs>
        <w:ind w:left="6480" w:hanging="360"/>
      </w:pPr>
    </w:lvl>
  </w:abstractNum>
  <w:abstractNum w:abstractNumId="17">
    <w:nsid w:val="07BC62B5"/>
    <w:multiLevelType w:val="hybridMultilevel"/>
    <w:tmpl w:val="EB7450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7DC208F"/>
    <w:multiLevelType w:val="hybridMultilevel"/>
    <w:tmpl w:val="AFFAAA8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08026298"/>
    <w:multiLevelType w:val="hybridMultilevel"/>
    <w:tmpl w:val="C8E20234"/>
    <w:lvl w:ilvl="0" w:tplc="A6C2FEBA">
      <w:start w:val="2"/>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080A1E9D"/>
    <w:multiLevelType w:val="hybridMultilevel"/>
    <w:tmpl w:val="4C5A871C"/>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08EF6E59"/>
    <w:multiLevelType w:val="hybridMultilevel"/>
    <w:tmpl w:val="50FE7B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08F42755"/>
    <w:multiLevelType w:val="hybridMultilevel"/>
    <w:tmpl w:val="316695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098C00CE"/>
    <w:multiLevelType w:val="hybridMultilevel"/>
    <w:tmpl w:val="F6F817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09C56B40"/>
    <w:multiLevelType w:val="hybridMultilevel"/>
    <w:tmpl w:val="A83C8D50"/>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5">
    <w:nsid w:val="09E95E14"/>
    <w:multiLevelType w:val="hybridMultilevel"/>
    <w:tmpl w:val="BA54DF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0A767C36"/>
    <w:multiLevelType w:val="hybridMultilevel"/>
    <w:tmpl w:val="DBA86D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0A7D2111"/>
    <w:multiLevelType w:val="hybridMultilevel"/>
    <w:tmpl w:val="9D843E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0B2B34E1"/>
    <w:multiLevelType w:val="hybridMultilevel"/>
    <w:tmpl w:val="D80CFC58"/>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0B5562AF"/>
    <w:multiLevelType w:val="hybridMultilevel"/>
    <w:tmpl w:val="37646B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0CC45A94"/>
    <w:multiLevelType w:val="multilevel"/>
    <w:tmpl w:val="4C34D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0CE2674D"/>
    <w:multiLevelType w:val="multilevel"/>
    <w:tmpl w:val="C31C93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0D3D04F5"/>
    <w:multiLevelType w:val="hybridMultilevel"/>
    <w:tmpl w:val="C2827F0C"/>
    <w:lvl w:ilvl="0" w:tplc="041A000F">
      <w:start w:val="1"/>
      <w:numFmt w:val="decimal"/>
      <w:lvlText w:val="%1."/>
      <w:lvlJc w:val="left"/>
      <w:pPr>
        <w:ind w:left="1080" w:hanging="360"/>
      </w:pPr>
    </w:lvl>
    <w:lvl w:ilvl="1" w:tplc="041A000F">
      <w:start w:val="1"/>
      <w:numFmt w:val="decimal"/>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nsid w:val="0D407DED"/>
    <w:multiLevelType w:val="hybridMultilevel"/>
    <w:tmpl w:val="7C6218E2"/>
    <w:lvl w:ilvl="0" w:tplc="041A0003">
      <w:start w:val="1"/>
      <w:numFmt w:val="bullet"/>
      <w:lvlText w:val="o"/>
      <w:lvlJc w:val="left"/>
      <w:pPr>
        <w:ind w:left="1429" w:hanging="360"/>
      </w:pPr>
      <w:rPr>
        <w:rFonts w:ascii="Courier New" w:hAnsi="Courier New" w:hint="default"/>
      </w:rPr>
    </w:lvl>
    <w:lvl w:ilvl="1" w:tplc="041A0003">
      <w:start w:val="1"/>
      <w:numFmt w:val="bullet"/>
      <w:lvlText w:val="o"/>
      <w:lvlJc w:val="left"/>
      <w:pPr>
        <w:ind w:left="2149" w:hanging="360"/>
      </w:pPr>
      <w:rPr>
        <w:rFonts w:ascii="Courier New" w:hAnsi="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nsid w:val="0DC036C4"/>
    <w:multiLevelType w:val="hybridMultilevel"/>
    <w:tmpl w:val="63E83A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0E81245C"/>
    <w:multiLevelType w:val="hybridMultilevel"/>
    <w:tmpl w:val="221626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0E8A735A"/>
    <w:multiLevelType w:val="hybridMultilevel"/>
    <w:tmpl w:val="420884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0EE92FCD"/>
    <w:multiLevelType w:val="hybridMultilevel"/>
    <w:tmpl w:val="FF261DA6"/>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0EEC3141"/>
    <w:multiLevelType w:val="hybridMultilevel"/>
    <w:tmpl w:val="89F023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0F3522D1"/>
    <w:multiLevelType w:val="hybridMultilevel"/>
    <w:tmpl w:val="EF7E5F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021028B"/>
    <w:multiLevelType w:val="hybridMultilevel"/>
    <w:tmpl w:val="D7F0AC9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11D07C6A"/>
    <w:multiLevelType w:val="hybridMultilevel"/>
    <w:tmpl w:val="A4E0D1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1FE7686"/>
    <w:multiLevelType w:val="hybridMultilevel"/>
    <w:tmpl w:val="9CA282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1259165D"/>
    <w:multiLevelType w:val="hybridMultilevel"/>
    <w:tmpl w:val="3D762E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145237E7"/>
    <w:multiLevelType w:val="hybridMultilevel"/>
    <w:tmpl w:val="D2CC56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148140B8"/>
    <w:multiLevelType w:val="hybridMultilevel"/>
    <w:tmpl w:val="D666C9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14D01420"/>
    <w:multiLevelType w:val="hybridMultilevel"/>
    <w:tmpl w:val="6D1AE646"/>
    <w:lvl w:ilvl="0" w:tplc="70B08AE8">
      <w:start w:val="1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15894AC2"/>
    <w:multiLevelType w:val="hybridMultilevel"/>
    <w:tmpl w:val="618256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5AC10FC"/>
    <w:multiLevelType w:val="hybridMultilevel"/>
    <w:tmpl w:val="9DDCA65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nsid w:val="15EF30AD"/>
    <w:multiLevelType w:val="hybridMultilevel"/>
    <w:tmpl w:val="14F8D6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16C24F38"/>
    <w:multiLevelType w:val="hybridMultilevel"/>
    <w:tmpl w:val="DE74CA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72225E5"/>
    <w:multiLevelType w:val="hybridMultilevel"/>
    <w:tmpl w:val="08BA0E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177D5C8B"/>
    <w:multiLevelType w:val="hybridMultilevel"/>
    <w:tmpl w:val="09123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17BB117D"/>
    <w:multiLevelType w:val="hybridMultilevel"/>
    <w:tmpl w:val="389E849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181875CB"/>
    <w:multiLevelType w:val="hybridMultilevel"/>
    <w:tmpl w:val="A0DEEC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8355927"/>
    <w:multiLevelType w:val="hybridMultilevel"/>
    <w:tmpl w:val="E2D235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1AB413FD"/>
    <w:multiLevelType w:val="hybridMultilevel"/>
    <w:tmpl w:val="060416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1B1E11BD"/>
    <w:multiLevelType w:val="hybridMultilevel"/>
    <w:tmpl w:val="89168B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1BC22A46"/>
    <w:multiLevelType w:val="hybridMultilevel"/>
    <w:tmpl w:val="121C0F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1BF54E38"/>
    <w:multiLevelType w:val="hybridMultilevel"/>
    <w:tmpl w:val="15105E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1CD839D0"/>
    <w:multiLevelType w:val="hybridMultilevel"/>
    <w:tmpl w:val="3C4C8D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1DA56FF0"/>
    <w:multiLevelType w:val="hybridMultilevel"/>
    <w:tmpl w:val="47029C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1DB30542"/>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nsid w:val="1DE523F3"/>
    <w:multiLevelType w:val="hybridMultilevel"/>
    <w:tmpl w:val="EF400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1E9912D5"/>
    <w:multiLevelType w:val="hybridMultilevel"/>
    <w:tmpl w:val="A8D4721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1E9D25F7"/>
    <w:multiLevelType w:val="hybridMultilevel"/>
    <w:tmpl w:val="77D838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1ECE0CBA"/>
    <w:multiLevelType w:val="hybridMultilevel"/>
    <w:tmpl w:val="FD9CFA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1EDB7FBA"/>
    <w:multiLevelType w:val="hybridMultilevel"/>
    <w:tmpl w:val="919231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1F0779D1"/>
    <w:multiLevelType w:val="hybridMultilevel"/>
    <w:tmpl w:val="1B0AB0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1F45635D"/>
    <w:multiLevelType w:val="hybridMultilevel"/>
    <w:tmpl w:val="520CEC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1F70514E"/>
    <w:multiLevelType w:val="hybridMultilevel"/>
    <w:tmpl w:val="9A8C7F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1FB10D65"/>
    <w:multiLevelType w:val="hybridMultilevel"/>
    <w:tmpl w:val="FF420E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1FCE4EA8"/>
    <w:multiLevelType w:val="hybridMultilevel"/>
    <w:tmpl w:val="83A240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1FD90409"/>
    <w:multiLevelType w:val="hybridMultilevel"/>
    <w:tmpl w:val="0F36FE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1FF8230D"/>
    <w:multiLevelType w:val="hybridMultilevel"/>
    <w:tmpl w:val="C6263F8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20995279"/>
    <w:multiLevelType w:val="hybridMultilevel"/>
    <w:tmpl w:val="4126E1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20FD44E9"/>
    <w:multiLevelType w:val="hybridMultilevel"/>
    <w:tmpl w:val="E38AC8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21417D2B"/>
    <w:multiLevelType w:val="hybridMultilevel"/>
    <w:tmpl w:val="667AC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22D4B35"/>
    <w:multiLevelType w:val="hybridMultilevel"/>
    <w:tmpl w:val="0E1CB684"/>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9">
    <w:nsid w:val="22333B93"/>
    <w:multiLevelType w:val="hybridMultilevel"/>
    <w:tmpl w:val="656428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223758A2"/>
    <w:multiLevelType w:val="hybridMultilevel"/>
    <w:tmpl w:val="BBECFC22"/>
    <w:lvl w:ilvl="0" w:tplc="27A8CD76">
      <w:start w:val="2"/>
      <w:numFmt w:val="bullet"/>
      <w:lvlText w:val="-"/>
      <w:lvlJc w:val="left"/>
      <w:pPr>
        <w:ind w:left="720" w:hanging="360"/>
      </w:pPr>
      <w:rPr>
        <w:rFonts w:ascii="TimesNewRomanPSMT" w:eastAsia="Calibri"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227A6C12"/>
    <w:multiLevelType w:val="hybridMultilevel"/>
    <w:tmpl w:val="82825B1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228919CB"/>
    <w:multiLevelType w:val="hybridMultilevel"/>
    <w:tmpl w:val="8BF49CA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22DE506E"/>
    <w:multiLevelType w:val="hybridMultilevel"/>
    <w:tmpl w:val="919ED59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247A10B0"/>
    <w:multiLevelType w:val="hybridMultilevel"/>
    <w:tmpl w:val="C5AE5F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248D77F0"/>
    <w:multiLevelType w:val="hybridMultilevel"/>
    <w:tmpl w:val="E522C6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250B5179"/>
    <w:multiLevelType w:val="hybridMultilevel"/>
    <w:tmpl w:val="CA42FE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25E44F6D"/>
    <w:multiLevelType w:val="hybridMultilevel"/>
    <w:tmpl w:val="954887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26B81AA1"/>
    <w:multiLevelType w:val="hybridMultilevel"/>
    <w:tmpl w:val="7F1265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26F25922"/>
    <w:multiLevelType w:val="hybridMultilevel"/>
    <w:tmpl w:val="58B2177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0">
    <w:nsid w:val="27535FF3"/>
    <w:multiLevelType w:val="hybridMultilevel"/>
    <w:tmpl w:val="911209A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2761686B"/>
    <w:multiLevelType w:val="hybridMultilevel"/>
    <w:tmpl w:val="6A220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2818667E"/>
    <w:multiLevelType w:val="hybridMultilevel"/>
    <w:tmpl w:val="775EC6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28520FD2"/>
    <w:multiLevelType w:val="hybridMultilevel"/>
    <w:tmpl w:val="0DB41ED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28E346B9"/>
    <w:multiLevelType w:val="hybridMultilevel"/>
    <w:tmpl w:val="4112BE3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29210BDA"/>
    <w:multiLevelType w:val="hybridMultilevel"/>
    <w:tmpl w:val="9C5A9E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29490C4A"/>
    <w:multiLevelType w:val="hybridMultilevel"/>
    <w:tmpl w:val="578AD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298874C4"/>
    <w:multiLevelType w:val="hybridMultilevel"/>
    <w:tmpl w:val="C0CCD8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299E4E8C"/>
    <w:multiLevelType w:val="hybridMultilevel"/>
    <w:tmpl w:val="484639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29B70D19"/>
    <w:multiLevelType w:val="hybridMultilevel"/>
    <w:tmpl w:val="3C2CAD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29BA768B"/>
    <w:multiLevelType w:val="hybridMultilevel"/>
    <w:tmpl w:val="F81863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2A9B3697"/>
    <w:multiLevelType w:val="hybridMultilevel"/>
    <w:tmpl w:val="0D748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2AC32BD5"/>
    <w:multiLevelType w:val="hybridMultilevel"/>
    <w:tmpl w:val="6568D1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2B0A668A"/>
    <w:multiLevelType w:val="hybridMultilevel"/>
    <w:tmpl w:val="8B88767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4">
    <w:nsid w:val="2B6D25D1"/>
    <w:multiLevelType w:val="hybridMultilevel"/>
    <w:tmpl w:val="FB1042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2C7E1C8E"/>
    <w:multiLevelType w:val="hybridMultilevel"/>
    <w:tmpl w:val="6A525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2D097F56"/>
    <w:multiLevelType w:val="hybridMultilevel"/>
    <w:tmpl w:val="D60645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2D1670DC"/>
    <w:multiLevelType w:val="hybridMultilevel"/>
    <w:tmpl w:val="F006BC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2D3A33BD"/>
    <w:multiLevelType w:val="hybridMultilevel"/>
    <w:tmpl w:val="4E86C08A"/>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9">
    <w:nsid w:val="2EA47B91"/>
    <w:multiLevelType w:val="hybridMultilevel"/>
    <w:tmpl w:val="67C0C2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2F9B7D1A"/>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1">
    <w:nsid w:val="2FC71A57"/>
    <w:multiLevelType w:val="hybridMultilevel"/>
    <w:tmpl w:val="8376A6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2FCE2735"/>
    <w:multiLevelType w:val="hybridMultilevel"/>
    <w:tmpl w:val="C88889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30C530EB"/>
    <w:multiLevelType w:val="hybridMultilevel"/>
    <w:tmpl w:val="CA804F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311E0318"/>
    <w:multiLevelType w:val="hybridMultilevel"/>
    <w:tmpl w:val="A740E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316E7A27"/>
    <w:multiLevelType w:val="hybridMultilevel"/>
    <w:tmpl w:val="40823F4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6">
    <w:nsid w:val="31F413D2"/>
    <w:multiLevelType w:val="multilevel"/>
    <w:tmpl w:val="2A28AAF6"/>
    <w:lvl w:ilvl="0">
      <w:start w:val="1"/>
      <w:numFmt w:val="decimal"/>
      <w:lvlText w:val="%1."/>
      <w:lvlJc w:val="left"/>
      <w:pPr>
        <w:ind w:left="720" w:hanging="360"/>
      </w:pPr>
      <w:rPr>
        <w:rFonts w:hint="default"/>
      </w:rPr>
    </w:lvl>
    <w:lvl w:ilvl="1">
      <w:start w:val="1"/>
      <w:numFmt w:val="decimal"/>
      <w:isLgl/>
      <w:lvlText w:val="%1.%2."/>
      <w:lvlJc w:val="left"/>
      <w:pPr>
        <w:ind w:left="1418" w:hanging="2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22024FA"/>
    <w:multiLevelType w:val="hybridMultilevel"/>
    <w:tmpl w:val="E2E05C72"/>
    <w:lvl w:ilvl="0" w:tplc="4A8E9642">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8">
    <w:nsid w:val="32314CC8"/>
    <w:multiLevelType w:val="hybridMultilevel"/>
    <w:tmpl w:val="94A8A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323D0446"/>
    <w:multiLevelType w:val="hybridMultilevel"/>
    <w:tmpl w:val="9EA4A6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32E37B0E"/>
    <w:multiLevelType w:val="hybridMultilevel"/>
    <w:tmpl w:val="68CE1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335877B3"/>
    <w:multiLevelType w:val="hybridMultilevel"/>
    <w:tmpl w:val="BA861B3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344612B9"/>
    <w:multiLevelType w:val="hybridMultilevel"/>
    <w:tmpl w:val="D80CC1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35DF6FBE"/>
    <w:multiLevelType w:val="hybridMultilevel"/>
    <w:tmpl w:val="1CFC3E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35F00276"/>
    <w:multiLevelType w:val="hybridMultilevel"/>
    <w:tmpl w:val="269A2A5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360A5B77"/>
    <w:multiLevelType w:val="hybridMultilevel"/>
    <w:tmpl w:val="5C5CC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3677328F"/>
    <w:multiLevelType w:val="hybridMultilevel"/>
    <w:tmpl w:val="A28A228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373D6757"/>
    <w:multiLevelType w:val="hybridMultilevel"/>
    <w:tmpl w:val="99C238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37CC44F1"/>
    <w:multiLevelType w:val="hybridMultilevel"/>
    <w:tmpl w:val="49606750"/>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9">
    <w:nsid w:val="37F1551A"/>
    <w:multiLevelType w:val="hybridMultilevel"/>
    <w:tmpl w:val="044C21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385136DC"/>
    <w:multiLevelType w:val="hybridMultilevel"/>
    <w:tmpl w:val="B50C05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3869543B"/>
    <w:multiLevelType w:val="hybridMultilevel"/>
    <w:tmpl w:val="5FD29A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38A95FF3"/>
    <w:multiLevelType w:val="hybridMultilevel"/>
    <w:tmpl w:val="6C40584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38BA7E0E"/>
    <w:multiLevelType w:val="hybridMultilevel"/>
    <w:tmpl w:val="5630E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392C7C29"/>
    <w:multiLevelType w:val="hybridMultilevel"/>
    <w:tmpl w:val="FA02CDD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3A0D35F4"/>
    <w:multiLevelType w:val="hybridMultilevel"/>
    <w:tmpl w:val="537AE13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3A3706AB"/>
    <w:multiLevelType w:val="hybridMultilevel"/>
    <w:tmpl w:val="FCACD4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3ADC5B0E"/>
    <w:multiLevelType w:val="hybridMultilevel"/>
    <w:tmpl w:val="D4F209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3AE11A6E"/>
    <w:multiLevelType w:val="hybridMultilevel"/>
    <w:tmpl w:val="663EF6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3AE2363C"/>
    <w:multiLevelType w:val="hybridMultilevel"/>
    <w:tmpl w:val="C786F2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3B3A611E"/>
    <w:multiLevelType w:val="hybridMultilevel"/>
    <w:tmpl w:val="32DCAD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3B817EAB"/>
    <w:multiLevelType w:val="hybridMultilevel"/>
    <w:tmpl w:val="65726758"/>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2">
    <w:nsid w:val="3BDD3B87"/>
    <w:multiLevelType w:val="hybridMultilevel"/>
    <w:tmpl w:val="C2362A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3C1E7CFB"/>
    <w:multiLevelType w:val="hybridMultilevel"/>
    <w:tmpl w:val="007A96F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3C507DC1"/>
    <w:multiLevelType w:val="hybridMultilevel"/>
    <w:tmpl w:val="2ED40A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3D50751C"/>
    <w:multiLevelType w:val="hybridMultilevel"/>
    <w:tmpl w:val="F0E2AC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nsid w:val="3D8D1716"/>
    <w:multiLevelType w:val="hybridMultilevel"/>
    <w:tmpl w:val="95428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3DCD225E"/>
    <w:multiLevelType w:val="hybridMultilevel"/>
    <w:tmpl w:val="64D25B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nsid w:val="3DE529A6"/>
    <w:multiLevelType w:val="hybridMultilevel"/>
    <w:tmpl w:val="E7C8AA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3F0442C2"/>
    <w:multiLevelType w:val="hybridMultilevel"/>
    <w:tmpl w:val="87762B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3FE27B52"/>
    <w:multiLevelType w:val="hybridMultilevel"/>
    <w:tmpl w:val="920A0C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406A6E4E"/>
    <w:multiLevelType w:val="hybridMultilevel"/>
    <w:tmpl w:val="FB0481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nsid w:val="406D47F6"/>
    <w:multiLevelType w:val="hybridMultilevel"/>
    <w:tmpl w:val="E004BEC0"/>
    <w:lvl w:ilvl="0" w:tplc="041A0003">
      <w:start w:val="1"/>
      <w:numFmt w:val="bullet"/>
      <w:lvlText w:val="o"/>
      <w:lvlJc w:val="left"/>
      <w:pPr>
        <w:ind w:left="1425" w:hanging="360"/>
      </w:pPr>
      <w:rPr>
        <w:rFonts w:ascii="Courier New" w:hAnsi="Courier New" w:hint="default"/>
      </w:rPr>
    </w:lvl>
    <w:lvl w:ilvl="1" w:tplc="041A0003" w:tentative="1">
      <w:start w:val="1"/>
      <w:numFmt w:val="bullet"/>
      <w:lvlText w:val="o"/>
      <w:lvlJc w:val="left"/>
      <w:pPr>
        <w:ind w:left="2145" w:hanging="360"/>
      </w:pPr>
      <w:rPr>
        <w:rFonts w:ascii="Courier New" w:hAnsi="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53">
    <w:nsid w:val="41616CEF"/>
    <w:multiLevelType w:val="hybridMultilevel"/>
    <w:tmpl w:val="8B4A1C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41F222B0"/>
    <w:multiLevelType w:val="hybridMultilevel"/>
    <w:tmpl w:val="C332EB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42700F33"/>
    <w:multiLevelType w:val="hybridMultilevel"/>
    <w:tmpl w:val="BA8E53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428D606F"/>
    <w:multiLevelType w:val="hybridMultilevel"/>
    <w:tmpl w:val="B2422E1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42DE7F13"/>
    <w:multiLevelType w:val="hybridMultilevel"/>
    <w:tmpl w:val="8FD20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nsid w:val="42FE5938"/>
    <w:multiLevelType w:val="hybridMultilevel"/>
    <w:tmpl w:val="28D01A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nsid w:val="43096F6C"/>
    <w:multiLevelType w:val="multilevel"/>
    <w:tmpl w:val="A9E2F2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nsid w:val="441E6CDE"/>
    <w:multiLevelType w:val="hybridMultilevel"/>
    <w:tmpl w:val="8676D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4448399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45370F01"/>
    <w:multiLevelType w:val="hybridMultilevel"/>
    <w:tmpl w:val="729EB4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nsid w:val="4541098F"/>
    <w:multiLevelType w:val="hybridMultilevel"/>
    <w:tmpl w:val="D0B2B9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46FE425C"/>
    <w:multiLevelType w:val="hybridMultilevel"/>
    <w:tmpl w:val="FC4E0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472C1EF8"/>
    <w:multiLevelType w:val="hybridMultilevel"/>
    <w:tmpl w:val="A45273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nsid w:val="479D15BB"/>
    <w:multiLevelType w:val="hybridMultilevel"/>
    <w:tmpl w:val="9D345B9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nsid w:val="47A25F90"/>
    <w:multiLevelType w:val="hybridMultilevel"/>
    <w:tmpl w:val="CD3ABC8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nsid w:val="48546FC8"/>
    <w:multiLevelType w:val="hybridMultilevel"/>
    <w:tmpl w:val="3920D9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nsid w:val="490D448F"/>
    <w:multiLevelType w:val="hybridMultilevel"/>
    <w:tmpl w:val="B79EC5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nsid w:val="49602CE1"/>
    <w:multiLevelType w:val="hybridMultilevel"/>
    <w:tmpl w:val="F2182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nsid w:val="497141FD"/>
    <w:multiLevelType w:val="hybridMultilevel"/>
    <w:tmpl w:val="9D0663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nsid w:val="498E2365"/>
    <w:multiLevelType w:val="hybridMultilevel"/>
    <w:tmpl w:val="075CBD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nsid w:val="49D65D13"/>
    <w:multiLevelType w:val="hybridMultilevel"/>
    <w:tmpl w:val="D4E03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nsid w:val="49F1765D"/>
    <w:multiLevelType w:val="hybridMultilevel"/>
    <w:tmpl w:val="1DC0C5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nsid w:val="4A8A4547"/>
    <w:multiLevelType w:val="hybridMultilevel"/>
    <w:tmpl w:val="FC862D24"/>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4AEA3C17"/>
    <w:multiLevelType w:val="hybridMultilevel"/>
    <w:tmpl w:val="FA949EEE"/>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4AF30E07"/>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8">
    <w:nsid w:val="4B537EEE"/>
    <w:multiLevelType w:val="hybridMultilevel"/>
    <w:tmpl w:val="6D48BA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nsid w:val="4C2A2FEE"/>
    <w:multiLevelType w:val="hybridMultilevel"/>
    <w:tmpl w:val="E8102E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nsid w:val="4D295FF7"/>
    <w:multiLevelType w:val="hybridMultilevel"/>
    <w:tmpl w:val="A2B239DA"/>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1">
    <w:nsid w:val="4E903C8F"/>
    <w:multiLevelType w:val="hybridMultilevel"/>
    <w:tmpl w:val="36AA78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nsid w:val="4E943D87"/>
    <w:multiLevelType w:val="hybridMultilevel"/>
    <w:tmpl w:val="2C54DF9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nsid w:val="4EB077F6"/>
    <w:multiLevelType w:val="hybridMultilevel"/>
    <w:tmpl w:val="B226E1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nsid w:val="4F8A27ED"/>
    <w:multiLevelType w:val="hybridMultilevel"/>
    <w:tmpl w:val="E698D3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nsid w:val="50841703"/>
    <w:multiLevelType w:val="hybridMultilevel"/>
    <w:tmpl w:val="064E2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nsid w:val="51212F1F"/>
    <w:multiLevelType w:val="hybridMultilevel"/>
    <w:tmpl w:val="CBE23A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nsid w:val="51487F5A"/>
    <w:multiLevelType w:val="hybridMultilevel"/>
    <w:tmpl w:val="C58874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nsid w:val="51514AD0"/>
    <w:multiLevelType w:val="hybridMultilevel"/>
    <w:tmpl w:val="C68C81DC"/>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9">
    <w:nsid w:val="51597D96"/>
    <w:multiLevelType w:val="hybridMultilevel"/>
    <w:tmpl w:val="67AA4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nsid w:val="51725BFE"/>
    <w:multiLevelType w:val="hybridMultilevel"/>
    <w:tmpl w:val="C4BE3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nsid w:val="51FE5098"/>
    <w:multiLevelType w:val="hybridMultilevel"/>
    <w:tmpl w:val="22F09A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nsid w:val="523449FB"/>
    <w:multiLevelType w:val="hybridMultilevel"/>
    <w:tmpl w:val="E3142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nsid w:val="52763CEB"/>
    <w:multiLevelType w:val="hybridMultilevel"/>
    <w:tmpl w:val="957C2B3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4">
    <w:nsid w:val="533C7DF0"/>
    <w:multiLevelType w:val="hybridMultilevel"/>
    <w:tmpl w:val="7F9E4F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nsid w:val="53B51840"/>
    <w:multiLevelType w:val="hybridMultilevel"/>
    <w:tmpl w:val="E660A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nsid w:val="54DD6DD3"/>
    <w:multiLevelType w:val="hybridMultilevel"/>
    <w:tmpl w:val="F10019FA"/>
    <w:lvl w:ilvl="0" w:tplc="041A0005">
      <w:start w:val="1"/>
      <w:numFmt w:val="bullet"/>
      <w:lvlText w:val=""/>
      <w:lvlJc w:val="left"/>
      <w:pPr>
        <w:ind w:left="928"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nsid w:val="556A0F8E"/>
    <w:multiLevelType w:val="hybridMultilevel"/>
    <w:tmpl w:val="D848C072"/>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nsid w:val="560B1DD7"/>
    <w:multiLevelType w:val="hybridMultilevel"/>
    <w:tmpl w:val="DBA62F4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9">
    <w:nsid w:val="576A49DA"/>
    <w:multiLevelType w:val="hybridMultilevel"/>
    <w:tmpl w:val="64D6D862"/>
    <w:lvl w:ilvl="0" w:tplc="29A059E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0">
    <w:nsid w:val="57BA4005"/>
    <w:multiLevelType w:val="hybridMultilevel"/>
    <w:tmpl w:val="6C6025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nsid w:val="57D6075E"/>
    <w:multiLevelType w:val="hybridMultilevel"/>
    <w:tmpl w:val="83B64F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nsid w:val="58661443"/>
    <w:multiLevelType w:val="hybridMultilevel"/>
    <w:tmpl w:val="AC801B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nsid w:val="58AE495C"/>
    <w:multiLevelType w:val="hybridMultilevel"/>
    <w:tmpl w:val="8ED294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nsid w:val="59280C05"/>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5">
    <w:nsid w:val="59F8451F"/>
    <w:multiLevelType w:val="hybridMultilevel"/>
    <w:tmpl w:val="F61ADF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nsid w:val="5A042164"/>
    <w:multiLevelType w:val="hybridMultilevel"/>
    <w:tmpl w:val="29D892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nsid w:val="5AB17ACC"/>
    <w:multiLevelType w:val="hybridMultilevel"/>
    <w:tmpl w:val="70E692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nsid w:val="5AE83DC5"/>
    <w:multiLevelType w:val="hybridMultilevel"/>
    <w:tmpl w:val="E17263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nsid w:val="5B951DF1"/>
    <w:multiLevelType w:val="hybridMultilevel"/>
    <w:tmpl w:val="9D80A3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0">
    <w:nsid w:val="5BE80C7F"/>
    <w:multiLevelType w:val="hybridMultilevel"/>
    <w:tmpl w:val="307A10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nsid w:val="5C172D30"/>
    <w:multiLevelType w:val="hybridMultilevel"/>
    <w:tmpl w:val="6C5451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nsid w:val="5CF57994"/>
    <w:multiLevelType w:val="hybridMultilevel"/>
    <w:tmpl w:val="EB8285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nsid w:val="5D2A4DC9"/>
    <w:multiLevelType w:val="hybridMultilevel"/>
    <w:tmpl w:val="9F9815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nsid w:val="5E094784"/>
    <w:multiLevelType w:val="hybridMultilevel"/>
    <w:tmpl w:val="8C9CD2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nsid w:val="5EBC18F0"/>
    <w:multiLevelType w:val="hybridMultilevel"/>
    <w:tmpl w:val="279E5ACE"/>
    <w:lvl w:ilvl="0" w:tplc="0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EDA263F"/>
    <w:multiLevelType w:val="hybridMultilevel"/>
    <w:tmpl w:val="F1A29B5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nsid w:val="5FFA447B"/>
    <w:multiLevelType w:val="hybridMultilevel"/>
    <w:tmpl w:val="6A6AD0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nsid w:val="60795969"/>
    <w:multiLevelType w:val="hybridMultilevel"/>
    <w:tmpl w:val="9B221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nsid w:val="607D793D"/>
    <w:multiLevelType w:val="hybridMultilevel"/>
    <w:tmpl w:val="C05E8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nsid w:val="60D048CF"/>
    <w:multiLevelType w:val="hybridMultilevel"/>
    <w:tmpl w:val="D6563B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nsid w:val="62397268"/>
    <w:multiLevelType w:val="hybridMultilevel"/>
    <w:tmpl w:val="C1B006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nsid w:val="633B12A0"/>
    <w:multiLevelType w:val="hybridMultilevel"/>
    <w:tmpl w:val="8C38D0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3">
    <w:nsid w:val="6372562F"/>
    <w:multiLevelType w:val="hybridMultilevel"/>
    <w:tmpl w:val="413CE7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nsid w:val="63C12291"/>
    <w:multiLevelType w:val="hybridMultilevel"/>
    <w:tmpl w:val="802EE2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nsid w:val="63E17DC6"/>
    <w:multiLevelType w:val="hybridMultilevel"/>
    <w:tmpl w:val="F46A46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nsid w:val="64DF0439"/>
    <w:multiLevelType w:val="hybridMultilevel"/>
    <w:tmpl w:val="39D890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nsid w:val="64F95DD9"/>
    <w:multiLevelType w:val="hybridMultilevel"/>
    <w:tmpl w:val="45D0A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nsid w:val="65081E44"/>
    <w:multiLevelType w:val="hybridMultilevel"/>
    <w:tmpl w:val="B9B013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nsid w:val="65123BB4"/>
    <w:multiLevelType w:val="hybridMultilevel"/>
    <w:tmpl w:val="567E8F6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0">
    <w:nsid w:val="655531B4"/>
    <w:multiLevelType w:val="hybridMultilevel"/>
    <w:tmpl w:val="F3B892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nsid w:val="657750C5"/>
    <w:multiLevelType w:val="hybridMultilevel"/>
    <w:tmpl w:val="E8B6431E"/>
    <w:lvl w:ilvl="0" w:tplc="F1028752">
      <w:start w:val="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nsid w:val="65BB7631"/>
    <w:multiLevelType w:val="hybridMultilevel"/>
    <w:tmpl w:val="06B6D7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nsid w:val="66CC7636"/>
    <w:multiLevelType w:val="hybridMultilevel"/>
    <w:tmpl w:val="6F209E1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nsid w:val="66D7227D"/>
    <w:multiLevelType w:val="hybridMultilevel"/>
    <w:tmpl w:val="B53C5A2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nsid w:val="672C3F92"/>
    <w:multiLevelType w:val="hybridMultilevel"/>
    <w:tmpl w:val="0C906D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nsid w:val="6794694C"/>
    <w:multiLevelType w:val="hybridMultilevel"/>
    <w:tmpl w:val="9836C4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nsid w:val="6840207A"/>
    <w:multiLevelType w:val="hybridMultilevel"/>
    <w:tmpl w:val="26F4B0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nsid w:val="686F36F8"/>
    <w:multiLevelType w:val="hybridMultilevel"/>
    <w:tmpl w:val="FD788E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nsid w:val="6876540D"/>
    <w:multiLevelType w:val="hybridMultilevel"/>
    <w:tmpl w:val="6C1271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nsid w:val="688923F1"/>
    <w:multiLevelType w:val="hybridMultilevel"/>
    <w:tmpl w:val="CBCCC7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1">
    <w:nsid w:val="688C1E87"/>
    <w:multiLevelType w:val="hybridMultilevel"/>
    <w:tmpl w:val="A036DAE0"/>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2">
    <w:nsid w:val="693E40D3"/>
    <w:multiLevelType w:val="hybridMultilevel"/>
    <w:tmpl w:val="56764A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nsid w:val="694959A4"/>
    <w:multiLevelType w:val="hybridMultilevel"/>
    <w:tmpl w:val="50624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nsid w:val="694E1B85"/>
    <w:multiLevelType w:val="hybridMultilevel"/>
    <w:tmpl w:val="DF5C62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5">
    <w:nsid w:val="69687EA9"/>
    <w:multiLevelType w:val="hybridMultilevel"/>
    <w:tmpl w:val="CCFEAF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nsid w:val="69B23179"/>
    <w:multiLevelType w:val="hybridMultilevel"/>
    <w:tmpl w:val="9FD07CB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nsid w:val="69F23549"/>
    <w:multiLevelType w:val="hybridMultilevel"/>
    <w:tmpl w:val="0FB0412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nsid w:val="6B347AFC"/>
    <w:multiLevelType w:val="hybridMultilevel"/>
    <w:tmpl w:val="E59C3A0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nsid w:val="6BCE1902"/>
    <w:multiLevelType w:val="hybridMultilevel"/>
    <w:tmpl w:val="2D1CFA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nsid w:val="6C4E28D2"/>
    <w:multiLevelType w:val="hybridMultilevel"/>
    <w:tmpl w:val="59D6C0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nsid w:val="6C9D23C9"/>
    <w:multiLevelType w:val="hybridMultilevel"/>
    <w:tmpl w:val="FFB8E9A4"/>
    <w:lvl w:ilvl="0" w:tplc="041A000F">
      <w:start w:val="1"/>
      <w:numFmt w:val="decimal"/>
      <w:lvlText w:val="%1."/>
      <w:lvlJc w:val="left"/>
      <w:pPr>
        <w:ind w:left="1449" w:hanging="360"/>
      </w:pPr>
      <w:rPr>
        <w:rFonts w:hint="default"/>
      </w:rPr>
    </w:lvl>
    <w:lvl w:ilvl="1" w:tplc="041A0003" w:tentative="1">
      <w:start w:val="1"/>
      <w:numFmt w:val="bullet"/>
      <w:lvlText w:val="o"/>
      <w:lvlJc w:val="left"/>
      <w:pPr>
        <w:ind w:left="2169" w:hanging="360"/>
      </w:pPr>
      <w:rPr>
        <w:rFonts w:ascii="Courier New" w:hAnsi="Courier New" w:hint="default"/>
      </w:rPr>
    </w:lvl>
    <w:lvl w:ilvl="2" w:tplc="041A0005" w:tentative="1">
      <w:start w:val="1"/>
      <w:numFmt w:val="bullet"/>
      <w:lvlText w:val=""/>
      <w:lvlJc w:val="left"/>
      <w:pPr>
        <w:ind w:left="2889" w:hanging="360"/>
      </w:pPr>
      <w:rPr>
        <w:rFonts w:ascii="Wingdings" w:hAnsi="Wingdings" w:hint="default"/>
      </w:rPr>
    </w:lvl>
    <w:lvl w:ilvl="3" w:tplc="041A0001" w:tentative="1">
      <w:start w:val="1"/>
      <w:numFmt w:val="bullet"/>
      <w:lvlText w:val=""/>
      <w:lvlJc w:val="left"/>
      <w:pPr>
        <w:ind w:left="3609" w:hanging="360"/>
      </w:pPr>
      <w:rPr>
        <w:rFonts w:ascii="Symbol" w:hAnsi="Symbol" w:hint="default"/>
      </w:rPr>
    </w:lvl>
    <w:lvl w:ilvl="4" w:tplc="041A0003" w:tentative="1">
      <w:start w:val="1"/>
      <w:numFmt w:val="bullet"/>
      <w:lvlText w:val="o"/>
      <w:lvlJc w:val="left"/>
      <w:pPr>
        <w:ind w:left="4329" w:hanging="360"/>
      </w:pPr>
      <w:rPr>
        <w:rFonts w:ascii="Courier New" w:hAnsi="Courier New" w:hint="default"/>
      </w:rPr>
    </w:lvl>
    <w:lvl w:ilvl="5" w:tplc="041A0005" w:tentative="1">
      <w:start w:val="1"/>
      <w:numFmt w:val="bullet"/>
      <w:lvlText w:val=""/>
      <w:lvlJc w:val="left"/>
      <w:pPr>
        <w:ind w:left="5049" w:hanging="360"/>
      </w:pPr>
      <w:rPr>
        <w:rFonts w:ascii="Wingdings" w:hAnsi="Wingdings" w:hint="default"/>
      </w:rPr>
    </w:lvl>
    <w:lvl w:ilvl="6" w:tplc="041A0001" w:tentative="1">
      <w:start w:val="1"/>
      <w:numFmt w:val="bullet"/>
      <w:lvlText w:val=""/>
      <w:lvlJc w:val="left"/>
      <w:pPr>
        <w:ind w:left="5769" w:hanging="360"/>
      </w:pPr>
      <w:rPr>
        <w:rFonts w:ascii="Symbol" w:hAnsi="Symbol" w:hint="default"/>
      </w:rPr>
    </w:lvl>
    <w:lvl w:ilvl="7" w:tplc="041A0003" w:tentative="1">
      <w:start w:val="1"/>
      <w:numFmt w:val="bullet"/>
      <w:lvlText w:val="o"/>
      <w:lvlJc w:val="left"/>
      <w:pPr>
        <w:ind w:left="6489" w:hanging="360"/>
      </w:pPr>
      <w:rPr>
        <w:rFonts w:ascii="Courier New" w:hAnsi="Courier New" w:hint="default"/>
      </w:rPr>
    </w:lvl>
    <w:lvl w:ilvl="8" w:tplc="041A0005" w:tentative="1">
      <w:start w:val="1"/>
      <w:numFmt w:val="bullet"/>
      <w:lvlText w:val=""/>
      <w:lvlJc w:val="left"/>
      <w:pPr>
        <w:ind w:left="7209" w:hanging="360"/>
      </w:pPr>
      <w:rPr>
        <w:rFonts w:ascii="Wingdings" w:hAnsi="Wingdings" w:hint="default"/>
      </w:rPr>
    </w:lvl>
  </w:abstractNum>
  <w:abstractNum w:abstractNumId="252">
    <w:nsid w:val="6E700941"/>
    <w:multiLevelType w:val="hybridMultilevel"/>
    <w:tmpl w:val="513263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nsid w:val="6F381826"/>
    <w:multiLevelType w:val="hybridMultilevel"/>
    <w:tmpl w:val="483C7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nsid w:val="6F6F55EF"/>
    <w:multiLevelType w:val="hybridMultilevel"/>
    <w:tmpl w:val="D7C07A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nsid w:val="6F7644F8"/>
    <w:multiLevelType w:val="hybridMultilevel"/>
    <w:tmpl w:val="60202F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nsid w:val="6F8211F9"/>
    <w:multiLevelType w:val="hybridMultilevel"/>
    <w:tmpl w:val="45F2C2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nsid w:val="6FB672C2"/>
    <w:multiLevelType w:val="hybridMultilevel"/>
    <w:tmpl w:val="AF7482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nsid w:val="6FC94DBF"/>
    <w:multiLevelType w:val="hybridMultilevel"/>
    <w:tmpl w:val="CEFE79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nsid w:val="703C745D"/>
    <w:multiLevelType w:val="hybridMultilevel"/>
    <w:tmpl w:val="9D4037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nsid w:val="705110F3"/>
    <w:multiLevelType w:val="hybridMultilevel"/>
    <w:tmpl w:val="E4B6B1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nsid w:val="7065288C"/>
    <w:multiLevelType w:val="hybridMultilevel"/>
    <w:tmpl w:val="A66E676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nsid w:val="70B77E61"/>
    <w:multiLevelType w:val="hybridMultilevel"/>
    <w:tmpl w:val="07AA67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nsid w:val="72242520"/>
    <w:multiLevelType w:val="hybridMultilevel"/>
    <w:tmpl w:val="D9C639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4">
    <w:nsid w:val="72771142"/>
    <w:multiLevelType w:val="hybridMultilevel"/>
    <w:tmpl w:val="A0F8F8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nsid w:val="727A7F06"/>
    <w:multiLevelType w:val="hybridMultilevel"/>
    <w:tmpl w:val="DF8EF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nsid w:val="729D3EFB"/>
    <w:multiLevelType w:val="hybridMultilevel"/>
    <w:tmpl w:val="AEC8B0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7">
    <w:nsid w:val="729D52A5"/>
    <w:multiLevelType w:val="hybridMultilevel"/>
    <w:tmpl w:val="8E8035EA"/>
    <w:lvl w:ilvl="0" w:tplc="041A0001">
      <w:start w:val="1"/>
      <w:numFmt w:val="bullet"/>
      <w:lvlText w:val=""/>
      <w:lvlJc w:val="left"/>
      <w:pPr>
        <w:ind w:left="1065" w:hanging="705"/>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nsid w:val="72E64385"/>
    <w:multiLevelType w:val="hybridMultilevel"/>
    <w:tmpl w:val="05224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nsid w:val="741A5CC9"/>
    <w:multiLevelType w:val="hybridMultilevel"/>
    <w:tmpl w:val="370077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nsid w:val="7463430F"/>
    <w:multiLevelType w:val="hybridMultilevel"/>
    <w:tmpl w:val="8F54240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1">
    <w:nsid w:val="74AD6851"/>
    <w:multiLevelType w:val="hybridMultilevel"/>
    <w:tmpl w:val="849E46DC"/>
    <w:lvl w:ilvl="0" w:tplc="041A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5076F6E"/>
    <w:multiLevelType w:val="hybridMultilevel"/>
    <w:tmpl w:val="2C344D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nsid w:val="75C12E65"/>
    <w:multiLevelType w:val="hybridMultilevel"/>
    <w:tmpl w:val="3F10B0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4">
    <w:nsid w:val="770145B4"/>
    <w:multiLevelType w:val="hybridMultilevel"/>
    <w:tmpl w:val="B312643E"/>
    <w:lvl w:ilvl="0" w:tplc="041A000F">
      <w:start w:val="1"/>
      <w:numFmt w:val="decimal"/>
      <w:lvlText w:val="%1."/>
      <w:lvlJc w:val="left"/>
      <w:pPr>
        <w:ind w:left="1068" w:hanging="360"/>
      </w:pPr>
      <w:rPr>
        <w:rFonts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5">
    <w:nsid w:val="77194679"/>
    <w:multiLevelType w:val="hybridMultilevel"/>
    <w:tmpl w:val="BE7E71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nsid w:val="783B303D"/>
    <w:multiLevelType w:val="hybridMultilevel"/>
    <w:tmpl w:val="C2FCBC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nsid w:val="785A69B8"/>
    <w:multiLevelType w:val="hybridMultilevel"/>
    <w:tmpl w:val="24E49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nsid w:val="7894061F"/>
    <w:multiLevelType w:val="hybridMultilevel"/>
    <w:tmpl w:val="252443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nsid w:val="78E54A75"/>
    <w:multiLevelType w:val="hybridMultilevel"/>
    <w:tmpl w:val="7646F6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nsid w:val="79FC18F2"/>
    <w:multiLevelType w:val="hybridMultilevel"/>
    <w:tmpl w:val="7D5E0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1">
    <w:nsid w:val="7A15538D"/>
    <w:multiLevelType w:val="hybridMultilevel"/>
    <w:tmpl w:val="1D4AF0FE"/>
    <w:lvl w:ilvl="0" w:tplc="041A000F">
      <w:start w:val="1"/>
      <w:numFmt w:val="decimal"/>
      <w:lvlText w:val="%1."/>
      <w:lvlJc w:val="left"/>
      <w:pPr>
        <w:ind w:left="1080" w:hanging="360"/>
      </w:pPr>
      <w:rPr>
        <w:rFont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2">
    <w:nsid w:val="7A8A40E6"/>
    <w:multiLevelType w:val="hybridMultilevel"/>
    <w:tmpl w:val="E7F2F5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nsid w:val="7D7552F8"/>
    <w:multiLevelType w:val="hybridMultilevel"/>
    <w:tmpl w:val="64B4C5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nsid w:val="7EE43513"/>
    <w:multiLevelType w:val="hybridMultilevel"/>
    <w:tmpl w:val="9D8EF8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9"/>
  </w:num>
  <w:num w:numId="4">
    <w:abstractNumId w:val="87"/>
  </w:num>
  <w:num w:numId="5">
    <w:abstractNumId w:val="68"/>
  </w:num>
  <w:num w:numId="6">
    <w:abstractNumId w:val="1"/>
  </w:num>
  <w:num w:numId="7">
    <w:abstractNumId w:val="149"/>
  </w:num>
  <w:num w:numId="8">
    <w:abstractNumId w:val="242"/>
  </w:num>
  <w:num w:numId="9">
    <w:abstractNumId w:val="201"/>
  </w:num>
  <w:num w:numId="10">
    <w:abstractNumId w:val="150"/>
  </w:num>
  <w:num w:numId="11">
    <w:abstractNumId w:val="109"/>
  </w:num>
  <w:num w:numId="12">
    <w:abstractNumId w:val="23"/>
  </w:num>
  <w:num w:numId="13">
    <w:abstractNumId w:val="44"/>
  </w:num>
  <w:num w:numId="14">
    <w:abstractNumId w:val="56"/>
  </w:num>
  <w:num w:numId="15">
    <w:abstractNumId w:val="6"/>
  </w:num>
  <w:num w:numId="16">
    <w:abstractNumId w:val="72"/>
  </w:num>
  <w:num w:numId="17">
    <w:abstractNumId w:val="162"/>
  </w:num>
  <w:num w:numId="18">
    <w:abstractNumId w:val="76"/>
  </w:num>
  <w:num w:numId="19">
    <w:abstractNumId w:val="123"/>
  </w:num>
  <w:num w:numId="20">
    <w:abstractNumId w:val="220"/>
  </w:num>
  <w:num w:numId="21">
    <w:abstractNumId w:val="195"/>
  </w:num>
  <w:num w:numId="22">
    <w:abstractNumId w:val="207"/>
  </w:num>
  <w:num w:numId="23">
    <w:abstractNumId w:val="57"/>
  </w:num>
  <w:num w:numId="24">
    <w:abstractNumId w:val="98"/>
  </w:num>
  <w:num w:numId="25">
    <w:abstractNumId w:val="13"/>
  </w:num>
  <w:num w:numId="26">
    <w:abstractNumId w:val="155"/>
  </w:num>
  <w:num w:numId="27">
    <w:abstractNumId w:val="216"/>
  </w:num>
  <w:num w:numId="28">
    <w:abstractNumId w:val="244"/>
  </w:num>
  <w:num w:numId="29">
    <w:abstractNumId w:val="130"/>
  </w:num>
  <w:num w:numId="30">
    <w:abstractNumId w:val="25"/>
  </w:num>
  <w:num w:numId="31">
    <w:abstractNumId w:val="168"/>
  </w:num>
  <w:num w:numId="32">
    <w:abstractNumId w:val="208"/>
  </w:num>
  <w:num w:numId="33">
    <w:abstractNumId w:val="26"/>
  </w:num>
  <w:num w:numId="34">
    <w:abstractNumId w:val="14"/>
  </w:num>
  <w:num w:numId="35">
    <w:abstractNumId w:val="184"/>
  </w:num>
  <w:num w:numId="36">
    <w:abstractNumId w:val="218"/>
  </w:num>
  <w:num w:numId="37">
    <w:abstractNumId w:val="235"/>
  </w:num>
  <w:num w:numId="38">
    <w:abstractNumId w:val="7"/>
  </w:num>
  <w:num w:numId="39">
    <w:abstractNumId w:val="139"/>
  </w:num>
  <w:num w:numId="40">
    <w:abstractNumId w:val="153"/>
  </w:num>
  <w:num w:numId="41">
    <w:abstractNumId w:val="138"/>
  </w:num>
  <w:num w:numId="42">
    <w:abstractNumId w:val="36"/>
  </w:num>
  <w:num w:numId="43">
    <w:abstractNumId w:val="86"/>
  </w:num>
  <w:num w:numId="44">
    <w:abstractNumId w:val="65"/>
  </w:num>
  <w:num w:numId="45">
    <w:abstractNumId w:val="3"/>
  </w:num>
  <w:num w:numId="46">
    <w:abstractNumId w:val="137"/>
  </w:num>
  <w:num w:numId="47">
    <w:abstractNumId w:val="154"/>
  </w:num>
  <w:num w:numId="48">
    <w:abstractNumId w:val="106"/>
  </w:num>
  <w:num w:numId="49">
    <w:abstractNumId w:val="18"/>
  </w:num>
  <w:num w:numId="50">
    <w:abstractNumId w:val="243"/>
  </w:num>
  <w:num w:numId="51">
    <w:abstractNumId w:val="264"/>
  </w:num>
  <w:num w:numId="52">
    <w:abstractNumId w:val="219"/>
  </w:num>
  <w:num w:numId="53">
    <w:abstractNumId w:val="42"/>
  </w:num>
  <w:num w:numId="54">
    <w:abstractNumId w:val="228"/>
  </w:num>
  <w:num w:numId="55">
    <w:abstractNumId w:val="71"/>
  </w:num>
  <w:num w:numId="56">
    <w:abstractNumId w:val="79"/>
  </w:num>
  <w:num w:numId="57">
    <w:abstractNumId w:val="185"/>
  </w:num>
  <w:num w:numId="58">
    <w:abstractNumId w:val="122"/>
  </w:num>
  <w:num w:numId="59">
    <w:abstractNumId w:val="145"/>
  </w:num>
  <w:num w:numId="60">
    <w:abstractNumId w:val="191"/>
  </w:num>
  <w:num w:numId="61">
    <w:abstractNumId w:val="213"/>
  </w:num>
  <w:num w:numId="62">
    <w:abstractNumId w:val="66"/>
  </w:num>
  <w:num w:numId="63">
    <w:abstractNumId w:val="230"/>
  </w:num>
  <w:num w:numId="64">
    <w:abstractNumId w:val="163"/>
  </w:num>
  <w:num w:numId="65">
    <w:abstractNumId w:val="236"/>
  </w:num>
  <w:num w:numId="66">
    <w:abstractNumId w:val="189"/>
  </w:num>
  <w:num w:numId="67">
    <w:abstractNumId w:val="165"/>
  </w:num>
  <w:num w:numId="68">
    <w:abstractNumId w:val="253"/>
  </w:num>
  <w:num w:numId="69">
    <w:abstractNumId w:val="126"/>
  </w:num>
  <w:num w:numId="70">
    <w:abstractNumId w:val="225"/>
  </w:num>
  <w:num w:numId="71">
    <w:abstractNumId w:val="268"/>
  </w:num>
  <w:num w:numId="72">
    <w:abstractNumId w:val="34"/>
  </w:num>
  <w:num w:numId="73">
    <w:abstractNumId w:val="38"/>
  </w:num>
  <w:num w:numId="74">
    <w:abstractNumId w:val="113"/>
  </w:num>
  <w:num w:numId="75">
    <w:abstractNumId w:val="35"/>
  </w:num>
  <w:num w:numId="76">
    <w:abstractNumId w:val="250"/>
  </w:num>
  <w:num w:numId="77">
    <w:abstractNumId w:val="5"/>
  </w:num>
  <w:num w:numId="78">
    <w:abstractNumId w:val="82"/>
  </w:num>
  <w:num w:numId="79">
    <w:abstractNumId w:val="233"/>
  </w:num>
  <w:num w:numId="80">
    <w:abstractNumId w:val="172"/>
  </w:num>
  <w:num w:numId="81">
    <w:abstractNumId w:val="96"/>
  </w:num>
  <w:num w:numId="82">
    <w:abstractNumId w:val="183"/>
  </w:num>
  <w:num w:numId="83">
    <w:abstractNumId w:val="136"/>
  </w:num>
  <w:num w:numId="84">
    <w:abstractNumId w:val="265"/>
  </w:num>
  <w:num w:numId="85">
    <w:abstractNumId w:val="215"/>
  </w:num>
  <w:num w:numId="86">
    <w:abstractNumId w:val="53"/>
  </w:num>
  <w:num w:numId="87">
    <w:abstractNumId w:val="120"/>
  </w:num>
  <w:num w:numId="88">
    <w:abstractNumId w:val="237"/>
  </w:num>
  <w:num w:numId="89">
    <w:abstractNumId w:val="192"/>
  </w:num>
  <w:num w:numId="90">
    <w:abstractNumId w:val="9"/>
  </w:num>
  <w:num w:numId="91">
    <w:abstractNumId w:val="232"/>
  </w:num>
  <w:num w:numId="92">
    <w:abstractNumId w:val="15"/>
  </w:num>
  <w:num w:numId="93">
    <w:abstractNumId w:val="263"/>
  </w:num>
  <w:num w:numId="94">
    <w:abstractNumId w:val="10"/>
  </w:num>
  <w:num w:numId="95">
    <w:abstractNumId w:val="278"/>
  </w:num>
  <w:num w:numId="96">
    <w:abstractNumId w:val="100"/>
  </w:num>
  <w:num w:numId="97">
    <w:abstractNumId w:val="205"/>
  </w:num>
  <w:num w:numId="98">
    <w:abstractNumId w:val="170"/>
  </w:num>
  <w:num w:numId="99">
    <w:abstractNumId w:val="41"/>
  </w:num>
  <w:num w:numId="100">
    <w:abstractNumId w:val="282"/>
  </w:num>
  <w:num w:numId="101">
    <w:abstractNumId w:val="283"/>
  </w:num>
  <w:num w:numId="102">
    <w:abstractNumId w:val="73"/>
  </w:num>
  <w:num w:numId="103">
    <w:abstractNumId w:val="51"/>
  </w:num>
  <w:num w:numId="104">
    <w:abstractNumId w:val="269"/>
  </w:num>
  <w:num w:numId="105">
    <w:abstractNumId w:val="121"/>
  </w:num>
  <w:num w:numId="106">
    <w:abstractNumId w:val="118"/>
  </w:num>
  <w:num w:numId="107">
    <w:abstractNumId w:val="39"/>
  </w:num>
  <w:num w:numId="108">
    <w:abstractNumId w:val="97"/>
  </w:num>
  <w:num w:numId="109">
    <w:abstractNumId w:val="156"/>
  </w:num>
  <w:num w:numId="110">
    <w:abstractNumId w:val="272"/>
  </w:num>
  <w:num w:numId="111">
    <w:abstractNumId w:val="239"/>
  </w:num>
  <w:num w:numId="112">
    <w:abstractNumId w:val="107"/>
  </w:num>
  <w:num w:numId="113">
    <w:abstractNumId w:val="266"/>
  </w:num>
  <w:num w:numId="114">
    <w:abstractNumId w:val="135"/>
  </w:num>
  <w:num w:numId="115">
    <w:abstractNumId w:val="281"/>
  </w:num>
  <w:num w:numId="116">
    <w:abstractNumId w:val="32"/>
  </w:num>
  <w:num w:numId="117">
    <w:abstractNumId w:val="174"/>
  </w:num>
  <w:num w:numId="118">
    <w:abstractNumId w:val="271"/>
  </w:num>
  <w:num w:numId="119">
    <w:abstractNumId w:val="132"/>
  </w:num>
  <w:num w:numId="120">
    <w:abstractNumId w:val="129"/>
  </w:num>
  <w:num w:numId="121">
    <w:abstractNumId w:val="4"/>
  </w:num>
  <w:num w:numId="122">
    <w:abstractNumId w:val="277"/>
  </w:num>
  <w:num w:numId="123">
    <w:abstractNumId w:val="59"/>
  </w:num>
  <w:num w:numId="124">
    <w:abstractNumId w:val="49"/>
  </w:num>
  <w:num w:numId="125">
    <w:abstractNumId w:val="17"/>
  </w:num>
  <w:num w:numId="126">
    <w:abstractNumId w:val="134"/>
  </w:num>
  <w:num w:numId="127">
    <w:abstractNumId w:val="141"/>
  </w:num>
  <w:num w:numId="128">
    <w:abstractNumId w:val="199"/>
  </w:num>
  <w:num w:numId="129">
    <w:abstractNumId w:val="46"/>
  </w:num>
  <w:num w:numId="130">
    <w:abstractNumId w:val="231"/>
  </w:num>
  <w:num w:numId="131">
    <w:abstractNumId w:val="80"/>
  </w:num>
  <w:num w:numId="132">
    <w:abstractNumId w:val="247"/>
  </w:num>
  <w:num w:numId="133">
    <w:abstractNumId w:val="267"/>
  </w:num>
  <w:num w:numId="134">
    <w:abstractNumId w:val="152"/>
  </w:num>
  <w:num w:numId="135">
    <w:abstractNumId w:val="33"/>
  </w:num>
  <w:num w:numId="136">
    <w:abstractNumId w:val="249"/>
  </w:num>
  <w:num w:numId="137">
    <w:abstractNumId w:val="173"/>
  </w:num>
  <w:num w:numId="138">
    <w:abstractNumId w:val="0"/>
  </w:num>
  <w:num w:numId="139">
    <w:abstractNumId w:val="226"/>
  </w:num>
  <w:num w:numId="140">
    <w:abstractNumId w:val="252"/>
  </w:num>
  <w:num w:numId="141">
    <w:abstractNumId w:val="92"/>
  </w:num>
  <w:num w:numId="142">
    <w:abstractNumId w:val="21"/>
  </w:num>
  <w:num w:numId="143">
    <w:abstractNumId w:val="273"/>
  </w:num>
  <w:num w:numId="144">
    <w:abstractNumId w:val="261"/>
  </w:num>
  <w:num w:numId="145">
    <w:abstractNumId w:val="45"/>
  </w:num>
  <w:num w:numId="146">
    <w:abstractNumId w:val="179"/>
  </w:num>
  <w:num w:numId="147">
    <w:abstractNumId w:val="112"/>
  </w:num>
  <w:num w:numId="148">
    <w:abstractNumId w:val="284"/>
  </w:num>
  <w:num w:numId="149">
    <w:abstractNumId w:val="102"/>
  </w:num>
  <w:num w:numId="150">
    <w:abstractNumId w:val="70"/>
  </w:num>
  <w:num w:numId="151">
    <w:abstractNumId w:val="187"/>
  </w:num>
  <w:num w:numId="152">
    <w:abstractNumId w:val="47"/>
  </w:num>
  <w:num w:numId="153">
    <w:abstractNumId w:val="151"/>
  </w:num>
  <w:num w:numId="154">
    <w:abstractNumId w:val="186"/>
  </w:num>
  <w:num w:numId="155">
    <w:abstractNumId w:val="259"/>
  </w:num>
  <w:num w:numId="156">
    <w:abstractNumId w:val="222"/>
  </w:num>
  <w:num w:numId="157">
    <w:abstractNumId w:val="88"/>
  </w:num>
  <w:num w:numId="158">
    <w:abstractNumId w:val="280"/>
  </w:num>
  <w:num w:numId="159">
    <w:abstractNumId w:val="124"/>
  </w:num>
  <w:num w:numId="160">
    <w:abstractNumId w:val="276"/>
  </w:num>
  <w:num w:numId="161">
    <w:abstractNumId w:val="196"/>
  </w:num>
  <w:num w:numId="162">
    <w:abstractNumId w:val="84"/>
  </w:num>
  <w:num w:numId="163">
    <w:abstractNumId w:val="99"/>
  </w:num>
  <w:num w:numId="164">
    <w:abstractNumId w:val="256"/>
  </w:num>
  <w:num w:numId="165">
    <w:abstractNumId w:val="257"/>
  </w:num>
  <w:num w:numId="166">
    <w:abstractNumId w:val="210"/>
  </w:num>
  <w:num w:numId="167">
    <w:abstractNumId w:val="147"/>
  </w:num>
  <w:num w:numId="168">
    <w:abstractNumId w:val="43"/>
  </w:num>
  <w:num w:numId="169">
    <w:abstractNumId w:val="105"/>
  </w:num>
  <w:num w:numId="170">
    <w:abstractNumId w:val="158"/>
  </w:num>
  <w:num w:numId="171">
    <w:abstractNumId w:val="193"/>
  </w:num>
  <w:num w:numId="172">
    <w:abstractNumId w:val="240"/>
  </w:num>
  <w:num w:numId="173">
    <w:abstractNumId w:val="157"/>
  </w:num>
  <w:num w:numId="174">
    <w:abstractNumId w:val="206"/>
  </w:num>
  <w:num w:numId="175">
    <w:abstractNumId w:val="67"/>
  </w:num>
  <w:num w:numId="176">
    <w:abstractNumId w:val="164"/>
  </w:num>
  <w:num w:numId="177">
    <w:abstractNumId w:val="28"/>
  </w:num>
  <w:num w:numId="178">
    <w:abstractNumId w:val="197"/>
  </w:num>
  <w:num w:numId="179">
    <w:abstractNumId w:val="143"/>
  </w:num>
  <w:num w:numId="180">
    <w:abstractNumId w:val="175"/>
  </w:num>
  <w:num w:numId="181">
    <w:abstractNumId w:val="37"/>
  </w:num>
  <w:num w:numId="182">
    <w:abstractNumId w:val="251"/>
  </w:num>
  <w:num w:numId="183">
    <w:abstractNumId w:val="90"/>
  </w:num>
  <w:num w:numId="184">
    <w:abstractNumId w:val="198"/>
  </w:num>
  <w:num w:numId="185">
    <w:abstractNumId w:val="128"/>
  </w:num>
  <w:num w:numId="186">
    <w:abstractNumId w:val="61"/>
  </w:num>
  <w:num w:numId="187">
    <w:abstractNumId w:val="133"/>
  </w:num>
  <w:num w:numId="188">
    <w:abstractNumId w:val="190"/>
  </w:num>
  <w:num w:numId="189">
    <w:abstractNumId w:val="258"/>
  </w:num>
  <w:num w:numId="190">
    <w:abstractNumId w:val="40"/>
  </w:num>
  <w:num w:numId="191">
    <w:abstractNumId w:val="69"/>
  </w:num>
  <w:num w:numId="192">
    <w:abstractNumId w:val="85"/>
  </w:num>
  <w:num w:numId="193">
    <w:abstractNumId w:val="234"/>
  </w:num>
  <w:num w:numId="194">
    <w:abstractNumId w:val="50"/>
  </w:num>
  <w:num w:numId="195">
    <w:abstractNumId w:val="22"/>
  </w:num>
  <w:num w:numId="196">
    <w:abstractNumId w:val="211"/>
  </w:num>
  <w:num w:numId="197">
    <w:abstractNumId w:val="238"/>
  </w:num>
  <w:num w:numId="198">
    <w:abstractNumId w:val="146"/>
  </w:num>
  <w:num w:numId="199">
    <w:abstractNumId w:val="125"/>
  </w:num>
  <w:num w:numId="200">
    <w:abstractNumId w:val="27"/>
  </w:num>
  <w:num w:numId="201">
    <w:abstractNumId w:val="166"/>
  </w:num>
  <w:num w:numId="202">
    <w:abstractNumId w:val="93"/>
  </w:num>
  <w:num w:numId="203">
    <w:abstractNumId w:val="19"/>
  </w:num>
  <w:num w:numId="204">
    <w:abstractNumId w:val="2"/>
  </w:num>
  <w:num w:numId="205">
    <w:abstractNumId w:val="81"/>
  </w:num>
  <w:num w:numId="206">
    <w:abstractNumId w:val="83"/>
  </w:num>
  <w:num w:numId="207">
    <w:abstractNumId w:val="171"/>
  </w:num>
  <w:num w:numId="208">
    <w:abstractNumId w:val="144"/>
  </w:num>
  <w:num w:numId="209">
    <w:abstractNumId w:val="221"/>
  </w:num>
  <w:num w:numId="210">
    <w:abstractNumId w:val="169"/>
  </w:num>
  <w:num w:numId="211">
    <w:abstractNumId w:val="58"/>
  </w:num>
  <w:num w:numId="212">
    <w:abstractNumId w:val="200"/>
  </w:num>
  <w:num w:numId="213">
    <w:abstractNumId w:val="202"/>
  </w:num>
  <w:num w:numId="214">
    <w:abstractNumId w:val="89"/>
  </w:num>
  <w:num w:numId="215">
    <w:abstractNumId w:val="160"/>
  </w:num>
  <w:num w:numId="216">
    <w:abstractNumId w:val="78"/>
  </w:num>
  <w:num w:numId="217">
    <w:abstractNumId w:val="8"/>
  </w:num>
  <w:num w:numId="218">
    <w:abstractNumId w:val="62"/>
  </w:num>
  <w:num w:numId="219">
    <w:abstractNumId w:val="204"/>
  </w:num>
  <w:num w:numId="220">
    <w:abstractNumId w:val="110"/>
  </w:num>
  <w:num w:numId="221">
    <w:abstractNumId w:val="177"/>
  </w:num>
  <w:num w:numId="222">
    <w:abstractNumId w:val="209"/>
  </w:num>
  <w:num w:numId="223">
    <w:abstractNumId w:val="103"/>
  </w:num>
  <w:num w:numId="224">
    <w:abstractNumId w:val="115"/>
  </w:num>
  <w:num w:numId="225">
    <w:abstractNumId w:val="180"/>
  </w:num>
  <w:num w:numId="226">
    <w:abstractNumId w:val="75"/>
  </w:num>
  <w:num w:numId="227">
    <w:abstractNumId w:val="254"/>
  </w:num>
  <w:num w:numId="228">
    <w:abstractNumId w:val="229"/>
  </w:num>
  <w:num w:numId="229">
    <w:abstractNumId w:val="279"/>
  </w:num>
  <w:num w:numId="230">
    <w:abstractNumId w:val="188"/>
  </w:num>
  <w:num w:numId="231">
    <w:abstractNumId w:val="127"/>
  </w:num>
  <w:num w:numId="232">
    <w:abstractNumId w:val="131"/>
  </w:num>
  <w:num w:numId="233">
    <w:abstractNumId w:val="117"/>
  </w:num>
  <w:num w:numId="234">
    <w:abstractNumId w:val="108"/>
  </w:num>
  <w:num w:numId="235">
    <w:abstractNumId w:val="217"/>
  </w:num>
  <w:num w:numId="236">
    <w:abstractNumId w:val="223"/>
  </w:num>
  <w:num w:numId="237">
    <w:abstractNumId w:val="241"/>
  </w:num>
  <w:num w:numId="238">
    <w:abstractNumId w:val="91"/>
  </w:num>
  <w:num w:numId="239">
    <w:abstractNumId w:val="74"/>
  </w:num>
  <w:num w:numId="240">
    <w:abstractNumId w:val="94"/>
  </w:num>
  <w:num w:numId="241">
    <w:abstractNumId w:val="64"/>
  </w:num>
  <w:num w:numId="242">
    <w:abstractNumId w:val="270"/>
  </w:num>
  <w:num w:numId="243">
    <w:abstractNumId w:val="104"/>
  </w:num>
  <w:num w:numId="244">
    <w:abstractNumId w:val="248"/>
  </w:num>
  <w:num w:numId="245">
    <w:abstractNumId w:val="194"/>
  </w:num>
  <w:num w:numId="246">
    <w:abstractNumId w:val="255"/>
  </w:num>
  <w:num w:numId="247">
    <w:abstractNumId w:val="274"/>
  </w:num>
  <w:num w:numId="248">
    <w:abstractNumId w:val="60"/>
  </w:num>
  <w:num w:numId="249">
    <w:abstractNumId w:val="178"/>
  </w:num>
  <w:num w:numId="250">
    <w:abstractNumId w:val="260"/>
  </w:num>
  <w:num w:numId="251">
    <w:abstractNumId w:val="246"/>
  </w:num>
  <w:num w:numId="252">
    <w:abstractNumId w:val="262"/>
  </w:num>
  <w:num w:numId="253">
    <w:abstractNumId w:val="24"/>
  </w:num>
  <w:num w:numId="254">
    <w:abstractNumId w:val="52"/>
  </w:num>
  <w:num w:numId="255">
    <w:abstractNumId w:val="114"/>
  </w:num>
  <w:num w:numId="256">
    <w:abstractNumId w:val="181"/>
  </w:num>
  <w:num w:numId="257">
    <w:abstractNumId w:val="167"/>
  </w:num>
  <w:num w:numId="258">
    <w:abstractNumId w:val="111"/>
  </w:num>
  <w:num w:numId="259">
    <w:abstractNumId w:val="148"/>
  </w:num>
  <w:num w:numId="260">
    <w:abstractNumId w:val="119"/>
  </w:num>
  <w:num w:numId="261">
    <w:abstractNumId w:val="30"/>
  </w:num>
  <w:num w:numId="262">
    <w:abstractNumId w:val="159"/>
  </w:num>
  <w:num w:numId="263">
    <w:abstractNumId w:val="31"/>
  </w:num>
  <w:num w:numId="264">
    <w:abstractNumId w:val="140"/>
  </w:num>
  <w:num w:numId="265">
    <w:abstractNumId w:val="182"/>
  </w:num>
  <w:num w:numId="266">
    <w:abstractNumId w:val="227"/>
  </w:num>
  <w:num w:numId="267">
    <w:abstractNumId w:val="245"/>
  </w:num>
  <w:num w:numId="268">
    <w:abstractNumId w:val="95"/>
  </w:num>
  <w:num w:numId="269">
    <w:abstractNumId w:val="48"/>
  </w:num>
  <w:num w:numId="270">
    <w:abstractNumId w:val="214"/>
  </w:num>
  <w:num w:numId="271">
    <w:abstractNumId w:val="224"/>
  </w:num>
  <w:num w:numId="272">
    <w:abstractNumId w:val="54"/>
  </w:num>
  <w:num w:numId="273">
    <w:abstractNumId w:val="55"/>
  </w:num>
  <w:num w:numId="274">
    <w:abstractNumId w:val="116"/>
  </w:num>
  <w:num w:numId="275">
    <w:abstractNumId w:val="212"/>
  </w:num>
  <w:num w:numId="276">
    <w:abstractNumId w:val="142"/>
  </w:num>
  <w:num w:numId="277">
    <w:abstractNumId w:val="12"/>
  </w:num>
  <w:num w:numId="278">
    <w:abstractNumId w:val="16"/>
  </w:num>
  <w:num w:numId="279">
    <w:abstractNumId w:val="176"/>
  </w:num>
  <w:num w:numId="280">
    <w:abstractNumId w:val="203"/>
  </w:num>
  <w:num w:numId="281">
    <w:abstractNumId w:val="275"/>
  </w:num>
  <w:num w:numId="282">
    <w:abstractNumId w:val="77"/>
  </w:num>
  <w:num w:numId="283">
    <w:abstractNumId w:val="63"/>
  </w:num>
  <w:num w:numId="284">
    <w:abstractNumId w:val="161"/>
  </w:num>
  <w:num w:numId="285">
    <w:abstractNumId w:val="101"/>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813"/>
    <w:rsid w:val="000006AD"/>
    <w:rsid w:val="00000C00"/>
    <w:rsid w:val="000023B1"/>
    <w:rsid w:val="00006F29"/>
    <w:rsid w:val="0000756F"/>
    <w:rsid w:val="00012267"/>
    <w:rsid w:val="000125BC"/>
    <w:rsid w:val="0001295F"/>
    <w:rsid w:val="0001570A"/>
    <w:rsid w:val="0001699C"/>
    <w:rsid w:val="000209FA"/>
    <w:rsid w:val="0002104A"/>
    <w:rsid w:val="0002175C"/>
    <w:rsid w:val="00022F40"/>
    <w:rsid w:val="000254FC"/>
    <w:rsid w:val="00026A6C"/>
    <w:rsid w:val="00026F92"/>
    <w:rsid w:val="00030235"/>
    <w:rsid w:val="00030DB0"/>
    <w:rsid w:val="00032097"/>
    <w:rsid w:val="00032ED0"/>
    <w:rsid w:val="0003380C"/>
    <w:rsid w:val="00035612"/>
    <w:rsid w:val="00035B9A"/>
    <w:rsid w:val="00035C7B"/>
    <w:rsid w:val="000363A6"/>
    <w:rsid w:val="00041BE8"/>
    <w:rsid w:val="00041C1A"/>
    <w:rsid w:val="000434E4"/>
    <w:rsid w:val="00043CE9"/>
    <w:rsid w:val="0004415C"/>
    <w:rsid w:val="0004507C"/>
    <w:rsid w:val="0004746E"/>
    <w:rsid w:val="00047DB1"/>
    <w:rsid w:val="0005102C"/>
    <w:rsid w:val="0005183B"/>
    <w:rsid w:val="00051A53"/>
    <w:rsid w:val="00051A81"/>
    <w:rsid w:val="00051CEA"/>
    <w:rsid w:val="00051F32"/>
    <w:rsid w:val="00053B67"/>
    <w:rsid w:val="00053B9A"/>
    <w:rsid w:val="00053F3D"/>
    <w:rsid w:val="00054AD9"/>
    <w:rsid w:val="00055BB4"/>
    <w:rsid w:val="000566BD"/>
    <w:rsid w:val="00057C82"/>
    <w:rsid w:val="000601D9"/>
    <w:rsid w:val="00060A0D"/>
    <w:rsid w:val="00061545"/>
    <w:rsid w:val="000634D7"/>
    <w:rsid w:val="000635A2"/>
    <w:rsid w:val="000639AE"/>
    <w:rsid w:val="000661F4"/>
    <w:rsid w:val="000674FB"/>
    <w:rsid w:val="0007075A"/>
    <w:rsid w:val="00071150"/>
    <w:rsid w:val="00072911"/>
    <w:rsid w:val="00073E9E"/>
    <w:rsid w:val="00074959"/>
    <w:rsid w:val="000774F1"/>
    <w:rsid w:val="0008178C"/>
    <w:rsid w:val="00082055"/>
    <w:rsid w:val="00083C64"/>
    <w:rsid w:val="00083DEE"/>
    <w:rsid w:val="00084149"/>
    <w:rsid w:val="00085FB0"/>
    <w:rsid w:val="0008774F"/>
    <w:rsid w:val="000903B4"/>
    <w:rsid w:val="0009043E"/>
    <w:rsid w:val="00092EA2"/>
    <w:rsid w:val="00095CC0"/>
    <w:rsid w:val="00095E08"/>
    <w:rsid w:val="000A04EC"/>
    <w:rsid w:val="000A066E"/>
    <w:rsid w:val="000A17E8"/>
    <w:rsid w:val="000A1857"/>
    <w:rsid w:val="000A30F8"/>
    <w:rsid w:val="000A6E8F"/>
    <w:rsid w:val="000B03B1"/>
    <w:rsid w:val="000B0802"/>
    <w:rsid w:val="000B186C"/>
    <w:rsid w:val="000B2A02"/>
    <w:rsid w:val="000B3312"/>
    <w:rsid w:val="000B3AB6"/>
    <w:rsid w:val="000B615A"/>
    <w:rsid w:val="000B653F"/>
    <w:rsid w:val="000B6778"/>
    <w:rsid w:val="000B6C2A"/>
    <w:rsid w:val="000B6C2D"/>
    <w:rsid w:val="000C3D42"/>
    <w:rsid w:val="000C4787"/>
    <w:rsid w:val="000C49E7"/>
    <w:rsid w:val="000C5F83"/>
    <w:rsid w:val="000C66E0"/>
    <w:rsid w:val="000C725D"/>
    <w:rsid w:val="000D0840"/>
    <w:rsid w:val="000D324D"/>
    <w:rsid w:val="000D5DC6"/>
    <w:rsid w:val="000D6961"/>
    <w:rsid w:val="000D79E2"/>
    <w:rsid w:val="000D7FC3"/>
    <w:rsid w:val="000E0036"/>
    <w:rsid w:val="000E044A"/>
    <w:rsid w:val="000E13BB"/>
    <w:rsid w:val="000E34AB"/>
    <w:rsid w:val="000E56DF"/>
    <w:rsid w:val="000E7950"/>
    <w:rsid w:val="000F08A3"/>
    <w:rsid w:val="000F1BAF"/>
    <w:rsid w:val="000F2503"/>
    <w:rsid w:val="000F40B2"/>
    <w:rsid w:val="000F4DC5"/>
    <w:rsid w:val="000F5D85"/>
    <w:rsid w:val="000F7C4B"/>
    <w:rsid w:val="00100678"/>
    <w:rsid w:val="00100C3C"/>
    <w:rsid w:val="001014B4"/>
    <w:rsid w:val="001018FB"/>
    <w:rsid w:val="001040D7"/>
    <w:rsid w:val="00105FFE"/>
    <w:rsid w:val="001060D2"/>
    <w:rsid w:val="001079E7"/>
    <w:rsid w:val="001120E9"/>
    <w:rsid w:val="0011218D"/>
    <w:rsid w:val="001144C0"/>
    <w:rsid w:val="00114C8A"/>
    <w:rsid w:val="001152C0"/>
    <w:rsid w:val="001162F6"/>
    <w:rsid w:val="00121254"/>
    <w:rsid w:val="00122813"/>
    <w:rsid w:val="00122D9F"/>
    <w:rsid w:val="00123E2C"/>
    <w:rsid w:val="00125A94"/>
    <w:rsid w:val="00125D9E"/>
    <w:rsid w:val="001261DC"/>
    <w:rsid w:val="00126DB7"/>
    <w:rsid w:val="0013100F"/>
    <w:rsid w:val="0013275F"/>
    <w:rsid w:val="001360F6"/>
    <w:rsid w:val="001363E0"/>
    <w:rsid w:val="001378FF"/>
    <w:rsid w:val="00140211"/>
    <w:rsid w:val="00140D12"/>
    <w:rsid w:val="00141796"/>
    <w:rsid w:val="00141C68"/>
    <w:rsid w:val="00142277"/>
    <w:rsid w:val="0014376C"/>
    <w:rsid w:val="00143DEF"/>
    <w:rsid w:val="001445FA"/>
    <w:rsid w:val="00144AEF"/>
    <w:rsid w:val="00146426"/>
    <w:rsid w:val="0015022A"/>
    <w:rsid w:val="0015048F"/>
    <w:rsid w:val="00150C47"/>
    <w:rsid w:val="00150C7C"/>
    <w:rsid w:val="00155014"/>
    <w:rsid w:val="001563A3"/>
    <w:rsid w:val="0015689C"/>
    <w:rsid w:val="00157314"/>
    <w:rsid w:val="00160F3B"/>
    <w:rsid w:val="00162783"/>
    <w:rsid w:val="0016332F"/>
    <w:rsid w:val="00165E73"/>
    <w:rsid w:val="00166EBF"/>
    <w:rsid w:val="001671CF"/>
    <w:rsid w:val="00171759"/>
    <w:rsid w:val="00171A9F"/>
    <w:rsid w:val="00173191"/>
    <w:rsid w:val="00173B3B"/>
    <w:rsid w:val="00173D23"/>
    <w:rsid w:val="00174729"/>
    <w:rsid w:val="00175399"/>
    <w:rsid w:val="001753B8"/>
    <w:rsid w:val="00176808"/>
    <w:rsid w:val="00180544"/>
    <w:rsid w:val="00182675"/>
    <w:rsid w:val="00182769"/>
    <w:rsid w:val="001842A9"/>
    <w:rsid w:val="00184B82"/>
    <w:rsid w:val="00185E20"/>
    <w:rsid w:val="00187D83"/>
    <w:rsid w:val="00190C36"/>
    <w:rsid w:val="001946D2"/>
    <w:rsid w:val="0019522E"/>
    <w:rsid w:val="00196794"/>
    <w:rsid w:val="00197427"/>
    <w:rsid w:val="001A0EB7"/>
    <w:rsid w:val="001A2375"/>
    <w:rsid w:val="001A4472"/>
    <w:rsid w:val="001A4891"/>
    <w:rsid w:val="001A676B"/>
    <w:rsid w:val="001A6923"/>
    <w:rsid w:val="001B01DA"/>
    <w:rsid w:val="001B18DB"/>
    <w:rsid w:val="001B1E4F"/>
    <w:rsid w:val="001B272E"/>
    <w:rsid w:val="001B2733"/>
    <w:rsid w:val="001B3CBB"/>
    <w:rsid w:val="001B4038"/>
    <w:rsid w:val="001B41B0"/>
    <w:rsid w:val="001B5CD0"/>
    <w:rsid w:val="001B7F29"/>
    <w:rsid w:val="001C2E4D"/>
    <w:rsid w:val="001C3B67"/>
    <w:rsid w:val="001C46D7"/>
    <w:rsid w:val="001C4E0C"/>
    <w:rsid w:val="001C6082"/>
    <w:rsid w:val="001C79B7"/>
    <w:rsid w:val="001D222B"/>
    <w:rsid w:val="001D72D0"/>
    <w:rsid w:val="001E053B"/>
    <w:rsid w:val="001E199D"/>
    <w:rsid w:val="001E26AA"/>
    <w:rsid w:val="001E30D1"/>
    <w:rsid w:val="001E317A"/>
    <w:rsid w:val="001E6C16"/>
    <w:rsid w:val="001F6D24"/>
    <w:rsid w:val="001F7442"/>
    <w:rsid w:val="001F7AF1"/>
    <w:rsid w:val="002004BB"/>
    <w:rsid w:val="00200C3C"/>
    <w:rsid w:val="00202225"/>
    <w:rsid w:val="002041CF"/>
    <w:rsid w:val="002043F5"/>
    <w:rsid w:val="00204694"/>
    <w:rsid w:val="00205388"/>
    <w:rsid w:val="00205D01"/>
    <w:rsid w:val="00210196"/>
    <w:rsid w:val="00211857"/>
    <w:rsid w:val="00211CC6"/>
    <w:rsid w:val="00212386"/>
    <w:rsid w:val="00212901"/>
    <w:rsid w:val="00212A70"/>
    <w:rsid w:val="00212AE7"/>
    <w:rsid w:val="002138FA"/>
    <w:rsid w:val="00215532"/>
    <w:rsid w:val="00215647"/>
    <w:rsid w:val="00216060"/>
    <w:rsid w:val="0022162C"/>
    <w:rsid w:val="00221960"/>
    <w:rsid w:val="00223D05"/>
    <w:rsid w:val="00225253"/>
    <w:rsid w:val="00225B53"/>
    <w:rsid w:val="00227990"/>
    <w:rsid w:val="002311DC"/>
    <w:rsid w:val="002324F8"/>
    <w:rsid w:val="00234105"/>
    <w:rsid w:val="00234757"/>
    <w:rsid w:val="002347BE"/>
    <w:rsid w:val="00235752"/>
    <w:rsid w:val="00236BC9"/>
    <w:rsid w:val="002427AC"/>
    <w:rsid w:val="002428E6"/>
    <w:rsid w:val="00243DCC"/>
    <w:rsid w:val="002442FE"/>
    <w:rsid w:val="002468FE"/>
    <w:rsid w:val="00247223"/>
    <w:rsid w:val="00250C6C"/>
    <w:rsid w:val="00251782"/>
    <w:rsid w:val="002536B6"/>
    <w:rsid w:val="00255B77"/>
    <w:rsid w:val="00255B81"/>
    <w:rsid w:val="00256D31"/>
    <w:rsid w:val="00260AA1"/>
    <w:rsid w:val="002654B0"/>
    <w:rsid w:val="00265FC2"/>
    <w:rsid w:val="002707B0"/>
    <w:rsid w:val="00271DFB"/>
    <w:rsid w:val="00276973"/>
    <w:rsid w:val="00276D61"/>
    <w:rsid w:val="0027794C"/>
    <w:rsid w:val="00285129"/>
    <w:rsid w:val="00285454"/>
    <w:rsid w:val="00291C9B"/>
    <w:rsid w:val="00292234"/>
    <w:rsid w:val="002928C9"/>
    <w:rsid w:val="00294426"/>
    <w:rsid w:val="002946B2"/>
    <w:rsid w:val="00294984"/>
    <w:rsid w:val="00294AFA"/>
    <w:rsid w:val="0029676B"/>
    <w:rsid w:val="00296D6F"/>
    <w:rsid w:val="0029706C"/>
    <w:rsid w:val="002A02A6"/>
    <w:rsid w:val="002A09ED"/>
    <w:rsid w:val="002A2A71"/>
    <w:rsid w:val="002A361C"/>
    <w:rsid w:val="002A402B"/>
    <w:rsid w:val="002A5B54"/>
    <w:rsid w:val="002B0F1C"/>
    <w:rsid w:val="002B18ED"/>
    <w:rsid w:val="002B231E"/>
    <w:rsid w:val="002B3EEC"/>
    <w:rsid w:val="002B400C"/>
    <w:rsid w:val="002B75B2"/>
    <w:rsid w:val="002C0615"/>
    <w:rsid w:val="002C19BF"/>
    <w:rsid w:val="002C4FA9"/>
    <w:rsid w:val="002C54A6"/>
    <w:rsid w:val="002C619A"/>
    <w:rsid w:val="002C79A1"/>
    <w:rsid w:val="002D1151"/>
    <w:rsid w:val="002D15BE"/>
    <w:rsid w:val="002D1F45"/>
    <w:rsid w:val="002D1F5C"/>
    <w:rsid w:val="002D6834"/>
    <w:rsid w:val="002E20EC"/>
    <w:rsid w:val="002E2E7C"/>
    <w:rsid w:val="002F10E9"/>
    <w:rsid w:val="002F2140"/>
    <w:rsid w:val="002F2403"/>
    <w:rsid w:val="002F2490"/>
    <w:rsid w:val="002F372D"/>
    <w:rsid w:val="002F4EA6"/>
    <w:rsid w:val="002F50B9"/>
    <w:rsid w:val="002F6E72"/>
    <w:rsid w:val="00306319"/>
    <w:rsid w:val="00306406"/>
    <w:rsid w:val="00307AF5"/>
    <w:rsid w:val="003100C6"/>
    <w:rsid w:val="00311706"/>
    <w:rsid w:val="00311D33"/>
    <w:rsid w:val="00312079"/>
    <w:rsid w:val="003132CD"/>
    <w:rsid w:val="00313B36"/>
    <w:rsid w:val="00314B24"/>
    <w:rsid w:val="00314F4B"/>
    <w:rsid w:val="0031595F"/>
    <w:rsid w:val="0031680D"/>
    <w:rsid w:val="003201B5"/>
    <w:rsid w:val="0032145A"/>
    <w:rsid w:val="003222A9"/>
    <w:rsid w:val="00322397"/>
    <w:rsid w:val="00322BC2"/>
    <w:rsid w:val="00323955"/>
    <w:rsid w:val="00326E0B"/>
    <w:rsid w:val="00326FFA"/>
    <w:rsid w:val="003307F5"/>
    <w:rsid w:val="00332163"/>
    <w:rsid w:val="00333CD5"/>
    <w:rsid w:val="00334152"/>
    <w:rsid w:val="003347FE"/>
    <w:rsid w:val="00336CCC"/>
    <w:rsid w:val="00336DF0"/>
    <w:rsid w:val="00337674"/>
    <w:rsid w:val="00337B92"/>
    <w:rsid w:val="00341051"/>
    <w:rsid w:val="003410A1"/>
    <w:rsid w:val="00342979"/>
    <w:rsid w:val="00342A03"/>
    <w:rsid w:val="0034318E"/>
    <w:rsid w:val="0034482D"/>
    <w:rsid w:val="00344E5A"/>
    <w:rsid w:val="0034573D"/>
    <w:rsid w:val="00345A61"/>
    <w:rsid w:val="00345D59"/>
    <w:rsid w:val="00345ED0"/>
    <w:rsid w:val="00347C32"/>
    <w:rsid w:val="00350620"/>
    <w:rsid w:val="00351F5B"/>
    <w:rsid w:val="00354CB9"/>
    <w:rsid w:val="00355668"/>
    <w:rsid w:val="00355EA1"/>
    <w:rsid w:val="0035746B"/>
    <w:rsid w:val="00360B4D"/>
    <w:rsid w:val="003642D8"/>
    <w:rsid w:val="0036463B"/>
    <w:rsid w:val="0036569F"/>
    <w:rsid w:val="0036577C"/>
    <w:rsid w:val="00365CC1"/>
    <w:rsid w:val="0036608E"/>
    <w:rsid w:val="00370BC4"/>
    <w:rsid w:val="003717F5"/>
    <w:rsid w:val="003727E4"/>
    <w:rsid w:val="00372DFA"/>
    <w:rsid w:val="00375D7E"/>
    <w:rsid w:val="00377F15"/>
    <w:rsid w:val="00382804"/>
    <w:rsid w:val="00383A13"/>
    <w:rsid w:val="00383F4D"/>
    <w:rsid w:val="00384198"/>
    <w:rsid w:val="003868E7"/>
    <w:rsid w:val="00390654"/>
    <w:rsid w:val="0039109D"/>
    <w:rsid w:val="00391679"/>
    <w:rsid w:val="00392D12"/>
    <w:rsid w:val="0039327B"/>
    <w:rsid w:val="00393924"/>
    <w:rsid w:val="0039666F"/>
    <w:rsid w:val="00397A39"/>
    <w:rsid w:val="00397B51"/>
    <w:rsid w:val="003A1468"/>
    <w:rsid w:val="003A21D3"/>
    <w:rsid w:val="003A2289"/>
    <w:rsid w:val="003A45D0"/>
    <w:rsid w:val="003A488A"/>
    <w:rsid w:val="003A4E08"/>
    <w:rsid w:val="003A64C5"/>
    <w:rsid w:val="003B062F"/>
    <w:rsid w:val="003B3F6E"/>
    <w:rsid w:val="003B4B9A"/>
    <w:rsid w:val="003B6886"/>
    <w:rsid w:val="003B6A39"/>
    <w:rsid w:val="003B6FF3"/>
    <w:rsid w:val="003B7139"/>
    <w:rsid w:val="003C0C92"/>
    <w:rsid w:val="003C1346"/>
    <w:rsid w:val="003C2206"/>
    <w:rsid w:val="003C3509"/>
    <w:rsid w:val="003C3647"/>
    <w:rsid w:val="003C5F5C"/>
    <w:rsid w:val="003C6ADF"/>
    <w:rsid w:val="003C738E"/>
    <w:rsid w:val="003C7F4B"/>
    <w:rsid w:val="003C7FF2"/>
    <w:rsid w:val="003D26CC"/>
    <w:rsid w:val="003D3044"/>
    <w:rsid w:val="003D6C9E"/>
    <w:rsid w:val="003D6FEE"/>
    <w:rsid w:val="003D7D8E"/>
    <w:rsid w:val="003E053D"/>
    <w:rsid w:val="003E192A"/>
    <w:rsid w:val="003E2649"/>
    <w:rsid w:val="003E3D90"/>
    <w:rsid w:val="003E3F44"/>
    <w:rsid w:val="003E5BBE"/>
    <w:rsid w:val="003E6F23"/>
    <w:rsid w:val="003E6FFF"/>
    <w:rsid w:val="003E70A5"/>
    <w:rsid w:val="003E730C"/>
    <w:rsid w:val="003E74C9"/>
    <w:rsid w:val="003E78A4"/>
    <w:rsid w:val="003E7C5C"/>
    <w:rsid w:val="003F00B3"/>
    <w:rsid w:val="003F020D"/>
    <w:rsid w:val="003F64E2"/>
    <w:rsid w:val="003F6767"/>
    <w:rsid w:val="003F696B"/>
    <w:rsid w:val="00400C76"/>
    <w:rsid w:val="0040368C"/>
    <w:rsid w:val="00405E4C"/>
    <w:rsid w:val="0041208B"/>
    <w:rsid w:val="004133B5"/>
    <w:rsid w:val="00415B74"/>
    <w:rsid w:val="00416AA9"/>
    <w:rsid w:val="00417947"/>
    <w:rsid w:val="00417D24"/>
    <w:rsid w:val="0042056D"/>
    <w:rsid w:val="004227AC"/>
    <w:rsid w:val="004236B9"/>
    <w:rsid w:val="004247C4"/>
    <w:rsid w:val="00424C4C"/>
    <w:rsid w:val="00425589"/>
    <w:rsid w:val="00425A21"/>
    <w:rsid w:val="00432A17"/>
    <w:rsid w:val="0043385D"/>
    <w:rsid w:val="00434A6F"/>
    <w:rsid w:val="00437FB6"/>
    <w:rsid w:val="0044022F"/>
    <w:rsid w:val="004409D0"/>
    <w:rsid w:val="0044117E"/>
    <w:rsid w:val="00442932"/>
    <w:rsid w:val="00446864"/>
    <w:rsid w:val="004469A1"/>
    <w:rsid w:val="00447DBE"/>
    <w:rsid w:val="00451112"/>
    <w:rsid w:val="004521B4"/>
    <w:rsid w:val="00452725"/>
    <w:rsid w:val="004528B3"/>
    <w:rsid w:val="0045669B"/>
    <w:rsid w:val="004572CC"/>
    <w:rsid w:val="00461F54"/>
    <w:rsid w:val="00462823"/>
    <w:rsid w:val="00463711"/>
    <w:rsid w:val="00464E4D"/>
    <w:rsid w:val="004662EE"/>
    <w:rsid w:val="00471686"/>
    <w:rsid w:val="00471CCF"/>
    <w:rsid w:val="00472508"/>
    <w:rsid w:val="00472C75"/>
    <w:rsid w:val="00473807"/>
    <w:rsid w:val="0047386D"/>
    <w:rsid w:val="0047516E"/>
    <w:rsid w:val="004752DA"/>
    <w:rsid w:val="00475E44"/>
    <w:rsid w:val="004771DF"/>
    <w:rsid w:val="00480394"/>
    <w:rsid w:val="004809EC"/>
    <w:rsid w:val="004823E2"/>
    <w:rsid w:val="0048273F"/>
    <w:rsid w:val="00482E80"/>
    <w:rsid w:val="00483284"/>
    <w:rsid w:val="0048575C"/>
    <w:rsid w:val="00486401"/>
    <w:rsid w:val="004912B5"/>
    <w:rsid w:val="004964B4"/>
    <w:rsid w:val="00497551"/>
    <w:rsid w:val="004A16ED"/>
    <w:rsid w:val="004A269C"/>
    <w:rsid w:val="004A3780"/>
    <w:rsid w:val="004A39BB"/>
    <w:rsid w:val="004A574F"/>
    <w:rsid w:val="004B111A"/>
    <w:rsid w:val="004B22E2"/>
    <w:rsid w:val="004B339E"/>
    <w:rsid w:val="004B720E"/>
    <w:rsid w:val="004B72F9"/>
    <w:rsid w:val="004C2739"/>
    <w:rsid w:val="004C57F6"/>
    <w:rsid w:val="004C7285"/>
    <w:rsid w:val="004C787A"/>
    <w:rsid w:val="004D1219"/>
    <w:rsid w:val="004D22EA"/>
    <w:rsid w:val="004D2D1A"/>
    <w:rsid w:val="004D32C6"/>
    <w:rsid w:val="004D38A5"/>
    <w:rsid w:val="004D547D"/>
    <w:rsid w:val="004D5F1C"/>
    <w:rsid w:val="004E0B6B"/>
    <w:rsid w:val="004E17DB"/>
    <w:rsid w:val="004E19C7"/>
    <w:rsid w:val="004E22CA"/>
    <w:rsid w:val="004E407B"/>
    <w:rsid w:val="004E4A3A"/>
    <w:rsid w:val="004E5983"/>
    <w:rsid w:val="004E6184"/>
    <w:rsid w:val="004E6412"/>
    <w:rsid w:val="004E653F"/>
    <w:rsid w:val="004E7956"/>
    <w:rsid w:val="004F05BF"/>
    <w:rsid w:val="004F14D7"/>
    <w:rsid w:val="004F1845"/>
    <w:rsid w:val="004F216F"/>
    <w:rsid w:val="004F2B97"/>
    <w:rsid w:val="004F424D"/>
    <w:rsid w:val="004F4F05"/>
    <w:rsid w:val="004F6000"/>
    <w:rsid w:val="004F7224"/>
    <w:rsid w:val="004F7237"/>
    <w:rsid w:val="00500069"/>
    <w:rsid w:val="0050036B"/>
    <w:rsid w:val="00501A4F"/>
    <w:rsid w:val="0050349E"/>
    <w:rsid w:val="005049CD"/>
    <w:rsid w:val="00504F64"/>
    <w:rsid w:val="005059E5"/>
    <w:rsid w:val="00505E21"/>
    <w:rsid w:val="00507399"/>
    <w:rsid w:val="00507B7E"/>
    <w:rsid w:val="00510B52"/>
    <w:rsid w:val="0051209F"/>
    <w:rsid w:val="00512A4C"/>
    <w:rsid w:val="0051318F"/>
    <w:rsid w:val="00516563"/>
    <w:rsid w:val="00516646"/>
    <w:rsid w:val="00517FA1"/>
    <w:rsid w:val="00520525"/>
    <w:rsid w:val="00521F8F"/>
    <w:rsid w:val="00522208"/>
    <w:rsid w:val="00522233"/>
    <w:rsid w:val="00522A11"/>
    <w:rsid w:val="00524DD9"/>
    <w:rsid w:val="00526EAC"/>
    <w:rsid w:val="00527475"/>
    <w:rsid w:val="00527E5D"/>
    <w:rsid w:val="00530ADD"/>
    <w:rsid w:val="005366B5"/>
    <w:rsid w:val="00537C86"/>
    <w:rsid w:val="00541708"/>
    <w:rsid w:val="00541709"/>
    <w:rsid w:val="00541781"/>
    <w:rsid w:val="00541A09"/>
    <w:rsid w:val="00543D06"/>
    <w:rsid w:val="00545A0E"/>
    <w:rsid w:val="00545BB1"/>
    <w:rsid w:val="00547AE1"/>
    <w:rsid w:val="00547C2B"/>
    <w:rsid w:val="00550287"/>
    <w:rsid w:val="00551EDC"/>
    <w:rsid w:val="00553245"/>
    <w:rsid w:val="0055344B"/>
    <w:rsid w:val="0055401B"/>
    <w:rsid w:val="00554EDC"/>
    <w:rsid w:val="00555182"/>
    <w:rsid w:val="00555678"/>
    <w:rsid w:val="0056417D"/>
    <w:rsid w:val="0056455B"/>
    <w:rsid w:val="005647FC"/>
    <w:rsid w:val="00565FDA"/>
    <w:rsid w:val="0056668A"/>
    <w:rsid w:val="00566DCE"/>
    <w:rsid w:val="005704E8"/>
    <w:rsid w:val="00570C8A"/>
    <w:rsid w:val="0057178E"/>
    <w:rsid w:val="005727A9"/>
    <w:rsid w:val="0057519F"/>
    <w:rsid w:val="005757E5"/>
    <w:rsid w:val="005826AF"/>
    <w:rsid w:val="0058455C"/>
    <w:rsid w:val="005860E2"/>
    <w:rsid w:val="0058640B"/>
    <w:rsid w:val="00587759"/>
    <w:rsid w:val="00590629"/>
    <w:rsid w:val="00592D09"/>
    <w:rsid w:val="00594302"/>
    <w:rsid w:val="00594EDD"/>
    <w:rsid w:val="005952EF"/>
    <w:rsid w:val="00597F1E"/>
    <w:rsid w:val="005A1AD9"/>
    <w:rsid w:val="005A1F6D"/>
    <w:rsid w:val="005A2279"/>
    <w:rsid w:val="005A2D51"/>
    <w:rsid w:val="005A3858"/>
    <w:rsid w:val="005A4D62"/>
    <w:rsid w:val="005A57E5"/>
    <w:rsid w:val="005A7A4C"/>
    <w:rsid w:val="005B0273"/>
    <w:rsid w:val="005B1407"/>
    <w:rsid w:val="005B19B9"/>
    <w:rsid w:val="005B2E0F"/>
    <w:rsid w:val="005B3160"/>
    <w:rsid w:val="005B3A85"/>
    <w:rsid w:val="005B4797"/>
    <w:rsid w:val="005B5EA0"/>
    <w:rsid w:val="005B7BDA"/>
    <w:rsid w:val="005B7C5E"/>
    <w:rsid w:val="005C18CB"/>
    <w:rsid w:val="005C1A61"/>
    <w:rsid w:val="005C2344"/>
    <w:rsid w:val="005C260A"/>
    <w:rsid w:val="005C3AEC"/>
    <w:rsid w:val="005D1C3B"/>
    <w:rsid w:val="005D4ACB"/>
    <w:rsid w:val="005D6226"/>
    <w:rsid w:val="005E0435"/>
    <w:rsid w:val="005E1E65"/>
    <w:rsid w:val="005E2619"/>
    <w:rsid w:val="005E270F"/>
    <w:rsid w:val="005E2FAA"/>
    <w:rsid w:val="005E5590"/>
    <w:rsid w:val="005E578B"/>
    <w:rsid w:val="005E641C"/>
    <w:rsid w:val="005E6B6D"/>
    <w:rsid w:val="005E7DB9"/>
    <w:rsid w:val="005F09A3"/>
    <w:rsid w:val="005F1C24"/>
    <w:rsid w:val="005F4121"/>
    <w:rsid w:val="005F6E54"/>
    <w:rsid w:val="00601D2D"/>
    <w:rsid w:val="0060350D"/>
    <w:rsid w:val="0060432D"/>
    <w:rsid w:val="0060452D"/>
    <w:rsid w:val="0060556A"/>
    <w:rsid w:val="0060559A"/>
    <w:rsid w:val="00605ADA"/>
    <w:rsid w:val="00606C40"/>
    <w:rsid w:val="00607EB9"/>
    <w:rsid w:val="00610C6F"/>
    <w:rsid w:val="00610EE9"/>
    <w:rsid w:val="006171E9"/>
    <w:rsid w:val="00617841"/>
    <w:rsid w:val="006201DC"/>
    <w:rsid w:val="0062272F"/>
    <w:rsid w:val="006242A8"/>
    <w:rsid w:val="006253CE"/>
    <w:rsid w:val="006257DC"/>
    <w:rsid w:val="00627884"/>
    <w:rsid w:val="00631249"/>
    <w:rsid w:val="00631772"/>
    <w:rsid w:val="00631E84"/>
    <w:rsid w:val="0063351B"/>
    <w:rsid w:val="00634542"/>
    <w:rsid w:val="00634AE1"/>
    <w:rsid w:val="006355E8"/>
    <w:rsid w:val="00641656"/>
    <w:rsid w:val="006426B7"/>
    <w:rsid w:val="00643E87"/>
    <w:rsid w:val="006455A1"/>
    <w:rsid w:val="00651D35"/>
    <w:rsid w:val="006556E0"/>
    <w:rsid w:val="00655B8C"/>
    <w:rsid w:val="00656253"/>
    <w:rsid w:val="00656BF6"/>
    <w:rsid w:val="006603FF"/>
    <w:rsid w:val="00661B08"/>
    <w:rsid w:val="00661D42"/>
    <w:rsid w:val="00662D28"/>
    <w:rsid w:val="00663075"/>
    <w:rsid w:val="00664C65"/>
    <w:rsid w:val="00665F76"/>
    <w:rsid w:val="00667927"/>
    <w:rsid w:val="00667F06"/>
    <w:rsid w:val="00667FE9"/>
    <w:rsid w:val="00670A47"/>
    <w:rsid w:val="00675639"/>
    <w:rsid w:val="006800D4"/>
    <w:rsid w:val="00680405"/>
    <w:rsid w:val="0068153C"/>
    <w:rsid w:val="00681957"/>
    <w:rsid w:val="00682831"/>
    <w:rsid w:val="00683265"/>
    <w:rsid w:val="00683298"/>
    <w:rsid w:val="00683485"/>
    <w:rsid w:val="00683AF5"/>
    <w:rsid w:val="00685137"/>
    <w:rsid w:val="00685A6A"/>
    <w:rsid w:val="00690B38"/>
    <w:rsid w:val="0069103D"/>
    <w:rsid w:val="00692714"/>
    <w:rsid w:val="00692CD9"/>
    <w:rsid w:val="00693480"/>
    <w:rsid w:val="00697426"/>
    <w:rsid w:val="006976CB"/>
    <w:rsid w:val="006978B9"/>
    <w:rsid w:val="006A26C2"/>
    <w:rsid w:val="006A2E9F"/>
    <w:rsid w:val="006A331D"/>
    <w:rsid w:val="006A37CD"/>
    <w:rsid w:val="006A7CFE"/>
    <w:rsid w:val="006B23F2"/>
    <w:rsid w:val="006B3D83"/>
    <w:rsid w:val="006B3EF3"/>
    <w:rsid w:val="006B5F6F"/>
    <w:rsid w:val="006B7054"/>
    <w:rsid w:val="006B711B"/>
    <w:rsid w:val="006B73AA"/>
    <w:rsid w:val="006B74E8"/>
    <w:rsid w:val="006C124C"/>
    <w:rsid w:val="006C21FE"/>
    <w:rsid w:val="006C32C1"/>
    <w:rsid w:val="006C69EE"/>
    <w:rsid w:val="006C7029"/>
    <w:rsid w:val="006D033A"/>
    <w:rsid w:val="006D035F"/>
    <w:rsid w:val="006D0391"/>
    <w:rsid w:val="006D07FD"/>
    <w:rsid w:val="006D0D21"/>
    <w:rsid w:val="006D12FE"/>
    <w:rsid w:val="006D2387"/>
    <w:rsid w:val="006D3101"/>
    <w:rsid w:val="006D5E20"/>
    <w:rsid w:val="006D668A"/>
    <w:rsid w:val="006D7267"/>
    <w:rsid w:val="006D7875"/>
    <w:rsid w:val="006E0284"/>
    <w:rsid w:val="006E0443"/>
    <w:rsid w:val="006E122B"/>
    <w:rsid w:val="006E2016"/>
    <w:rsid w:val="006E35CF"/>
    <w:rsid w:val="006E53FA"/>
    <w:rsid w:val="006E57B1"/>
    <w:rsid w:val="006E5A97"/>
    <w:rsid w:val="006E7737"/>
    <w:rsid w:val="006E7850"/>
    <w:rsid w:val="006E7950"/>
    <w:rsid w:val="006F07DC"/>
    <w:rsid w:val="006F0DA9"/>
    <w:rsid w:val="006F15F8"/>
    <w:rsid w:val="006F2194"/>
    <w:rsid w:val="006F2A15"/>
    <w:rsid w:val="006F3430"/>
    <w:rsid w:val="006F60D2"/>
    <w:rsid w:val="006F6C2C"/>
    <w:rsid w:val="00700175"/>
    <w:rsid w:val="00700AA0"/>
    <w:rsid w:val="00704969"/>
    <w:rsid w:val="007056D8"/>
    <w:rsid w:val="007057D4"/>
    <w:rsid w:val="0071276E"/>
    <w:rsid w:val="00713030"/>
    <w:rsid w:val="007143D9"/>
    <w:rsid w:val="007154D1"/>
    <w:rsid w:val="00716385"/>
    <w:rsid w:val="0072056E"/>
    <w:rsid w:val="00721516"/>
    <w:rsid w:val="00721E0A"/>
    <w:rsid w:val="007226D3"/>
    <w:rsid w:val="007243FB"/>
    <w:rsid w:val="0072448B"/>
    <w:rsid w:val="007253BD"/>
    <w:rsid w:val="007253C5"/>
    <w:rsid w:val="007275CE"/>
    <w:rsid w:val="007279B4"/>
    <w:rsid w:val="00731137"/>
    <w:rsid w:val="00734E18"/>
    <w:rsid w:val="0073565A"/>
    <w:rsid w:val="00740209"/>
    <w:rsid w:val="007403E8"/>
    <w:rsid w:val="00740520"/>
    <w:rsid w:val="00740C7B"/>
    <w:rsid w:val="00742812"/>
    <w:rsid w:val="00742DEA"/>
    <w:rsid w:val="00744831"/>
    <w:rsid w:val="00745CDA"/>
    <w:rsid w:val="00746FA5"/>
    <w:rsid w:val="00752DF8"/>
    <w:rsid w:val="0075455E"/>
    <w:rsid w:val="00755B73"/>
    <w:rsid w:val="0075752D"/>
    <w:rsid w:val="00760565"/>
    <w:rsid w:val="007613ED"/>
    <w:rsid w:val="007616C6"/>
    <w:rsid w:val="00761B25"/>
    <w:rsid w:val="00761C37"/>
    <w:rsid w:val="007637A4"/>
    <w:rsid w:val="00764A65"/>
    <w:rsid w:val="00765193"/>
    <w:rsid w:val="007653A4"/>
    <w:rsid w:val="00765EE4"/>
    <w:rsid w:val="007660C2"/>
    <w:rsid w:val="00767592"/>
    <w:rsid w:val="00767FA2"/>
    <w:rsid w:val="00770656"/>
    <w:rsid w:val="007712F9"/>
    <w:rsid w:val="007757D7"/>
    <w:rsid w:val="00777D36"/>
    <w:rsid w:val="00780C46"/>
    <w:rsid w:val="00780C6E"/>
    <w:rsid w:val="007810E8"/>
    <w:rsid w:val="00782C09"/>
    <w:rsid w:val="00783E7F"/>
    <w:rsid w:val="00783F74"/>
    <w:rsid w:val="007907B9"/>
    <w:rsid w:val="00793A88"/>
    <w:rsid w:val="00793C80"/>
    <w:rsid w:val="00794F8E"/>
    <w:rsid w:val="00795057"/>
    <w:rsid w:val="0079518D"/>
    <w:rsid w:val="00795D5B"/>
    <w:rsid w:val="00796208"/>
    <w:rsid w:val="00796EEA"/>
    <w:rsid w:val="0079750D"/>
    <w:rsid w:val="0079757F"/>
    <w:rsid w:val="00797F30"/>
    <w:rsid w:val="007A251C"/>
    <w:rsid w:val="007A2CD0"/>
    <w:rsid w:val="007A2EAE"/>
    <w:rsid w:val="007A35BF"/>
    <w:rsid w:val="007A4540"/>
    <w:rsid w:val="007A6765"/>
    <w:rsid w:val="007A7BBB"/>
    <w:rsid w:val="007B00FE"/>
    <w:rsid w:val="007B4EAB"/>
    <w:rsid w:val="007B5087"/>
    <w:rsid w:val="007B5599"/>
    <w:rsid w:val="007B5618"/>
    <w:rsid w:val="007B6202"/>
    <w:rsid w:val="007B69E1"/>
    <w:rsid w:val="007B6B5E"/>
    <w:rsid w:val="007B7F82"/>
    <w:rsid w:val="007C3C69"/>
    <w:rsid w:val="007C62C4"/>
    <w:rsid w:val="007C7916"/>
    <w:rsid w:val="007D0CFD"/>
    <w:rsid w:val="007D1105"/>
    <w:rsid w:val="007D2CE6"/>
    <w:rsid w:val="007D2D2F"/>
    <w:rsid w:val="007D2F97"/>
    <w:rsid w:val="007D3D5D"/>
    <w:rsid w:val="007D4CB7"/>
    <w:rsid w:val="007D574E"/>
    <w:rsid w:val="007D688A"/>
    <w:rsid w:val="007E1BFB"/>
    <w:rsid w:val="007E2302"/>
    <w:rsid w:val="007E23F4"/>
    <w:rsid w:val="007E362E"/>
    <w:rsid w:val="007E4CA7"/>
    <w:rsid w:val="007E5473"/>
    <w:rsid w:val="007E7835"/>
    <w:rsid w:val="007F01A8"/>
    <w:rsid w:val="007F109B"/>
    <w:rsid w:val="007F4194"/>
    <w:rsid w:val="007F4D77"/>
    <w:rsid w:val="00802F45"/>
    <w:rsid w:val="008031EC"/>
    <w:rsid w:val="00803431"/>
    <w:rsid w:val="00804474"/>
    <w:rsid w:val="008058BC"/>
    <w:rsid w:val="00806794"/>
    <w:rsid w:val="00806E6B"/>
    <w:rsid w:val="00806F09"/>
    <w:rsid w:val="00810BCF"/>
    <w:rsid w:val="00812192"/>
    <w:rsid w:val="00812307"/>
    <w:rsid w:val="00812A57"/>
    <w:rsid w:val="0081500B"/>
    <w:rsid w:val="00817908"/>
    <w:rsid w:val="00820638"/>
    <w:rsid w:val="008227CB"/>
    <w:rsid w:val="0082307B"/>
    <w:rsid w:val="00823A7F"/>
    <w:rsid w:val="00823B79"/>
    <w:rsid w:val="00824382"/>
    <w:rsid w:val="00825896"/>
    <w:rsid w:val="00826031"/>
    <w:rsid w:val="008260F9"/>
    <w:rsid w:val="008276BD"/>
    <w:rsid w:val="00830FC2"/>
    <w:rsid w:val="00831294"/>
    <w:rsid w:val="008326B8"/>
    <w:rsid w:val="00832A87"/>
    <w:rsid w:val="0083331B"/>
    <w:rsid w:val="008363A5"/>
    <w:rsid w:val="00837BD1"/>
    <w:rsid w:val="00837C12"/>
    <w:rsid w:val="008462B4"/>
    <w:rsid w:val="00846532"/>
    <w:rsid w:val="0084668F"/>
    <w:rsid w:val="008469FD"/>
    <w:rsid w:val="00847AD6"/>
    <w:rsid w:val="008509FC"/>
    <w:rsid w:val="00851CBC"/>
    <w:rsid w:val="008531A1"/>
    <w:rsid w:val="00856788"/>
    <w:rsid w:val="00856A93"/>
    <w:rsid w:val="00860738"/>
    <w:rsid w:val="0086189F"/>
    <w:rsid w:val="00861EB8"/>
    <w:rsid w:val="008662C3"/>
    <w:rsid w:val="00867049"/>
    <w:rsid w:val="00870539"/>
    <w:rsid w:val="00872F1D"/>
    <w:rsid w:val="00874BDA"/>
    <w:rsid w:val="00874C8E"/>
    <w:rsid w:val="00875765"/>
    <w:rsid w:val="0087713B"/>
    <w:rsid w:val="00877B2A"/>
    <w:rsid w:val="00880E9A"/>
    <w:rsid w:val="008838B4"/>
    <w:rsid w:val="008840B7"/>
    <w:rsid w:val="00887C92"/>
    <w:rsid w:val="00890A1C"/>
    <w:rsid w:val="00890B8C"/>
    <w:rsid w:val="008927C3"/>
    <w:rsid w:val="008933F0"/>
    <w:rsid w:val="00894355"/>
    <w:rsid w:val="008A03D8"/>
    <w:rsid w:val="008A156E"/>
    <w:rsid w:val="008A2422"/>
    <w:rsid w:val="008A6415"/>
    <w:rsid w:val="008A73EC"/>
    <w:rsid w:val="008A74D7"/>
    <w:rsid w:val="008A74E3"/>
    <w:rsid w:val="008B25DA"/>
    <w:rsid w:val="008B271A"/>
    <w:rsid w:val="008B371F"/>
    <w:rsid w:val="008B3D19"/>
    <w:rsid w:val="008B42EE"/>
    <w:rsid w:val="008B4E96"/>
    <w:rsid w:val="008B5AFB"/>
    <w:rsid w:val="008B6493"/>
    <w:rsid w:val="008B669D"/>
    <w:rsid w:val="008B7E20"/>
    <w:rsid w:val="008C2028"/>
    <w:rsid w:val="008C40DB"/>
    <w:rsid w:val="008C6C49"/>
    <w:rsid w:val="008D1A1C"/>
    <w:rsid w:val="008D334C"/>
    <w:rsid w:val="008D398C"/>
    <w:rsid w:val="008D545E"/>
    <w:rsid w:val="008D6B2C"/>
    <w:rsid w:val="008D6D9E"/>
    <w:rsid w:val="008E0839"/>
    <w:rsid w:val="008E228C"/>
    <w:rsid w:val="008E373A"/>
    <w:rsid w:val="008E5549"/>
    <w:rsid w:val="008E5C84"/>
    <w:rsid w:val="008E798D"/>
    <w:rsid w:val="008F13D6"/>
    <w:rsid w:val="008F21CF"/>
    <w:rsid w:val="008F46E6"/>
    <w:rsid w:val="008F55F0"/>
    <w:rsid w:val="008F5D8F"/>
    <w:rsid w:val="008F71F2"/>
    <w:rsid w:val="00901202"/>
    <w:rsid w:val="009022D1"/>
    <w:rsid w:val="009033AC"/>
    <w:rsid w:val="00905844"/>
    <w:rsid w:val="00905990"/>
    <w:rsid w:val="00906BF2"/>
    <w:rsid w:val="00907034"/>
    <w:rsid w:val="00914B5C"/>
    <w:rsid w:val="0091722F"/>
    <w:rsid w:val="00920E29"/>
    <w:rsid w:val="009230EA"/>
    <w:rsid w:val="009244D3"/>
    <w:rsid w:val="0092452C"/>
    <w:rsid w:val="0093032A"/>
    <w:rsid w:val="00930FC6"/>
    <w:rsid w:val="00931394"/>
    <w:rsid w:val="009313C9"/>
    <w:rsid w:val="00931D15"/>
    <w:rsid w:val="00931EB9"/>
    <w:rsid w:val="009327EA"/>
    <w:rsid w:val="00933BD4"/>
    <w:rsid w:val="00935392"/>
    <w:rsid w:val="009364D9"/>
    <w:rsid w:val="0093664D"/>
    <w:rsid w:val="00936A85"/>
    <w:rsid w:val="009412AD"/>
    <w:rsid w:val="009418AD"/>
    <w:rsid w:val="00947031"/>
    <w:rsid w:val="009479B7"/>
    <w:rsid w:val="00947DFF"/>
    <w:rsid w:val="00950903"/>
    <w:rsid w:val="00954A88"/>
    <w:rsid w:val="00955F0D"/>
    <w:rsid w:val="009568DC"/>
    <w:rsid w:val="00961F75"/>
    <w:rsid w:val="00963A73"/>
    <w:rsid w:val="00963FF5"/>
    <w:rsid w:val="00965902"/>
    <w:rsid w:val="00965957"/>
    <w:rsid w:val="0096708B"/>
    <w:rsid w:val="00970BE9"/>
    <w:rsid w:val="0097195F"/>
    <w:rsid w:val="00973942"/>
    <w:rsid w:val="00973E16"/>
    <w:rsid w:val="00974C56"/>
    <w:rsid w:val="009755F6"/>
    <w:rsid w:val="009769B0"/>
    <w:rsid w:val="00977561"/>
    <w:rsid w:val="00981BCE"/>
    <w:rsid w:val="00981FDD"/>
    <w:rsid w:val="00982BBB"/>
    <w:rsid w:val="00985C31"/>
    <w:rsid w:val="009863CC"/>
    <w:rsid w:val="009918E2"/>
    <w:rsid w:val="00991BD0"/>
    <w:rsid w:val="0099719B"/>
    <w:rsid w:val="009A0466"/>
    <w:rsid w:val="009A0E8B"/>
    <w:rsid w:val="009A2030"/>
    <w:rsid w:val="009A2BB9"/>
    <w:rsid w:val="009A2C03"/>
    <w:rsid w:val="009A357E"/>
    <w:rsid w:val="009A39ED"/>
    <w:rsid w:val="009A491D"/>
    <w:rsid w:val="009A62F3"/>
    <w:rsid w:val="009A6306"/>
    <w:rsid w:val="009A6A4C"/>
    <w:rsid w:val="009B0529"/>
    <w:rsid w:val="009B109B"/>
    <w:rsid w:val="009B240E"/>
    <w:rsid w:val="009B2A2C"/>
    <w:rsid w:val="009B35E4"/>
    <w:rsid w:val="009B55EB"/>
    <w:rsid w:val="009C0236"/>
    <w:rsid w:val="009C0636"/>
    <w:rsid w:val="009C25D6"/>
    <w:rsid w:val="009C4EE9"/>
    <w:rsid w:val="009C5984"/>
    <w:rsid w:val="009D0576"/>
    <w:rsid w:val="009D0AD9"/>
    <w:rsid w:val="009D203A"/>
    <w:rsid w:val="009D35EB"/>
    <w:rsid w:val="009D53B1"/>
    <w:rsid w:val="009E097E"/>
    <w:rsid w:val="009E0DAF"/>
    <w:rsid w:val="009E0E46"/>
    <w:rsid w:val="009E14E1"/>
    <w:rsid w:val="009E1C3E"/>
    <w:rsid w:val="009E1CFB"/>
    <w:rsid w:val="009E3936"/>
    <w:rsid w:val="009E3961"/>
    <w:rsid w:val="009E54FC"/>
    <w:rsid w:val="009E58FF"/>
    <w:rsid w:val="009E76FB"/>
    <w:rsid w:val="009F1D5A"/>
    <w:rsid w:val="009F43EB"/>
    <w:rsid w:val="009F48B7"/>
    <w:rsid w:val="009F6A74"/>
    <w:rsid w:val="009F6D6C"/>
    <w:rsid w:val="00A02064"/>
    <w:rsid w:val="00A028FB"/>
    <w:rsid w:val="00A034B1"/>
    <w:rsid w:val="00A0719E"/>
    <w:rsid w:val="00A0744F"/>
    <w:rsid w:val="00A12D08"/>
    <w:rsid w:val="00A13EEA"/>
    <w:rsid w:val="00A14787"/>
    <w:rsid w:val="00A15B7E"/>
    <w:rsid w:val="00A16B73"/>
    <w:rsid w:val="00A179FC"/>
    <w:rsid w:val="00A21555"/>
    <w:rsid w:val="00A23CB5"/>
    <w:rsid w:val="00A27012"/>
    <w:rsid w:val="00A27DEC"/>
    <w:rsid w:val="00A321B1"/>
    <w:rsid w:val="00A3336B"/>
    <w:rsid w:val="00A356AE"/>
    <w:rsid w:val="00A36B38"/>
    <w:rsid w:val="00A37C35"/>
    <w:rsid w:val="00A402F8"/>
    <w:rsid w:val="00A40A60"/>
    <w:rsid w:val="00A42576"/>
    <w:rsid w:val="00A4563A"/>
    <w:rsid w:val="00A45831"/>
    <w:rsid w:val="00A466C5"/>
    <w:rsid w:val="00A468CA"/>
    <w:rsid w:val="00A46987"/>
    <w:rsid w:val="00A47789"/>
    <w:rsid w:val="00A50B73"/>
    <w:rsid w:val="00A51014"/>
    <w:rsid w:val="00A53A9C"/>
    <w:rsid w:val="00A55C27"/>
    <w:rsid w:val="00A57526"/>
    <w:rsid w:val="00A578E8"/>
    <w:rsid w:val="00A601BA"/>
    <w:rsid w:val="00A610A0"/>
    <w:rsid w:val="00A61190"/>
    <w:rsid w:val="00A66D00"/>
    <w:rsid w:val="00A6767E"/>
    <w:rsid w:val="00A67A45"/>
    <w:rsid w:val="00A70CAF"/>
    <w:rsid w:val="00A70ED5"/>
    <w:rsid w:val="00A71601"/>
    <w:rsid w:val="00A71876"/>
    <w:rsid w:val="00A76265"/>
    <w:rsid w:val="00A774DE"/>
    <w:rsid w:val="00A77C43"/>
    <w:rsid w:val="00A802EB"/>
    <w:rsid w:val="00A8136F"/>
    <w:rsid w:val="00A815BF"/>
    <w:rsid w:val="00A82B0A"/>
    <w:rsid w:val="00A83657"/>
    <w:rsid w:val="00A84D3D"/>
    <w:rsid w:val="00A84FA3"/>
    <w:rsid w:val="00A86439"/>
    <w:rsid w:val="00A87E74"/>
    <w:rsid w:val="00A9009A"/>
    <w:rsid w:val="00A9209A"/>
    <w:rsid w:val="00A942FF"/>
    <w:rsid w:val="00A947A0"/>
    <w:rsid w:val="00A956AF"/>
    <w:rsid w:val="00A95C98"/>
    <w:rsid w:val="00A96710"/>
    <w:rsid w:val="00A97385"/>
    <w:rsid w:val="00A97E7D"/>
    <w:rsid w:val="00AA05DA"/>
    <w:rsid w:val="00AA1BEF"/>
    <w:rsid w:val="00AA3D1C"/>
    <w:rsid w:val="00AA5B95"/>
    <w:rsid w:val="00AB0BBB"/>
    <w:rsid w:val="00AB0DB6"/>
    <w:rsid w:val="00AB2A52"/>
    <w:rsid w:val="00AB33D9"/>
    <w:rsid w:val="00AB4D6E"/>
    <w:rsid w:val="00AB501A"/>
    <w:rsid w:val="00AB599B"/>
    <w:rsid w:val="00AB65F1"/>
    <w:rsid w:val="00AB6EED"/>
    <w:rsid w:val="00AC135C"/>
    <w:rsid w:val="00AC1E3C"/>
    <w:rsid w:val="00AC51CD"/>
    <w:rsid w:val="00AC5FD4"/>
    <w:rsid w:val="00AC66F9"/>
    <w:rsid w:val="00AC6B50"/>
    <w:rsid w:val="00AD17C8"/>
    <w:rsid w:val="00AD2051"/>
    <w:rsid w:val="00AD20FC"/>
    <w:rsid w:val="00AD2113"/>
    <w:rsid w:val="00AD21C1"/>
    <w:rsid w:val="00AD29C5"/>
    <w:rsid w:val="00AD4412"/>
    <w:rsid w:val="00AD4AB0"/>
    <w:rsid w:val="00AD5768"/>
    <w:rsid w:val="00AD7734"/>
    <w:rsid w:val="00AD7D75"/>
    <w:rsid w:val="00AE218E"/>
    <w:rsid w:val="00AE38D6"/>
    <w:rsid w:val="00AE6164"/>
    <w:rsid w:val="00AE65FD"/>
    <w:rsid w:val="00AE6668"/>
    <w:rsid w:val="00AE6AA0"/>
    <w:rsid w:val="00AE7A30"/>
    <w:rsid w:val="00AF2644"/>
    <w:rsid w:val="00AF4CFD"/>
    <w:rsid w:val="00AF50B3"/>
    <w:rsid w:val="00AF5798"/>
    <w:rsid w:val="00AF5FC9"/>
    <w:rsid w:val="00AF6817"/>
    <w:rsid w:val="00AF69C9"/>
    <w:rsid w:val="00AF7E00"/>
    <w:rsid w:val="00B00D97"/>
    <w:rsid w:val="00B015D9"/>
    <w:rsid w:val="00B022BC"/>
    <w:rsid w:val="00B02488"/>
    <w:rsid w:val="00B066F4"/>
    <w:rsid w:val="00B071CA"/>
    <w:rsid w:val="00B073A5"/>
    <w:rsid w:val="00B10FBF"/>
    <w:rsid w:val="00B10FFC"/>
    <w:rsid w:val="00B14C78"/>
    <w:rsid w:val="00B14F5C"/>
    <w:rsid w:val="00B15A78"/>
    <w:rsid w:val="00B15D85"/>
    <w:rsid w:val="00B15F8A"/>
    <w:rsid w:val="00B17EBD"/>
    <w:rsid w:val="00B2229A"/>
    <w:rsid w:val="00B22AC6"/>
    <w:rsid w:val="00B23457"/>
    <w:rsid w:val="00B2372B"/>
    <w:rsid w:val="00B240A8"/>
    <w:rsid w:val="00B24DD4"/>
    <w:rsid w:val="00B27E2A"/>
    <w:rsid w:val="00B30E8F"/>
    <w:rsid w:val="00B3120B"/>
    <w:rsid w:val="00B31A05"/>
    <w:rsid w:val="00B31D5A"/>
    <w:rsid w:val="00B32539"/>
    <w:rsid w:val="00B32EC7"/>
    <w:rsid w:val="00B3322F"/>
    <w:rsid w:val="00B33FE9"/>
    <w:rsid w:val="00B34DAA"/>
    <w:rsid w:val="00B356D9"/>
    <w:rsid w:val="00B36526"/>
    <w:rsid w:val="00B40292"/>
    <w:rsid w:val="00B41872"/>
    <w:rsid w:val="00B50DC9"/>
    <w:rsid w:val="00B52344"/>
    <w:rsid w:val="00B52E8C"/>
    <w:rsid w:val="00B53D2C"/>
    <w:rsid w:val="00B54DF2"/>
    <w:rsid w:val="00B560B6"/>
    <w:rsid w:val="00B5735F"/>
    <w:rsid w:val="00B577FF"/>
    <w:rsid w:val="00B61232"/>
    <w:rsid w:val="00B61280"/>
    <w:rsid w:val="00B62A65"/>
    <w:rsid w:val="00B62B1E"/>
    <w:rsid w:val="00B62B54"/>
    <w:rsid w:val="00B62E07"/>
    <w:rsid w:val="00B6446D"/>
    <w:rsid w:val="00B652DF"/>
    <w:rsid w:val="00B6554A"/>
    <w:rsid w:val="00B6594D"/>
    <w:rsid w:val="00B6692B"/>
    <w:rsid w:val="00B6701D"/>
    <w:rsid w:val="00B6722F"/>
    <w:rsid w:val="00B7043A"/>
    <w:rsid w:val="00B70DAA"/>
    <w:rsid w:val="00B72F73"/>
    <w:rsid w:val="00B758B7"/>
    <w:rsid w:val="00B77B66"/>
    <w:rsid w:val="00B77DA7"/>
    <w:rsid w:val="00B820E7"/>
    <w:rsid w:val="00B834FB"/>
    <w:rsid w:val="00B83698"/>
    <w:rsid w:val="00B8539B"/>
    <w:rsid w:val="00B86C50"/>
    <w:rsid w:val="00B87FD0"/>
    <w:rsid w:val="00B9305B"/>
    <w:rsid w:val="00B96741"/>
    <w:rsid w:val="00B9721D"/>
    <w:rsid w:val="00BA04DA"/>
    <w:rsid w:val="00BA0875"/>
    <w:rsid w:val="00BA163C"/>
    <w:rsid w:val="00BA4DAF"/>
    <w:rsid w:val="00BA5C3B"/>
    <w:rsid w:val="00BA701E"/>
    <w:rsid w:val="00BA7318"/>
    <w:rsid w:val="00BB26A1"/>
    <w:rsid w:val="00BB300B"/>
    <w:rsid w:val="00BB5D0D"/>
    <w:rsid w:val="00BB7765"/>
    <w:rsid w:val="00BC2E4C"/>
    <w:rsid w:val="00BC4A2E"/>
    <w:rsid w:val="00BC7FA2"/>
    <w:rsid w:val="00BD075C"/>
    <w:rsid w:val="00BD0D35"/>
    <w:rsid w:val="00BD59DC"/>
    <w:rsid w:val="00BD6653"/>
    <w:rsid w:val="00BE1AA1"/>
    <w:rsid w:val="00BE4236"/>
    <w:rsid w:val="00BF02AB"/>
    <w:rsid w:val="00BF0B47"/>
    <w:rsid w:val="00BF13E1"/>
    <w:rsid w:val="00BF769D"/>
    <w:rsid w:val="00BF77E7"/>
    <w:rsid w:val="00C0038E"/>
    <w:rsid w:val="00C04580"/>
    <w:rsid w:val="00C045F7"/>
    <w:rsid w:val="00C06D75"/>
    <w:rsid w:val="00C07298"/>
    <w:rsid w:val="00C07840"/>
    <w:rsid w:val="00C11C60"/>
    <w:rsid w:val="00C12005"/>
    <w:rsid w:val="00C12F69"/>
    <w:rsid w:val="00C137FA"/>
    <w:rsid w:val="00C13A2D"/>
    <w:rsid w:val="00C165F3"/>
    <w:rsid w:val="00C20E5F"/>
    <w:rsid w:val="00C27E82"/>
    <w:rsid w:val="00C30D3C"/>
    <w:rsid w:val="00C33A4D"/>
    <w:rsid w:val="00C3674F"/>
    <w:rsid w:val="00C37771"/>
    <w:rsid w:val="00C402BA"/>
    <w:rsid w:val="00C40F70"/>
    <w:rsid w:val="00C41442"/>
    <w:rsid w:val="00C4154C"/>
    <w:rsid w:val="00C418E8"/>
    <w:rsid w:val="00C420A8"/>
    <w:rsid w:val="00C42A38"/>
    <w:rsid w:val="00C42D9A"/>
    <w:rsid w:val="00C452E2"/>
    <w:rsid w:val="00C45E92"/>
    <w:rsid w:val="00C47056"/>
    <w:rsid w:val="00C52014"/>
    <w:rsid w:val="00C53E54"/>
    <w:rsid w:val="00C5660B"/>
    <w:rsid w:val="00C56A66"/>
    <w:rsid w:val="00C56AE9"/>
    <w:rsid w:val="00C601C7"/>
    <w:rsid w:val="00C62062"/>
    <w:rsid w:val="00C62112"/>
    <w:rsid w:val="00C63BFA"/>
    <w:rsid w:val="00C66F85"/>
    <w:rsid w:val="00C67617"/>
    <w:rsid w:val="00C676B0"/>
    <w:rsid w:val="00C67727"/>
    <w:rsid w:val="00C67DA5"/>
    <w:rsid w:val="00C70D16"/>
    <w:rsid w:val="00C71141"/>
    <w:rsid w:val="00C71CC5"/>
    <w:rsid w:val="00C72024"/>
    <w:rsid w:val="00C7220E"/>
    <w:rsid w:val="00C72AF3"/>
    <w:rsid w:val="00C72B95"/>
    <w:rsid w:val="00C72C1D"/>
    <w:rsid w:val="00C75D6E"/>
    <w:rsid w:val="00C773FF"/>
    <w:rsid w:val="00C818D2"/>
    <w:rsid w:val="00C81B3E"/>
    <w:rsid w:val="00C83829"/>
    <w:rsid w:val="00C83863"/>
    <w:rsid w:val="00C84ECE"/>
    <w:rsid w:val="00C84FC9"/>
    <w:rsid w:val="00C85C48"/>
    <w:rsid w:val="00C87FA7"/>
    <w:rsid w:val="00C91766"/>
    <w:rsid w:val="00C923F3"/>
    <w:rsid w:val="00C92B54"/>
    <w:rsid w:val="00C930F9"/>
    <w:rsid w:val="00C9506C"/>
    <w:rsid w:val="00C96A02"/>
    <w:rsid w:val="00C96C85"/>
    <w:rsid w:val="00CA0658"/>
    <w:rsid w:val="00CA0F89"/>
    <w:rsid w:val="00CA4A71"/>
    <w:rsid w:val="00CA6786"/>
    <w:rsid w:val="00CA67D7"/>
    <w:rsid w:val="00CA69D3"/>
    <w:rsid w:val="00CA6B9C"/>
    <w:rsid w:val="00CA7B7E"/>
    <w:rsid w:val="00CB0C23"/>
    <w:rsid w:val="00CB132E"/>
    <w:rsid w:val="00CB2FA5"/>
    <w:rsid w:val="00CB32FF"/>
    <w:rsid w:val="00CB3F73"/>
    <w:rsid w:val="00CB42FC"/>
    <w:rsid w:val="00CB5199"/>
    <w:rsid w:val="00CB6CB8"/>
    <w:rsid w:val="00CB72FE"/>
    <w:rsid w:val="00CC00D9"/>
    <w:rsid w:val="00CC0907"/>
    <w:rsid w:val="00CC0BBC"/>
    <w:rsid w:val="00CC3A79"/>
    <w:rsid w:val="00CC3C54"/>
    <w:rsid w:val="00CC3DBD"/>
    <w:rsid w:val="00CC472A"/>
    <w:rsid w:val="00CC69F1"/>
    <w:rsid w:val="00CC6FAF"/>
    <w:rsid w:val="00CC7018"/>
    <w:rsid w:val="00CC7EE9"/>
    <w:rsid w:val="00CD2B55"/>
    <w:rsid w:val="00CD3E35"/>
    <w:rsid w:val="00CD3FC6"/>
    <w:rsid w:val="00CD4267"/>
    <w:rsid w:val="00CD4441"/>
    <w:rsid w:val="00CD58CE"/>
    <w:rsid w:val="00CD7504"/>
    <w:rsid w:val="00CD77CF"/>
    <w:rsid w:val="00CD783A"/>
    <w:rsid w:val="00CE0F3D"/>
    <w:rsid w:val="00CE1099"/>
    <w:rsid w:val="00CE1BA1"/>
    <w:rsid w:val="00CE2618"/>
    <w:rsid w:val="00CE265F"/>
    <w:rsid w:val="00CE2FF3"/>
    <w:rsid w:val="00CE371A"/>
    <w:rsid w:val="00CE3861"/>
    <w:rsid w:val="00CE3B7A"/>
    <w:rsid w:val="00CE7ED1"/>
    <w:rsid w:val="00CF0E2C"/>
    <w:rsid w:val="00CF12DA"/>
    <w:rsid w:val="00CF1A5F"/>
    <w:rsid w:val="00CF2BA4"/>
    <w:rsid w:val="00CF36F7"/>
    <w:rsid w:val="00CF584A"/>
    <w:rsid w:val="00CF592D"/>
    <w:rsid w:val="00CF6C07"/>
    <w:rsid w:val="00CF6F81"/>
    <w:rsid w:val="00CF75F6"/>
    <w:rsid w:val="00D001B9"/>
    <w:rsid w:val="00D01722"/>
    <w:rsid w:val="00D0360D"/>
    <w:rsid w:val="00D054D8"/>
    <w:rsid w:val="00D06DA0"/>
    <w:rsid w:val="00D11332"/>
    <w:rsid w:val="00D127CA"/>
    <w:rsid w:val="00D12E8E"/>
    <w:rsid w:val="00D1494C"/>
    <w:rsid w:val="00D15763"/>
    <w:rsid w:val="00D20404"/>
    <w:rsid w:val="00D20BAA"/>
    <w:rsid w:val="00D21E8B"/>
    <w:rsid w:val="00D2222C"/>
    <w:rsid w:val="00D246F9"/>
    <w:rsid w:val="00D25528"/>
    <w:rsid w:val="00D33459"/>
    <w:rsid w:val="00D34C9E"/>
    <w:rsid w:val="00D379D2"/>
    <w:rsid w:val="00D40EE8"/>
    <w:rsid w:val="00D427D4"/>
    <w:rsid w:val="00D44131"/>
    <w:rsid w:val="00D45C32"/>
    <w:rsid w:val="00D468D9"/>
    <w:rsid w:val="00D46C68"/>
    <w:rsid w:val="00D47360"/>
    <w:rsid w:val="00D47904"/>
    <w:rsid w:val="00D5253F"/>
    <w:rsid w:val="00D55371"/>
    <w:rsid w:val="00D60481"/>
    <w:rsid w:val="00D61C16"/>
    <w:rsid w:val="00D6205A"/>
    <w:rsid w:val="00D63430"/>
    <w:rsid w:val="00D6389B"/>
    <w:rsid w:val="00D63AF6"/>
    <w:rsid w:val="00D64053"/>
    <w:rsid w:val="00D656A4"/>
    <w:rsid w:val="00D71B5D"/>
    <w:rsid w:val="00D71E10"/>
    <w:rsid w:val="00D73CC2"/>
    <w:rsid w:val="00D75048"/>
    <w:rsid w:val="00D83C96"/>
    <w:rsid w:val="00D87139"/>
    <w:rsid w:val="00D90748"/>
    <w:rsid w:val="00D926C8"/>
    <w:rsid w:val="00D94502"/>
    <w:rsid w:val="00D94D25"/>
    <w:rsid w:val="00D953CC"/>
    <w:rsid w:val="00D95A8D"/>
    <w:rsid w:val="00D97246"/>
    <w:rsid w:val="00DA01AE"/>
    <w:rsid w:val="00DA0669"/>
    <w:rsid w:val="00DA1565"/>
    <w:rsid w:val="00DA2258"/>
    <w:rsid w:val="00DA2484"/>
    <w:rsid w:val="00DA363A"/>
    <w:rsid w:val="00DA4030"/>
    <w:rsid w:val="00DA562A"/>
    <w:rsid w:val="00DB1E22"/>
    <w:rsid w:val="00DB2F5C"/>
    <w:rsid w:val="00DB3B31"/>
    <w:rsid w:val="00DB3D77"/>
    <w:rsid w:val="00DB460B"/>
    <w:rsid w:val="00DB5A75"/>
    <w:rsid w:val="00DB7235"/>
    <w:rsid w:val="00DC1DAF"/>
    <w:rsid w:val="00DC21FD"/>
    <w:rsid w:val="00DC274D"/>
    <w:rsid w:val="00DC3B9C"/>
    <w:rsid w:val="00DC3FBB"/>
    <w:rsid w:val="00DC43E6"/>
    <w:rsid w:val="00DC47D4"/>
    <w:rsid w:val="00DC7407"/>
    <w:rsid w:val="00DD4316"/>
    <w:rsid w:val="00DD4746"/>
    <w:rsid w:val="00DD5FA5"/>
    <w:rsid w:val="00DE228A"/>
    <w:rsid w:val="00DE37FC"/>
    <w:rsid w:val="00DE39A9"/>
    <w:rsid w:val="00DE4832"/>
    <w:rsid w:val="00DE4CA7"/>
    <w:rsid w:val="00DE6AE0"/>
    <w:rsid w:val="00DF0B65"/>
    <w:rsid w:val="00DF1A47"/>
    <w:rsid w:val="00DF3754"/>
    <w:rsid w:val="00DF44A1"/>
    <w:rsid w:val="00DF6BF3"/>
    <w:rsid w:val="00DF6E97"/>
    <w:rsid w:val="00DF718E"/>
    <w:rsid w:val="00E01017"/>
    <w:rsid w:val="00E01814"/>
    <w:rsid w:val="00E03103"/>
    <w:rsid w:val="00E0354E"/>
    <w:rsid w:val="00E04386"/>
    <w:rsid w:val="00E046CA"/>
    <w:rsid w:val="00E050C0"/>
    <w:rsid w:val="00E05205"/>
    <w:rsid w:val="00E05875"/>
    <w:rsid w:val="00E05FBD"/>
    <w:rsid w:val="00E06F0E"/>
    <w:rsid w:val="00E0758A"/>
    <w:rsid w:val="00E10F91"/>
    <w:rsid w:val="00E17554"/>
    <w:rsid w:val="00E20B03"/>
    <w:rsid w:val="00E21AD1"/>
    <w:rsid w:val="00E21DB4"/>
    <w:rsid w:val="00E21DC0"/>
    <w:rsid w:val="00E22BDD"/>
    <w:rsid w:val="00E236AB"/>
    <w:rsid w:val="00E25A7B"/>
    <w:rsid w:val="00E30795"/>
    <w:rsid w:val="00E345C4"/>
    <w:rsid w:val="00E34626"/>
    <w:rsid w:val="00E35F76"/>
    <w:rsid w:val="00E36939"/>
    <w:rsid w:val="00E376FD"/>
    <w:rsid w:val="00E378E5"/>
    <w:rsid w:val="00E37E86"/>
    <w:rsid w:val="00E41B38"/>
    <w:rsid w:val="00E42F31"/>
    <w:rsid w:val="00E42F90"/>
    <w:rsid w:val="00E42FED"/>
    <w:rsid w:val="00E43167"/>
    <w:rsid w:val="00E45219"/>
    <w:rsid w:val="00E47818"/>
    <w:rsid w:val="00E52334"/>
    <w:rsid w:val="00E52350"/>
    <w:rsid w:val="00E52BCB"/>
    <w:rsid w:val="00E55CF2"/>
    <w:rsid w:val="00E57BA3"/>
    <w:rsid w:val="00E60515"/>
    <w:rsid w:val="00E621EF"/>
    <w:rsid w:val="00E64F10"/>
    <w:rsid w:val="00E65626"/>
    <w:rsid w:val="00E67CF2"/>
    <w:rsid w:val="00E67FC4"/>
    <w:rsid w:val="00E70054"/>
    <w:rsid w:val="00E70081"/>
    <w:rsid w:val="00E7055E"/>
    <w:rsid w:val="00E70E66"/>
    <w:rsid w:val="00E7277F"/>
    <w:rsid w:val="00E73726"/>
    <w:rsid w:val="00E73ADD"/>
    <w:rsid w:val="00E77D7F"/>
    <w:rsid w:val="00E80719"/>
    <w:rsid w:val="00E81038"/>
    <w:rsid w:val="00E82142"/>
    <w:rsid w:val="00E82AB0"/>
    <w:rsid w:val="00E82C3C"/>
    <w:rsid w:val="00E831D3"/>
    <w:rsid w:val="00E83F90"/>
    <w:rsid w:val="00E84055"/>
    <w:rsid w:val="00E84A18"/>
    <w:rsid w:val="00E86B05"/>
    <w:rsid w:val="00E87A6F"/>
    <w:rsid w:val="00E91C8C"/>
    <w:rsid w:val="00E92659"/>
    <w:rsid w:val="00E92B16"/>
    <w:rsid w:val="00E94D8B"/>
    <w:rsid w:val="00E95170"/>
    <w:rsid w:val="00E95939"/>
    <w:rsid w:val="00E976EF"/>
    <w:rsid w:val="00EA2CA0"/>
    <w:rsid w:val="00EA35FE"/>
    <w:rsid w:val="00EA6293"/>
    <w:rsid w:val="00EA63ED"/>
    <w:rsid w:val="00EB13B9"/>
    <w:rsid w:val="00EB26D2"/>
    <w:rsid w:val="00EB2F91"/>
    <w:rsid w:val="00EB4C0C"/>
    <w:rsid w:val="00EB5112"/>
    <w:rsid w:val="00EB521F"/>
    <w:rsid w:val="00EB5813"/>
    <w:rsid w:val="00EB5EC2"/>
    <w:rsid w:val="00EB6DB1"/>
    <w:rsid w:val="00EC02B1"/>
    <w:rsid w:val="00EC0BFD"/>
    <w:rsid w:val="00EC128A"/>
    <w:rsid w:val="00EC1351"/>
    <w:rsid w:val="00EC39B1"/>
    <w:rsid w:val="00EC631B"/>
    <w:rsid w:val="00EC6492"/>
    <w:rsid w:val="00EC6A12"/>
    <w:rsid w:val="00ED0513"/>
    <w:rsid w:val="00ED0CB6"/>
    <w:rsid w:val="00ED0EA1"/>
    <w:rsid w:val="00ED12CF"/>
    <w:rsid w:val="00ED1B56"/>
    <w:rsid w:val="00ED3685"/>
    <w:rsid w:val="00ED5BED"/>
    <w:rsid w:val="00ED6EE6"/>
    <w:rsid w:val="00EE13A9"/>
    <w:rsid w:val="00EE2360"/>
    <w:rsid w:val="00EE5D8B"/>
    <w:rsid w:val="00EE69D5"/>
    <w:rsid w:val="00EF26C5"/>
    <w:rsid w:val="00EF47CC"/>
    <w:rsid w:val="00EF4831"/>
    <w:rsid w:val="00EF4DEB"/>
    <w:rsid w:val="00EF6D3A"/>
    <w:rsid w:val="00EF7BCA"/>
    <w:rsid w:val="00EF7F11"/>
    <w:rsid w:val="00F02D18"/>
    <w:rsid w:val="00F0527D"/>
    <w:rsid w:val="00F10068"/>
    <w:rsid w:val="00F102ED"/>
    <w:rsid w:val="00F1097D"/>
    <w:rsid w:val="00F10E5F"/>
    <w:rsid w:val="00F118DD"/>
    <w:rsid w:val="00F12823"/>
    <w:rsid w:val="00F1336D"/>
    <w:rsid w:val="00F140BE"/>
    <w:rsid w:val="00F14502"/>
    <w:rsid w:val="00F15A22"/>
    <w:rsid w:val="00F16357"/>
    <w:rsid w:val="00F210CA"/>
    <w:rsid w:val="00F227C9"/>
    <w:rsid w:val="00F2288A"/>
    <w:rsid w:val="00F24689"/>
    <w:rsid w:val="00F25BDA"/>
    <w:rsid w:val="00F3090E"/>
    <w:rsid w:val="00F3115F"/>
    <w:rsid w:val="00F412D3"/>
    <w:rsid w:val="00F41D2C"/>
    <w:rsid w:val="00F42A22"/>
    <w:rsid w:val="00F43F28"/>
    <w:rsid w:val="00F45EB1"/>
    <w:rsid w:val="00F46EC2"/>
    <w:rsid w:val="00F4729F"/>
    <w:rsid w:val="00F478AD"/>
    <w:rsid w:val="00F47A52"/>
    <w:rsid w:val="00F514C1"/>
    <w:rsid w:val="00F5270C"/>
    <w:rsid w:val="00F5330D"/>
    <w:rsid w:val="00F571BF"/>
    <w:rsid w:val="00F607ED"/>
    <w:rsid w:val="00F60896"/>
    <w:rsid w:val="00F609CC"/>
    <w:rsid w:val="00F6188F"/>
    <w:rsid w:val="00F61F46"/>
    <w:rsid w:val="00F62FEF"/>
    <w:rsid w:val="00F63238"/>
    <w:rsid w:val="00F6393A"/>
    <w:rsid w:val="00F649FF"/>
    <w:rsid w:val="00F65446"/>
    <w:rsid w:val="00F65AE4"/>
    <w:rsid w:val="00F66386"/>
    <w:rsid w:val="00F70CD3"/>
    <w:rsid w:val="00F70FC3"/>
    <w:rsid w:val="00F7367C"/>
    <w:rsid w:val="00F73DA8"/>
    <w:rsid w:val="00F7498D"/>
    <w:rsid w:val="00F81C4C"/>
    <w:rsid w:val="00F83FEE"/>
    <w:rsid w:val="00F83FFB"/>
    <w:rsid w:val="00F85838"/>
    <w:rsid w:val="00F86B95"/>
    <w:rsid w:val="00F92D5D"/>
    <w:rsid w:val="00F948C4"/>
    <w:rsid w:val="00F957CC"/>
    <w:rsid w:val="00F95995"/>
    <w:rsid w:val="00F9667C"/>
    <w:rsid w:val="00F96DA9"/>
    <w:rsid w:val="00F97B2D"/>
    <w:rsid w:val="00FA00D3"/>
    <w:rsid w:val="00FA288C"/>
    <w:rsid w:val="00FA434D"/>
    <w:rsid w:val="00FA5F29"/>
    <w:rsid w:val="00FA6E2A"/>
    <w:rsid w:val="00FA7287"/>
    <w:rsid w:val="00FA7A57"/>
    <w:rsid w:val="00FB237D"/>
    <w:rsid w:val="00FB2752"/>
    <w:rsid w:val="00FB2C65"/>
    <w:rsid w:val="00FB4A6B"/>
    <w:rsid w:val="00FB4C9C"/>
    <w:rsid w:val="00FC1EDB"/>
    <w:rsid w:val="00FC4FD5"/>
    <w:rsid w:val="00FC5A3F"/>
    <w:rsid w:val="00FC65F7"/>
    <w:rsid w:val="00FC7769"/>
    <w:rsid w:val="00FD00F6"/>
    <w:rsid w:val="00FD17EC"/>
    <w:rsid w:val="00FD3114"/>
    <w:rsid w:val="00FD42A4"/>
    <w:rsid w:val="00FD4957"/>
    <w:rsid w:val="00FD6405"/>
    <w:rsid w:val="00FD669F"/>
    <w:rsid w:val="00FD66EB"/>
    <w:rsid w:val="00FD6F7C"/>
    <w:rsid w:val="00FD773F"/>
    <w:rsid w:val="00FD7EAD"/>
    <w:rsid w:val="00FE23B1"/>
    <w:rsid w:val="00FE4977"/>
    <w:rsid w:val="00FE4A63"/>
    <w:rsid w:val="00FE4E92"/>
    <w:rsid w:val="00FE4ED9"/>
    <w:rsid w:val="00FE5E07"/>
    <w:rsid w:val="00FE5EB9"/>
    <w:rsid w:val="00FE61A7"/>
    <w:rsid w:val="00FE654A"/>
    <w:rsid w:val="00FE6658"/>
    <w:rsid w:val="00FE74A9"/>
    <w:rsid w:val="00FF0D64"/>
    <w:rsid w:val="00FF2FD0"/>
    <w:rsid w:val="00FF51A1"/>
    <w:rsid w:val="00FF5E48"/>
    <w:rsid w:val="00FF6267"/>
    <w:rsid w:val="00FF661E"/>
    <w:rsid w:val="00FF6EB6"/>
    <w:rsid w:val="00FF74A7"/>
    <w:rsid w:val="00FF7EFD"/>
    <w:rsid w:val="00FF7FA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1DC0"/>
    <w:pPr>
      <w:spacing w:line="276"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30FC6"/>
    <w:pPr>
      <w:keepNext/>
      <w:keepLines/>
      <w:spacing w:line="240" w:lineRule="auto"/>
      <w:outlineLvl w:val="0"/>
    </w:pPr>
    <w:rPr>
      <w:rFonts w:eastAsia="Times New Roman"/>
      <w:b/>
      <w:bCs/>
      <w:sz w:val="32"/>
      <w:szCs w:val="32"/>
      <w:lang w:val="en-GB" w:eastAsia="hr-HR"/>
    </w:rPr>
  </w:style>
  <w:style w:type="paragraph" w:styleId="Heading2">
    <w:name w:val="heading 2"/>
    <w:basedOn w:val="Normal"/>
    <w:next w:val="Normal"/>
    <w:link w:val="Heading2Char"/>
    <w:autoRedefine/>
    <w:uiPriority w:val="9"/>
    <w:qFormat/>
    <w:rsid w:val="00F81C4C"/>
    <w:pPr>
      <w:keepNext/>
      <w:keepLines/>
      <w:pBdr>
        <w:bottom w:val="single" w:sz="12" w:space="1" w:color="auto"/>
      </w:pBdr>
      <w:spacing w:line="240" w:lineRule="auto"/>
      <w:outlineLvl w:val="1"/>
    </w:pPr>
    <w:rPr>
      <w:rFonts w:eastAsia="Times New Roman"/>
      <w:b/>
      <w:bCs/>
      <w:szCs w:val="26"/>
      <w:lang w:eastAsia="hr-HR"/>
    </w:rPr>
  </w:style>
  <w:style w:type="paragraph" w:styleId="Heading3">
    <w:name w:val="heading 3"/>
    <w:basedOn w:val="Normal"/>
    <w:next w:val="Normal"/>
    <w:link w:val="Heading3Char"/>
    <w:uiPriority w:val="9"/>
    <w:qFormat/>
    <w:rsid w:val="00721516"/>
    <w:pPr>
      <w:keepNext/>
      <w:keepLines/>
      <w:spacing w:after="120"/>
      <w:outlineLvl w:val="2"/>
    </w:pPr>
    <w:rPr>
      <w:rFonts w:eastAsia="Times New Roman"/>
      <w:b/>
      <w:bCs/>
      <w:color w:val="365F91"/>
      <w:szCs w:val="20"/>
    </w:rPr>
  </w:style>
  <w:style w:type="paragraph" w:styleId="Heading4">
    <w:name w:val="heading 4"/>
    <w:basedOn w:val="Normal"/>
    <w:next w:val="Normal"/>
    <w:link w:val="Heading4Char"/>
    <w:uiPriority w:val="9"/>
    <w:qFormat/>
    <w:rsid w:val="00721516"/>
    <w:pPr>
      <w:keepNext/>
      <w:keepLines/>
      <w:spacing w:after="120"/>
      <w:outlineLvl w:val="3"/>
    </w:pPr>
    <w:rPr>
      <w:rFonts w:eastAsia="Times New Roman"/>
      <w:b/>
      <w:bCs/>
      <w:iCs/>
      <w:color w:val="4F81BD"/>
      <w:sz w:val="20"/>
      <w:szCs w:val="20"/>
    </w:rPr>
  </w:style>
  <w:style w:type="paragraph" w:styleId="Heading5">
    <w:name w:val="heading 5"/>
    <w:basedOn w:val="Normal"/>
    <w:next w:val="Normal"/>
    <w:link w:val="Heading5Char"/>
    <w:autoRedefine/>
    <w:uiPriority w:val="9"/>
    <w:qFormat/>
    <w:rsid w:val="007D0CFD"/>
    <w:pPr>
      <w:keepNext/>
      <w:keepLines/>
      <w:spacing w:before="200" w:line="240" w:lineRule="auto"/>
      <w:outlineLvl w:val="4"/>
    </w:pPr>
    <w:rPr>
      <w:rFonts w:eastAsia="Times New Roman"/>
      <w:b/>
      <w:color w:val="548DD4" w:themeColor="text2" w:themeTint="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FC6"/>
    <w:rPr>
      <w:rFonts w:ascii="Times New Roman" w:eastAsia="Times New Roman" w:hAnsi="Times New Roman" w:cs="Times New Roman"/>
      <w:b/>
      <w:bCs/>
      <w:sz w:val="32"/>
      <w:szCs w:val="32"/>
      <w:lang w:val="en-GB" w:eastAsia="hr-HR"/>
    </w:rPr>
  </w:style>
  <w:style w:type="character" w:customStyle="1" w:styleId="Heading2Char">
    <w:name w:val="Heading 2 Char"/>
    <w:link w:val="Heading2"/>
    <w:uiPriority w:val="9"/>
    <w:rsid w:val="00F81C4C"/>
    <w:rPr>
      <w:rFonts w:ascii="Times New Roman" w:eastAsia="Times New Roman" w:hAnsi="Times New Roman" w:cs="Times New Roman"/>
      <w:b/>
      <w:bCs/>
      <w:sz w:val="24"/>
      <w:szCs w:val="26"/>
      <w:lang w:eastAsia="hr-HR"/>
    </w:rPr>
  </w:style>
  <w:style w:type="character" w:customStyle="1" w:styleId="Heading3Char">
    <w:name w:val="Heading 3 Char"/>
    <w:link w:val="Heading3"/>
    <w:uiPriority w:val="9"/>
    <w:rsid w:val="00721516"/>
    <w:rPr>
      <w:rFonts w:ascii="Times New Roman" w:eastAsia="Times New Roman" w:hAnsi="Times New Roman" w:cs="Times New Roman"/>
      <w:b/>
      <w:bCs/>
      <w:color w:val="365F91"/>
      <w:sz w:val="24"/>
    </w:rPr>
  </w:style>
  <w:style w:type="character" w:customStyle="1" w:styleId="Heading4Char">
    <w:name w:val="Heading 4 Char"/>
    <w:link w:val="Heading4"/>
    <w:uiPriority w:val="9"/>
    <w:rsid w:val="00721516"/>
    <w:rPr>
      <w:rFonts w:ascii="Times New Roman" w:eastAsia="Times New Roman" w:hAnsi="Times New Roman" w:cs="Times New Roman"/>
      <w:b/>
      <w:bCs/>
      <w:iCs/>
      <w:color w:val="4F81BD"/>
    </w:rPr>
  </w:style>
  <w:style w:type="paragraph" w:customStyle="1" w:styleId="Style1">
    <w:name w:val="Style1"/>
    <w:link w:val="Style1Char"/>
    <w:qFormat/>
    <w:rsid w:val="00122813"/>
    <w:pPr>
      <w:keepNext/>
      <w:keepLines/>
      <w:spacing w:line="276" w:lineRule="auto"/>
      <w:outlineLvl w:val="2"/>
    </w:pPr>
    <w:rPr>
      <w:rFonts w:ascii="Times New Roman" w:eastAsia="Times New Roman" w:hAnsi="Times New Roman"/>
      <w:b/>
      <w:bCs/>
      <w:i/>
      <w:smallCaps/>
      <w:color w:val="365F91"/>
      <w:sz w:val="24"/>
      <w:lang w:bidi="en-US"/>
    </w:rPr>
  </w:style>
  <w:style w:type="character" w:customStyle="1" w:styleId="Style1Char">
    <w:name w:val="Style1 Char"/>
    <w:link w:val="Style1"/>
    <w:rsid w:val="00122813"/>
    <w:rPr>
      <w:rFonts w:ascii="Times New Roman" w:eastAsia="Times New Roman" w:hAnsi="Times New Roman"/>
      <w:b/>
      <w:bCs/>
      <w:i/>
      <w:smallCaps/>
      <w:color w:val="365F91"/>
      <w:sz w:val="24"/>
      <w:lang w:bidi="en-US"/>
    </w:rPr>
  </w:style>
  <w:style w:type="paragraph" w:styleId="Header">
    <w:name w:val="header"/>
    <w:basedOn w:val="Normal"/>
    <w:link w:val="HeaderChar"/>
    <w:uiPriority w:val="99"/>
    <w:unhideWhenUsed/>
    <w:rsid w:val="00DA01AE"/>
    <w:pPr>
      <w:tabs>
        <w:tab w:val="center" w:pos="4536"/>
        <w:tab w:val="right" w:pos="9072"/>
      </w:tabs>
      <w:spacing w:line="240" w:lineRule="auto"/>
    </w:pPr>
    <w:rPr>
      <w:szCs w:val="20"/>
    </w:rPr>
  </w:style>
  <w:style w:type="character" w:customStyle="1" w:styleId="HeaderChar">
    <w:name w:val="Header Char"/>
    <w:link w:val="Header"/>
    <w:uiPriority w:val="99"/>
    <w:rsid w:val="00DA01AE"/>
    <w:rPr>
      <w:rFonts w:ascii="Times New Roman" w:hAnsi="Times New Roman"/>
      <w:sz w:val="24"/>
    </w:rPr>
  </w:style>
  <w:style w:type="paragraph" w:styleId="FootnoteText">
    <w:name w:val="footnote text"/>
    <w:basedOn w:val="Normal"/>
    <w:link w:val="FootnoteTextChar"/>
    <w:uiPriority w:val="99"/>
    <w:unhideWhenUsed/>
    <w:rsid w:val="00122813"/>
    <w:pPr>
      <w:spacing w:line="240" w:lineRule="auto"/>
      <w:jc w:val="left"/>
    </w:pPr>
    <w:rPr>
      <w:sz w:val="20"/>
      <w:szCs w:val="20"/>
    </w:rPr>
  </w:style>
  <w:style w:type="character" w:customStyle="1" w:styleId="FootnoteTextChar">
    <w:name w:val="Footnote Text Char"/>
    <w:link w:val="FootnoteText"/>
    <w:uiPriority w:val="99"/>
    <w:rsid w:val="00122813"/>
    <w:rPr>
      <w:rFonts w:ascii="Times New Roman" w:hAnsi="Times New Roman"/>
      <w:sz w:val="20"/>
      <w:szCs w:val="20"/>
    </w:rPr>
  </w:style>
  <w:style w:type="character" w:styleId="FootnoteReference">
    <w:name w:val="footnote reference"/>
    <w:unhideWhenUsed/>
    <w:rsid w:val="00122813"/>
    <w:rPr>
      <w:vertAlign w:val="superscript"/>
    </w:rPr>
  </w:style>
  <w:style w:type="paragraph" w:styleId="Footer">
    <w:name w:val="footer"/>
    <w:basedOn w:val="Normal"/>
    <w:link w:val="FooterChar"/>
    <w:uiPriority w:val="99"/>
    <w:unhideWhenUsed/>
    <w:rsid w:val="0022162C"/>
    <w:pPr>
      <w:tabs>
        <w:tab w:val="center" w:pos="4536"/>
        <w:tab w:val="right" w:pos="9072"/>
      </w:tabs>
      <w:spacing w:line="240" w:lineRule="auto"/>
    </w:pPr>
    <w:rPr>
      <w:szCs w:val="20"/>
    </w:rPr>
  </w:style>
  <w:style w:type="character" w:customStyle="1" w:styleId="FooterChar">
    <w:name w:val="Footer Char"/>
    <w:link w:val="Footer"/>
    <w:uiPriority w:val="99"/>
    <w:rsid w:val="0022162C"/>
    <w:rPr>
      <w:rFonts w:ascii="Times New Roman" w:hAnsi="Times New Roman"/>
      <w:sz w:val="24"/>
    </w:rPr>
  </w:style>
  <w:style w:type="character" w:styleId="Hyperlink">
    <w:name w:val="Hyperlink"/>
    <w:uiPriority w:val="99"/>
    <w:unhideWhenUsed/>
    <w:rsid w:val="0060559A"/>
    <w:rPr>
      <w:color w:val="0000FF"/>
      <w:u w:val="single"/>
    </w:rPr>
  </w:style>
  <w:style w:type="paragraph" w:styleId="TOC1">
    <w:name w:val="toc 1"/>
    <w:basedOn w:val="Normal"/>
    <w:next w:val="Normal"/>
    <w:autoRedefine/>
    <w:uiPriority w:val="39"/>
    <w:unhideWhenUsed/>
    <w:rsid w:val="00C27E82"/>
    <w:pPr>
      <w:tabs>
        <w:tab w:val="right" w:leader="dot" w:pos="9062"/>
      </w:tabs>
      <w:spacing w:line="240" w:lineRule="auto"/>
    </w:pPr>
    <w:rPr>
      <w:b/>
      <w:noProof/>
    </w:rPr>
  </w:style>
  <w:style w:type="paragraph" w:styleId="TOC2">
    <w:name w:val="toc 2"/>
    <w:basedOn w:val="Normal"/>
    <w:next w:val="Normal"/>
    <w:autoRedefine/>
    <w:uiPriority w:val="39"/>
    <w:unhideWhenUsed/>
    <w:rsid w:val="00D90748"/>
    <w:pPr>
      <w:tabs>
        <w:tab w:val="right" w:leader="dot" w:pos="9062"/>
      </w:tabs>
      <w:ind w:left="238"/>
    </w:pPr>
    <w:rPr>
      <w:noProof/>
    </w:rPr>
  </w:style>
  <w:style w:type="paragraph" w:styleId="TOC3">
    <w:name w:val="toc 3"/>
    <w:basedOn w:val="Normal"/>
    <w:next w:val="Normal"/>
    <w:autoRedefine/>
    <w:uiPriority w:val="39"/>
    <w:unhideWhenUsed/>
    <w:rsid w:val="00D90748"/>
    <w:pPr>
      <w:tabs>
        <w:tab w:val="right" w:leader="dot" w:pos="9062"/>
      </w:tabs>
      <w:ind w:left="482"/>
    </w:pPr>
  </w:style>
  <w:style w:type="paragraph" w:styleId="Title">
    <w:name w:val="Title"/>
    <w:basedOn w:val="Normal"/>
    <w:next w:val="Normal"/>
    <w:link w:val="TitleChar"/>
    <w:uiPriority w:val="10"/>
    <w:qFormat/>
    <w:rsid w:val="00761C3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61C37"/>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079E7"/>
    <w:pPr>
      <w:spacing w:after="200"/>
      <w:ind w:left="720"/>
      <w:contextualSpacing/>
      <w:jc w:val="left"/>
    </w:pPr>
    <w:rPr>
      <w:rFonts w:ascii="Calibri" w:hAnsi="Calibri"/>
      <w:sz w:val="22"/>
    </w:rPr>
  </w:style>
  <w:style w:type="paragraph" w:styleId="BalloonText">
    <w:name w:val="Balloon Text"/>
    <w:basedOn w:val="Normal"/>
    <w:link w:val="BalloonTextChar"/>
    <w:uiPriority w:val="99"/>
    <w:semiHidden/>
    <w:unhideWhenUsed/>
    <w:rsid w:val="001079E7"/>
    <w:pPr>
      <w:spacing w:line="240" w:lineRule="auto"/>
    </w:pPr>
    <w:rPr>
      <w:rFonts w:ascii="Tahoma" w:hAnsi="Tahoma"/>
      <w:sz w:val="16"/>
      <w:szCs w:val="16"/>
    </w:rPr>
  </w:style>
  <w:style w:type="character" w:customStyle="1" w:styleId="BalloonTextChar">
    <w:name w:val="Balloon Text Char"/>
    <w:link w:val="BalloonText"/>
    <w:uiPriority w:val="99"/>
    <w:semiHidden/>
    <w:rsid w:val="001079E7"/>
    <w:rPr>
      <w:rFonts w:ascii="Tahoma" w:hAnsi="Tahoma" w:cs="Tahoma"/>
      <w:sz w:val="16"/>
      <w:szCs w:val="16"/>
    </w:rPr>
  </w:style>
  <w:style w:type="paragraph" w:customStyle="1" w:styleId="Default">
    <w:name w:val="Default"/>
    <w:uiPriority w:val="99"/>
    <w:rsid w:val="007F01A8"/>
    <w:pPr>
      <w:autoSpaceDE w:val="0"/>
      <w:autoSpaceDN w:val="0"/>
      <w:adjustRightInd w:val="0"/>
    </w:pPr>
    <w:rPr>
      <w:rFonts w:ascii="JDEEG G+ Arial MT" w:hAnsi="JDEEG G+ Arial MT" w:cs="JDEEG G+ Arial MT"/>
      <w:color w:val="000000"/>
      <w:sz w:val="24"/>
      <w:szCs w:val="24"/>
      <w:lang w:eastAsia="en-US"/>
    </w:rPr>
  </w:style>
  <w:style w:type="paragraph" w:styleId="Caption">
    <w:name w:val="caption"/>
    <w:basedOn w:val="Normal"/>
    <w:next w:val="Normal"/>
    <w:qFormat/>
    <w:rsid w:val="00A23CB5"/>
    <w:pPr>
      <w:spacing w:after="120" w:line="240" w:lineRule="auto"/>
      <w:jc w:val="left"/>
    </w:pPr>
    <w:rPr>
      <w:rFonts w:eastAsia="Times New Roman"/>
      <w:b/>
      <w:bCs/>
      <w:color w:val="4F81BD"/>
      <w:sz w:val="18"/>
      <w:szCs w:val="18"/>
      <w:lang w:eastAsia="hr-HR"/>
    </w:rPr>
  </w:style>
  <w:style w:type="character" w:styleId="CommentReference">
    <w:name w:val="annotation reference"/>
    <w:uiPriority w:val="99"/>
    <w:semiHidden/>
    <w:unhideWhenUsed/>
    <w:rsid w:val="000F7C4B"/>
    <w:rPr>
      <w:sz w:val="16"/>
      <w:szCs w:val="16"/>
    </w:rPr>
  </w:style>
  <w:style w:type="paragraph" w:styleId="CommentText">
    <w:name w:val="annotation text"/>
    <w:basedOn w:val="Normal"/>
    <w:link w:val="CommentTextChar"/>
    <w:uiPriority w:val="99"/>
    <w:semiHidden/>
    <w:unhideWhenUsed/>
    <w:rsid w:val="000F7C4B"/>
    <w:pPr>
      <w:spacing w:after="200" w:line="240" w:lineRule="auto"/>
      <w:jc w:val="left"/>
    </w:pPr>
    <w:rPr>
      <w:rFonts w:ascii="Calibri" w:hAnsi="Calibri"/>
      <w:sz w:val="20"/>
      <w:szCs w:val="20"/>
    </w:rPr>
  </w:style>
  <w:style w:type="character" w:customStyle="1" w:styleId="CommentTextChar">
    <w:name w:val="Comment Text Char"/>
    <w:link w:val="CommentText"/>
    <w:uiPriority w:val="99"/>
    <w:semiHidden/>
    <w:rsid w:val="000F7C4B"/>
    <w:rPr>
      <w:sz w:val="20"/>
      <w:szCs w:val="20"/>
    </w:rPr>
  </w:style>
  <w:style w:type="paragraph" w:styleId="TOC4">
    <w:name w:val="toc 4"/>
    <w:basedOn w:val="Normal"/>
    <w:next w:val="Normal"/>
    <w:autoRedefine/>
    <w:uiPriority w:val="39"/>
    <w:unhideWhenUsed/>
    <w:rsid w:val="00497551"/>
    <w:pPr>
      <w:tabs>
        <w:tab w:val="right" w:leader="dot" w:pos="9062"/>
      </w:tabs>
      <w:spacing w:line="240" w:lineRule="auto"/>
      <w:ind w:left="660"/>
      <w:jc w:val="left"/>
    </w:pPr>
    <w:rPr>
      <w:rFonts w:ascii="Calibri" w:eastAsia="Times New Roman" w:hAnsi="Calibri"/>
      <w:sz w:val="22"/>
      <w:lang w:eastAsia="hr-HR"/>
    </w:rPr>
  </w:style>
  <w:style w:type="paragraph" w:styleId="TOC5">
    <w:name w:val="toc 5"/>
    <w:basedOn w:val="Normal"/>
    <w:next w:val="Normal"/>
    <w:autoRedefine/>
    <w:uiPriority w:val="39"/>
    <w:unhideWhenUsed/>
    <w:rsid w:val="00780C46"/>
    <w:pPr>
      <w:spacing w:after="100"/>
      <w:ind w:left="880"/>
      <w:jc w:val="left"/>
    </w:pPr>
    <w:rPr>
      <w:rFonts w:ascii="Calibri" w:eastAsia="Times New Roman" w:hAnsi="Calibri"/>
      <w:sz w:val="22"/>
      <w:lang w:eastAsia="hr-HR"/>
    </w:rPr>
  </w:style>
  <w:style w:type="paragraph" w:styleId="TOC6">
    <w:name w:val="toc 6"/>
    <w:basedOn w:val="Normal"/>
    <w:next w:val="Normal"/>
    <w:autoRedefine/>
    <w:uiPriority w:val="39"/>
    <w:unhideWhenUsed/>
    <w:rsid w:val="00780C46"/>
    <w:pPr>
      <w:spacing w:after="100"/>
      <w:ind w:left="1100"/>
      <w:jc w:val="left"/>
    </w:pPr>
    <w:rPr>
      <w:rFonts w:ascii="Calibri" w:eastAsia="Times New Roman" w:hAnsi="Calibri"/>
      <w:sz w:val="22"/>
      <w:lang w:eastAsia="hr-HR"/>
    </w:rPr>
  </w:style>
  <w:style w:type="paragraph" w:styleId="TOC7">
    <w:name w:val="toc 7"/>
    <w:basedOn w:val="Normal"/>
    <w:next w:val="Normal"/>
    <w:autoRedefine/>
    <w:uiPriority w:val="39"/>
    <w:unhideWhenUsed/>
    <w:rsid w:val="00780C46"/>
    <w:pPr>
      <w:spacing w:after="100"/>
      <w:ind w:left="1320"/>
      <w:jc w:val="left"/>
    </w:pPr>
    <w:rPr>
      <w:rFonts w:ascii="Calibri" w:eastAsia="Times New Roman" w:hAnsi="Calibri"/>
      <w:sz w:val="22"/>
      <w:lang w:eastAsia="hr-HR"/>
    </w:rPr>
  </w:style>
  <w:style w:type="paragraph" w:styleId="TOC8">
    <w:name w:val="toc 8"/>
    <w:basedOn w:val="Normal"/>
    <w:next w:val="Normal"/>
    <w:autoRedefine/>
    <w:uiPriority w:val="39"/>
    <w:unhideWhenUsed/>
    <w:rsid w:val="00780C46"/>
    <w:pPr>
      <w:spacing w:after="100"/>
      <w:ind w:left="1540"/>
      <w:jc w:val="left"/>
    </w:pPr>
    <w:rPr>
      <w:rFonts w:ascii="Calibri" w:eastAsia="Times New Roman" w:hAnsi="Calibri"/>
      <w:sz w:val="22"/>
      <w:lang w:eastAsia="hr-HR"/>
    </w:rPr>
  </w:style>
  <w:style w:type="paragraph" w:styleId="TOC9">
    <w:name w:val="toc 9"/>
    <w:basedOn w:val="Normal"/>
    <w:next w:val="Normal"/>
    <w:autoRedefine/>
    <w:uiPriority w:val="39"/>
    <w:unhideWhenUsed/>
    <w:rsid w:val="00780C46"/>
    <w:pPr>
      <w:spacing w:after="100"/>
      <w:ind w:left="1760"/>
      <w:jc w:val="left"/>
    </w:pPr>
    <w:rPr>
      <w:rFonts w:ascii="Calibri" w:eastAsia="Times New Roman" w:hAnsi="Calibri"/>
      <w:sz w:val="22"/>
      <w:lang w:eastAsia="hr-HR"/>
    </w:rPr>
  </w:style>
  <w:style w:type="character" w:customStyle="1" w:styleId="apple-converted-space">
    <w:name w:val="apple-converted-space"/>
    <w:basedOn w:val="DefaultParagraphFont"/>
    <w:rsid w:val="00073E9E"/>
  </w:style>
  <w:style w:type="character" w:styleId="Emphasis">
    <w:name w:val="Emphasis"/>
    <w:uiPriority w:val="20"/>
    <w:qFormat/>
    <w:rsid w:val="00D94D25"/>
    <w:rPr>
      <w:i/>
      <w:iCs/>
    </w:rPr>
  </w:style>
  <w:style w:type="paragraph" w:styleId="TableofFigures">
    <w:name w:val="table of figures"/>
    <w:basedOn w:val="Caption"/>
    <w:next w:val="Caption"/>
    <w:uiPriority w:val="99"/>
    <w:unhideWhenUsed/>
    <w:rsid w:val="00D94D25"/>
  </w:style>
  <w:style w:type="paragraph" w:styleId="TOCHeading">
    <w:name w:val="TOC Heading"/>
    <w:basedOn w:val="Heading1"/>
    <w:next w:val="Normal"/>
    <w:uiPriority w:val="39"/>
    <w:qFormat/>
    <w:rsid w:val="00A466C5"/>
    <w:pPr>
      <w:spacing w:before="480" w:line="276" w:lineRule="auto"/>
      <w:jc w:val="left"/>
      <w:outlineLvl w:val="9"/>
    </w:pPr>
    <w:rPr>
      <w:rFonts w:ascii="Cambria" w:hAnsi="Cambria"/>
      <w:color w:val="365F91"/>
      <w:sz w:val="28"/>
      <w:szCs w:val="28"/>
    </w:rPr>
  </w:style>
  <w:style w:type="paragraph" w:customStyle="1" w:styleId="Tekstfusnote1">
    <w:name w:val="Tekst fusnote1"/>
    <w:basedOn w:val="Normal"/>
    <w:next w:val="FootnoteText"/>
    <w:uiPriority w:val="99"/>
    <w:unhideWhenUsed/>
    <w:rsid w:val="00355668"/>
    <w:pPr>
      <w:spacing w:line="240" w:lineRule="auto"/>
    </w:pPr>
    <w:rPr>
      <w:sz w:val="20"/>
      <w:szCs w:val="20"/>
      <w:lang w:eastAsia="hr-HR"/>
    </w:rPr>
  </w:style>
  <w:style w:type="paragraph" w:styleId="CommentSubject">
    <w:name w:val="annotation subject"/>
    <w:basedOn w:val="CommentText"/>
    <w:next w:val="CommentText"/>
    <w:link w:val="CommentSubjectChar"/>
    <w:uiPriority w:val="99"/>
    <w:semiHidden/>
    <w:unhideWhenUsed/>
    <w:rsid w:val="00463711"/>
    <w:pPr>
      <w:spacing w:after="0"/>
      <w:jc w:val="both"/>
    </w:pPr>
    <w:rPr>
      <w:rFonts w:ascii="Times New Roman" w:hAnsi="Times New Roman"/>
      <w:b/>
      <w:bCs/>
    </w:rPr>
  </w:style>
  <w:style w:type="character" w:customStyle="1" w:styleId="CommentSubjectChar">
    <w:name w:val="Comment Subject Char"/>
    <w:link w:val="CommentSubject"/>
    <w:uiPriority w:val="99"/>
    <w:semiHidden/>
    <w:rsid w:val="00463711"/>
    <w:rPr>
      <w:rFonts w:ascii="Times New Roman" w:hAnsi="Times New Roman"/>
      <w:b/>
      <w:bCs/>
      <w:sz w:val="20"/>
      <w:szCs w:val="20"/>
    </w:rPr>
  </w:style>
  <w:style w:type="paragraph" w:customStyle="1" w:styleId="xl70">
    <w:name w:val="xl70"/>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1">
    <w:name w:val="xl71"/>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2">
    <w:name w:val="xl72"/>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3">
    <w:name w:val="xl73"/>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4">
    <w:name w:val="xl74"/>
    <w:basedOn w:val="Normal"/>
    <w:rsid w:val="00F81C4C"/>
    <w:pP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5">
    <w:name w:val="xl75"/>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6">
    <w:name w:val="xl76"/>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7">
    <w:name w:val="xl77"/>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8">
    <w:name w:val="xl78"/>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9">
    <w:name w:val="xl79"/>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80">
    <w:name w:val="xl80"/>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1">
    <w:name w:val="xl8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2">
    <w:name w:val="xl82"/>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3">
    <w:name w:val="xl83"/>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4">
    <w:name w:val="xl84"/>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5">
    <w:name w:val="xl85"/>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6">
    <w:name w:val="xl86"/>
    <w:basedOn w:val="Normal"/>
    <w:rsid w:val="00F81C4C"/>
    <w:pPr>
      <w:pBdr>
        <w:bottom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7">
    <w:name w:val="xl87"/>
    <w:basedOn w:val="Normal"/>
    <w:rsid w:val="00F81C4C"/>
    <w:pPr>
      <w:pBdr>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8">
    <w:name w:val="xl88"/>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89">
    <w:name w:val="xl89"/>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90">
    <w:name w:val="xl90"/>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customStyle="1" w:styleId="xl91">
    <w:name w:val="xl9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styleId="NoSpacing">
    <w:name w:val="No Spacing"/>
    <w:link w:val="NoSpacingChar"/>
    <w:uiPriority w:val="1"/>
    <w:qFormat/>
    <w:rsid w:val="00F81C4C"/>
    <w:rPr>
      <w:sz w:val="22"/>
      <w:szCs w:val="22"/>
      <w:lang w:eastAsia="en-US"/>
    </w:rPr>
  </w:style>
  <w:style w:type="character" w:customStyle="1" w:styleId="hps">
    <w:name w:val="hps"/>
    <w:basedOn w:val="DefaultParagraphFont"/>
    <w:rsid w:val="00F81C4C"/>
  </w:style>
  <w:style w:type="paragraph" w:styleId="Revision">
    <w:name w:val="Revision"/>
    <w:hidden/>
    <w:uiPriority w:val="99"/>
    <w:semiHidden/>
    <w:rsid w:val="00F81C4C"/>
    <w:rPr>
      <w:rFonts w:ascii="Times New Roman" w:hAnsi="Times New Roman"/>
      <w:sz w:val="24"/>
      <w:szCs w:val="22"/>
      <w:lang w:eastAsia="en-US"/>
    </w:rPr>
  </w:style>
  <w:style w:type="table" w:styleId="TableGrid">
    <w:name w:val="Table Grid"/>
    <w:basedOn w:val="TableNormal"/>
    <w:uiPriority w:val="59"/>
    <w:rsid w:val="00EF48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TableNormal"/>
    <w:next w:val="TableGrid"/>
    <w:uiPriority w:val="59"/>
    <w:rsid w:val="0066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59"/>
    <w:rsid w:val="0073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73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59"/>
    <w:rsid w:val="00A2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8509FC"/>
    <w:pPr>
      <w:spacing w:line="240" w:lineRule="auto"/>
    </w:pPr>
    <w:rPr>
      <w:rFonts w:eastAsia="Times New Roman"/>
      <w:sz w:val="20"/>
      <w:szCs w:val="20"/>
      <w:lang w:eastAsia="hr-HR"/>
    </w:rPr>
  </w:style>
  <w:style w:type="character" w:customStyle="1" w:styleId="EndnoteTextChar">
    <w:name w:val="Endnote Text Char"/>
    <w:link w:val="EndnoteText"/>
    <w:uiPriority w:val="99"/>
    <w:rsid w:val="008509FC"/>
    <w:rPr>
      <w:rFonts w:ascii="Times New Roman" w:eastAsia="Times New Roman" w:hAnsi="Times New Roman" w:cs="Times New Roman"/>
      <w:sz w:val="20"/>
      <w:szCs w:val="20"/>
      <w:lang w:eastAsia="hr-HR"/>
    </w:rPr>
  </w:style>
  <w:style w:type="character" w:styleId="HTMLCite">
    <w:name w:val="HTML Cite"/>
    <w:uiPriority w:val="99"/>
    <w:semiHidden/>
    <w:unhideWhenUsed/>
    <w:rsid w:val="008509FC"/>
    <w:rPr>
      <w:i w:val="0"/>
      <w:iCs w:val="0"/>
      <w:color w:val="00802A"/>
    </w:rPr>
  </w:style>
  <w:style w:type="character" w:customStyle="1" w:styleId="meta-value">
    <w:name w:val="meta-value"/>
    <w:basedOn w:val="DefaultParagraphFont"/>
    <w:rsid w:val="008509FC"/>
  </w:style>
  <w:style w:type="character" w:customStyle="1" w:styleId="fqscharitalic1">
    <w:name w:val="fqscharitalic1"/>
    <w:rsid w:val="008509FC"/>
    <w:rPr>
      <w:i/>
      <w:iCs/>
    </w:rPr>
  </w:style>
  <w:style w:type="character" w:styleId="Strong">
    <w:name w:val="Strong"/>
    <w:uiPriority w:val="22"/>
    <w:qFormat/>
    <w:rsid w:val="008509FC"/>
    <w:rPr>
      <w:b/>
      <w:bCs/>
    </w:rPr>
  </w:style>
  <w:style w:type="character" w:customStyle="1" w:styleId="slug-pop-date">
    <w:name w:val="slug-pop-date"/>
    <w:basedOn w:val="DefaultParagraphFont"/>
    <w:rsid w:val="008509FC"/>
  </w:style>
  <w:style w:type="character" w:customStyle="1" w:styleId="pop-slug">
    <w:name w:val="pop-slug"/>
    <w:basedOn w:val="DefaultParagraphFont"/>
    <w:rsid w:val="008509FC"/>
  </w:style>
  <w:style w:type="numbering" w:customStyle="1" w:styleId="Bezpopisa1">
    <w:name w:val="Bez popisa1"/>
    <w:next w:val="NoList"/>
    <w:uiPriority w:val="99"/>
    <w:semiHidden/>
    <w:unhideWhenUsed/>
    <w:rsid w:val="008509FC"/>
  </w:style>
  <w:style w:type="numbering" w:customStyle="1" w:styleId="Bezpopisa11">
    <w:name w:val="Bez popisa11"/>
    <w:next w:val="NoList"/>
    <w:uiPriority w:val="99"/>
    <w:semiHidden/>
    <w:unhideWhenUsed/>
    <w:rsid w:val="008509FC"/>
  </w:style>
  <w:style w:type="character" w:styleId="FollowedHyperlink">
    <w:name w:val="FollowedHyperlink"/>
    <w:uiPriority w:val="99"/>
    <w:semiHidden/>
    <w:unhideWhenUsed/>
    <w:rsid w:val="008509FC"/>
    <w:rPr>
      <w:color w:val="800080"/>
      <w:u w:val="single"/>
    </w:rPr>
  </w:style>
  <w:style w:type="character" w:customStyle="1" w:styleId="addmd">
    <w:name w:val="addmd"/>
    <w:rsid w:val="008509FC"/>
  </w:style>
  <w:style w:type="character" w:customStyle="1" w:styleId="Heading5Char">
    <w:name w:val="Heading 5 Char"/>
    <w:link w:val="Heading5"/>
    <w:uiPriority w:val="9"/>
    <w:rsid w:val="007D0CFD"/>
    <w:rPr>
      <w:rFonts w:ascii="Times New Roman" w:eastAsia="Times New Roman" w:hAnsi="Times New Roman"/>
      <w:b/>
      <w:color w:val="548DD4" w:themeColor="text2" w:themeTint="99"/>
      <w:lang w:eastAsia="en-US"/>
    </w:rPr>
  </w:style>
  <w:style w:type="numbering" w:customStyle="1" w:styleId="Bezpopisa2">
    <w:name w:val="Bez popisa2"/>
    <w:next w:val="NoList"/>
    <w:uiPriority w:val="99"/>
    <w:semiHidden/>
    <w:unhideWhenUsed/>
    <w:rsid w:val="00190C36"/>
  </w:style>
  <w:style w:type="table" w:customStyle="1" w:styleId="Reetkatablice5">
    <w:name w:val="Rešetka tablice5"/>
    <w:basedOn w:val="TableNormal"/>
    <w:next w:val="TableGrid"/>
    <w:uiPriority w:val="59"/>
    <w:rsid w:val="00190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ngl">
    <w:name w:val="textengl"/>
    <w:basedOn w:val="Normal"/>
    <w:rsid w:val="00190C36"/>
    <w:pPr>
      <w:keepNext/>
      <w:spacing w:line="180" w:lineRule="atLeast"/>
    </w:pPr>
    <w:rPr>
      <w:rFonts w:ascii="Arial" w:eastAsia="Times New Roman" w:hAnsi="Arial" w:cs="Arial"/>
      <w:i/>
      <w:iCs/>
      <w:sz w:val="16"/>
      <w:szCs w:val="16"/>
      <w:lang w:eastAsia="hr-HR"/>
    </w:rPr>
  </w:style>
  <w:style w:type="character" w:customStyle="1" w:styleId="DocumentMapChar">
    <w:name w:val="Document Map Char"/>
    <w:link w:val="DocumentMap"/>
    <w:uiPriority w:val="99"/>
    <w:semiHidden/>
    <w:rsid w:val="00190C36"/>
    <w:rPr>
      <w:rFonts w:ascii="Tahoma" w:eastAsia="Calibri" w:hAnsi="Tahoma" w:cs="Tahoma"/>
      <w:sz w:val="16"/>
      <w:szCs w:val="16"/>
    </w:rPr>
  </w:style>
  <w:style w:type="paragraph" w:styleId="DocumentMap">
    <w:name w:val="Document Map"/>
    <w:basedOn w:val="Normal"/>
    <w:link w:val="DocumentMapChar"/>
    <w:uiPriority w:val="99"/>
    <w:semiHidden/>
    <w:unhideWhenUsed/>
    <w:rsid w:val="00190C36"/>
    <w:pPr>
      <w:spacing w:after="200"/>
      <w:jc w:val="left"/>
    </w:pPr>
    <w:rPr>
      <w:rFonts w:ascii="Tahoma" w:hAnsi="Tahoma"/>
      <w:sz w:val="16"/>
      <w:szCs w:val="16"/>
    </w:rPr>
  </w:style>
  <w:style w:type="character" w:customStyle="1" w:styleId="KartadokumentaChar1">
    <w:name w:val="Karta dokumenta Char1"/>
    <w:uiPriority w:val="99"/>
    <w:semiHidden/>
    <w:rsid w:val="00190C36"/>
    <w:rPr>
      <w:rFonts w:ascii="Tahoma" w:hAnsi="Tahoma" w:cs="Tahoma"/>
      <w:sz w:val="16"/>
      <w:szCs w:val="16"/>
    </w:rPr>
  </w:style>
  <w:style w:type="numbering" w:customStyle="1" w:styleId="Bezpopisa12">
    <w:name w:val="Bez popisa12"/>
    <w:next w:val="NoList"/>
    <w:uiPriority w:val="99"/>
    <w:semiHidden/>
    <w:unhideWhenUsed/>
    <w:rsid w:val="00190C36"/>
  </w:style>
  <w:style w:type="table" w:customStyle="1" w:styleId="Reetkatablice11">
    <w:name w:val="Rešetka tablice11"/>
    <w:basedOn w:val="TableNormal"/>
    <w:next w:val="TableGrid"/>
    <w:uiPriority w:val="59"/>
    <w:rsid w:val="00190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0C36"/>
    <w:pPr>
      <w:spacing w:before="100" w:beforeAutospacing="1" w:after="100" w:afterAutospacing="1" w:line="240" w:lineRule="auto"/>
      <w:jc w:val="left"/>
    </w:pPr>
    <w:rPr>
      <w:rFonts w:eastAsia="Times New Roman"/>
      <w:szCs w:val="24"/>
      <w:lang w:eastAsia="hr-HR"/>
    </w:rPr>
  </w:style>
  <w:style w:type="character" w:styleId="PlaceholderText">
    <w:name w:val="Placeholder Text"/>
    <w:uiPriority w:val="99"/>
    <w:semiHidden/>
    <w:rsid w:val="00190C36"/>
    <w:rPr>
      <w:color w:val="808080"/>
    </w:rPr>
  </w:style>
  <w:style w:type="paragraph" w:styleId="Subtitle">
    <w:name w:val="Subtitle"/>
    <w:basedOn w:val="Normal"/>
    <w:next w:val="Normal"/>
    <w:link w:val="SubtitleChar"/>
    <w:uiPriority w:val="11"/>
    <w:qFormat/>
    <w:rsid w:val="00755B73"/>
    <w:pPr>
      <w:numPr>
        <w:ilvl w:val="1"/>
      </w:numPr>
      <w:spacing w:after="120" w:line="240" w:lineRule="auto"/>
      <w:jc w:val="left"/>
    </w:pPr>
    <w:rPr>
      <w:rFonts w:eastAsia="Times New Roman"/>
      <w:b/>
      <w:iCs/>
      <w:color w:val="4F81BD"/>
      <w:sz w:val="20"/>
      <w:szCs w:val="24"/>
      <w:lang w:val="en-GB"/>
    </w:rPr>
  </w:style>
  <w:style w:type="character" w:customStyle="1" w:styleId="SubtitleChar">
    <w:name w:val="Subtitle Char"/>
    <w:link w:val="Subtitle"/>
    <w:uiPriority w:val="11"/>
    <w:rsid w:val="00755B73"/>
    <w:rPr>
      <w:rFonts w:ascii="Times New Roman" w:eastAsia="Times New Roman" w:hAnsi="Times New Roman" w:cs="Times New Roman"/>
      <w:b/>
      <w:iCs/>
      <w:color w:val="4F81BD"/>
      <w:sz w:val="20"/>
      <w:szCs w:val="24"/>
      <w:lang w:val="en-GB"/>
    </w:rPr>
  </w:style>
  <w:style w:type="character" w:styleId="IntenseEmphasis">
    <w:name w:val="Intense Emphasis"/>
    <w:uiPriority w:val="21"/>
    <w:qFormat/>
    <w:rsid w:val="0050036B"/>
    <w:rPr>
      <w:rFonts w:ascii="Times New Roman" w:hAnsi="Times New Roman"/>
      <w:b/>
      <w:bCs/>
      <w:iCs/>
      <w:color w:val="4F81BD"/>
      <w:sz w:val="18"/>
    </w:rPr>
  </w:style>
  <w:style w:type="character" w:customStyle="1" w:styleId="DocumentMapChar1">
    <w:name w:val="Document Map Char1"/>
    <w:uiPriority w:val="99"/>
    <w:semiHidden/>
    <w:rsid w:val="00D0360D"/>
    <w:rPr>
      <w:rFonts w:ascii="Tahoma" w:hAnsi="Tahoma" w:cs="Tahoma"/>
      <w:sz w:val="16"/>
      <w:szCs w:val="16"/>
    </w:rPr>
  </w:style>
  <w:style w:type="table" w:styleId="LightShading-Accent3">
    <w:name w:val="Light Shading Accent 3"/>
    <w:basedOn w:val="TableNormal"/>
    <w:uiPriority w:val="60"/>
    <w:rsid w:val="00DA248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6">
    <w:name w:val="Light Grid Accent 6"/>
    <w:basedOn w:val="TableNormal"/>
    <w:uiPriority w:val="62"/>
    <w:rsid w:val="00DA248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vijetlipopis">
    <w:name w:val="Svijetli popis"/>
    <w:basedOn w:val="TableNormal"/>
    <w:uiPriority w:val="61"/>
    <w:rsid w:val="0001570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CF2BA4"/>
    <w:pPr>
      <w:spacing w:line="240" w:lineRule="auto"/>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F2BA4"/>
    <w:rPr>
      <w:rFonts w:ascii="Consolas" w:eastAsia="Calibri" w:hAnsi="Consolas" w:cs="Times New Roman"/>
      <w:sz w:val="21"/>
      <w:szCs w:val="21"/>
      <w:lang w:eastAsia="en-US"/>
    </w:rPr>
  </w:style>
  <w:style w:type="character" w:customStyle="1" w:styleId="NoSpacingChar">
    <w:name w:val="No Spacing Char"/>
    <w:basedOn w:val="DefaultParagraphFont"/>
    <w:link w:val="NoSpacing"/>
    <w:uiPriority w:val="1"/>
    <w:rsid w:val="00AD205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1DC0"/>
    <w:pPr>
      <w:spacing w:line="276"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30FC6"/>
    <w:pPr>
      <w:keepNext/>
      <w:keepLines/>
      <w:spacing w:line="240" w:lineRule="auto"/>
      <w:outlineLvl w:val="0"/>
    </w:pPr>
    <w:rPr>
      <w:rFonts w:eastAsia="Times New Roman"/>
      <w:b/>
      <w:bCs/>
      <w:sz w:val="32"/>
      <w:szCs w:val="32"/>
      <w:lang w:val="en-GB" w:eastAsia="hr-HR"/>
    </w:rPr>
  </w:style>
  <w:style w:type="paragraph" w:styleId="Heading2">
    <w:name w:val="heading 2"/>
    <w:basedOn w:val="Normal"/>
    <w:next w:val="Normal"/>
    <w:link w:val="Heading2Char"/>
    <w:autoRedefine/>
    <w:uiPriority w:val="9"/>
    <w:qFormat/>
    <w:rsid w:val="00F81C4C"/>
    <w:pPr>
      <w:keepNext/>
      <w:keepLines/>
      <w:pBdr>
        <w:bottom w:val="single" w:sz="12" w:space="1" w:color="auto"/>
      </w:pBdr>
      <w:spacing w:line="240" w:lineRule="auto"/>
      <w:outlineLvl w:val="1"/>
    </w:pPr>
    <w:rPr>
      <w:rFonts w:eastAsia="Times New Roman"/>
      <w:b/>
      <w:bCs/>
      <w:szCs w:val="26"/>
      <w:lang w:eastAsia="hr-HR"/>
    </w:rPr>
  </w:style>
  <w:style w:type="paragraph" w:styleId="Heading3">
    <w:name w:val="heading 3"/>
    <w:basedOn w:val="Normal"/>
    <w:next w:val="Normal"/>
    <w:link w:val="Heading3Char"/>
    <w:uiPriority w:val="9"/>
    <w:qFormat/>
    <w:rsid w:val="00721516"/>
    <w:pPr>
      <w:keepNext/>
      <w:keepLines/>
      <w:spacing w:after="120"/>
      <w:outlineLvl w:val="2"/>
    </w:pPr>
    <w:rPr>
      <w:rFonts w:eastAsia="Times New Roman"/>
      <w:b/>
      <w:bCs/>
      <w:color w:val="365F91"/>
      <w:szCs w:val="20"/>
    </w:rPr>
  </w:style>
  <w:style w:type="paragraph" w:styleId="Heading4">
    <w:name w:val="heading 4"/>
    <w:basedOn w:val="Normal"/>
    <w:next w:val="Normal"/>
    <w:link w:val="Heading4Char"/>
    <w:uiPriority w:val="9"/>
    <w:qFormat/>
    <w:rsid w:val="00721516"/>
    <w:pPr>
      <w:keepNext/>
      <w:keepLines/>
      <w:spacing w:after="120"/>
      <w:outlineLvl w:val="3"/>
    </w:pPr>
    <w:rPr>
      <w:rFonts w:eastAsia="Times New Roman"/>
      <w:b/>
      <w:bCs/>
      <w:iCs/>
      <w:color w:val="4F81BD"/>
      <w:sz w:val="20"/>
      <w:szCs w:val="20"/>
    </w:rPr>
  </w:style>
  <w:style w:type="paragraph" w:styleId="Heading5">
    <w:name w:val="heading 5"/>
    <w:basedOn w:val="Normal"/>
    <w:next w:val="Normal"/>
    <w:link w:val="Heading5Char"/>
    <w:autoRedefine/>
    <w:uiPriority w:val="9"/>
    <w:qFormat/>
    <w:rsid w:val="007D0CFD"/>
    <w:pPr>
      <w:keepNext/>
      <w:keepLines/>
      <w:spacing w:before="200" w:line="240" w:lineRule="auto"/>
      <w:outlineLvl w:val="4"/>
    </w:pPr>
    <w:rPr>
      <w:rFonts w:eastAsia="Times New Roman"/>
      <w:b/>
      <w:color w:val="548DD4" w:themeColor="text2" w:themeTint="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FC6"/>
    <w:rPr>
      <w:rFonts w:ascii="Times New Roman" w:eastAsia="Times New Roman" w:hAnsi="Times New Roman" w:cs="Times New Roman"/>
      <w:b/>
      <w:bCs/>
      <w:sz w:val="32"/>
      <w:szCs w:val="32"/>
      <w:lang w:val="en-GB" w:eastAsia="hr-HR"/>
    </w:rPr>
  </w:style>
  <w:style w:type="character" w:customStyle="1" w:styleId="Heading2Char">
    <w:name w:val="Heading 2 Char"/>
    <w:link w:val="Heading2"/>
    <w:uiPriority w:val="9"/>
    <w:rsid w:val="00F81C4C"/>
    <w:rPr>
      <w:rFonts w:ascii="Times New Roman" w:eastAsia="Times New Roman" w:hAnsi="Times New Roman" w:cs="Times New Roman"/>
      <w:b/>
      <w:bCs/>
      <w:sz w:val="24"/>
      <w:szCs w:val="26"/>
      <w:lang w:eastAsia="hr-HR"/>
    </w:rPr>
  </w:style>
  <w:style w:type="character" w:customStyle="1" w:styleId="Heading3Char">
    <w:name w:val="Heading 3 Char"/>
    <w:link w:val="Heading3"/>
    <w:uiPriority w:val="9"/>
    <w:rsid w:val="00721516"/>
    <w:rPr>
      <w:rFonts w:ascii="Times New Roman" w:eastAsia="Times New Roman" w:hAnsi="Times New Roman" w:cs="Times New Roman"/>
      <w:b/>
      <w:bCs/>
      <w:color w:val="365F91"/>
      <w:sz w:val="24"/>
    </w:rPr>
  </w:style>
  <w:style w:type="character" w:customStyle="1" w:styleId="Heading4Char">
    <w:name w:val="Heading 4 Char"/>
    <w:link w:val="Heading4"/>
    <w:uiPriority w:val="9"/>
    <w:rsid w:val="00721516"/>
    <w:rPr>
      <w:rFonts w:ascii="Times New Roman" w:eastAsia="Times New Roman" w:hAnsi="Times New Roman" w:cs="Times New Roman"/>
      <w:b/>
      <w:bCs/>
      <w:iCs/>
      <w:color w:val="4F81BD"/>
    </w:rPr>
  </w:style>
  <w:style w:type="paragraph" w:customStyle="1" w:styleId="Style1">
    <w:name w:val="Style1"/>
    <w:link w:val="Style1Char"/>
    <w:qFormat/>
    <w:rsid w:val="00122813"/>
    <w:pPr>
      <w:keepNext/>
      <w:keepLines/>
      <w:spacing w:line="276" w:lineRule="auto"/>
      <w:outlineLvl w:val="2"/>
    </w:pPr>
    <w:rPr>
      <w:rFonts w:ascii="Times New Roman" w:eastAsia="Times New Roman" w:hAnsi="Times New Roman"/>
      <w:b/>
      <w:bCs/>
      <w:i/>
      <w:smallCaps/>
      <w:color w:val="365F91"/>
      <w:sz w:val="24"/>
      <w:lang w:bidi="en-US"/>
    </w:rPr>
  </w:style>
  <w:style w:type="character" w:customStyle="1" w:styleId="Style1Char">
    <w:name w:val="Style1 Char"/>
    <w:link w:val="Style1"/>
    <w:rsid w:val="00122813"/>
    <w:rPr>
      <w:rFonts w:ascii="Times New Roman" w:eastAsia="Times New Roman" w:hAnsi="Times New Roman"/>
      <w:b/>
      <w:bCs/>
      <w:i/>
      <w:smallCaps/>
      <w:color w:val="365F91"/>
      <w:sz w:val="24"/>
      <w:lang w:bidi="en-US"/>
    </w:rPr>
  </w:style>
  <w:style w:type="paragraph" w:styleId="Header">
    <w:name w:val="header"/>
    <w:basedOn w:val="Normal"/>
    <w:link w:val="HeaderChar"/>
    <w:uiPriority w:val="99"/>
    <w:unhideWhenUsed/>
    <w:rsid w:val="00DA01AE"/>
    <w:pPr>
      <w:tabs>
        <w:tab w:val="center" w:pos="4536"/>
        <w:tab w:val="right" w:pos="9072"/>
      </w:tabs>
      <w:spacing w:line="240" w:lineRule="auto"/>
    </w:pPr>
    <w:rPr>
      <w:szCs w:val="20"/>
    </w:rPr>
  </w:style>
  <w:style w:type="character" w:customStyle="1" w:styleId="HeaderChar">
    <w:name w:val="Header Char"/>
    <w:link w:val="Header"/>
    <w:uiPriority w:val="99"/>
    <w:rsid w:val="00DA01AE"/>
    <w:rPr>
      <w:rFonts w:ascii="Times New Roman" w:hAnsi="Times New Roman"/>
      <w:sz w:val="24"/>
    </w:rPr>
  </w:style>
  <w:style w:type="paragraph" w:styleId="FootnoteText">
    <w:name w:val="footnote text"/>
    <w:basedOn w:val="Normal"/>
    <w:link w:val="FootnoteTextChar"/>
    <w:uiPriority w:val="99"/>
    <w:unhideWhenUsed/>
    <w:rsid w:val="00122813"/>
    <w:pPr>
      <w:spacing w:line="240" w:lineRule="auto"/>
      <w:jc w:val="left"/>
    </w:pPr>
    <w:rPr>
      <w:sz w:val="20"/>
      <w:szCs w:val="20"/>
    </w:rPr>
  </w:style>
  <w:style w:type="character" w:customStyle="1" w:styleId="FootnoteTextChar">
    <w:name w:val="Footnote Text Char"/>
    <w:link w:val="FootnoteText"/>
    <w:uiPriority w:val="99"/>
    <w:rsid w:val="00122813"/>
    <w:rPr>
      <w:rFonts w:ascii="Times New Roman" w:hAnsi="Times New Roman"/>
      <w:sz w:val="20"/>
      <w:szCs w:val="20"/>
    </w:rPr>
  </w:style>
  <w:style w:type="character" w:styleId="FootnoteReference">
    <w:name w:val="footnote reference"/>
    <w:unhideWhenUsed/>
    <w:rsid w:val="00122813"/>
    <w:rPr>
      <w:vertAlign w:val="superscript"/>
    </w:rPr>
  </w:style>
  <w:style w:type="paragraph" w:styleId="Footer">
    <w:name w:val="footer"/>
    <w:basedOn w:val="Normal"/>
    <w:link w:val="FooterChar"/>
    <w:uiPriority w:val="99"/>
    <w:unhideWhenUsed/>
    <w:rsid w:val="0022162C"/>
    <w:pPr>
      <w:tabs>
        <w:tab w:val="center" w:pos="4536"/>
        <w:tab w:val="right" w:pos="9072"/>
      </w:tabs>
      <w:spacing w:line="240" w:lineRule="auto"/>
    </w:pPr>
    <w:rPr>
      <w:szCs w:val="20"/>
    </w:rPr>
  </w:style>
  <w:style w:type="character" w:customStyle="1" w:styleId="FooterChar">
    <w:name w:val="Footer Char"/>
    <w:link w:val="Footer"/>
    <w:uiPriority w:val="99"/>
    <w:rsid w:val="0022162C"/>
    <w:rPr>
      <w:rFonts w:ascii="Times New Roman" w:hAnsi="Times New Roman"/>
      <w:sz w:val="24"/>
    </w:rPr>
  </w:style>
  <w:style w:type="character" w:styleId="Hyperlink">
    <w:name w:val="Hyperlink"/>
    <w:uiPriority w:val="99"/>
    <w:unhideWhenUsed/>
    <w:rsid w:val="0060559A"/>
    <w:rPr>
      <w:color w:val="0000FF"/>
      <w:u w:val="single"/>
    </w:rPr>
  </w:style>
  <w:style w:type="paragraph" w:styleId="TOC1">
    <w:name w:val="toc 1"/>
    <w:basedOn w:val="Normal"/>
    <w:next w:val="Normal"/>
    <w:autoRedefine/>
    <w:uiPriority w:val="39"/>
    <w:unhideWhenUsed/>
    <w:rsid w:val="00C27E82"/>
    <w:pPr>
      <w:tabs>
        <w:tab w:val="right" w:leader="dot" w:pos="9062"/>
      </w:tabs>
      <w:spacing w:line="240" w:lineRule="auto"/>
    </w:pPr>
    <w:rPr>
      <w:b/>
      <w:noProof/>
    </w:rPr>
  </w:style>
  <w:style w:type="paragraph" w:styleId="TOC2">
    <w:name w:val="toc 2"/>
    <w:basedOn w:val="Normal"/>
    <w:next w:val="Normal"/>
    <w:autoRedefine/>
    <w:uiPriority w:val="39"/>
    <w:unhideWhenUsed/>
    <w:rsid w:val="00D90748"/>
    <w:pPr>
      <w:tabs>
        <w:tab w:val="right" w:leader="dot" w:pos="9062"/>
      </w:tabs>
      <w:ind w:left="238"/>
    </w:pPr>
    <w:rPr>
      <w:noProof/>
    </w:rPr>
  </w:style>
  <w:style w:type="paragraph" w:styleId="TOC3">
    <w:name w:val="toc 3"/>
    <w:basedOn w:val="Normal"/>
    <w:next w:val="Normal"/>
    <w:autoRedefine/>
    <w:uiPriority w:val="39"/>
    <w:unhideWhenUsed/>
    <w:rsid w:val="00D90748"/>
    <w:pPr>
      <w:tabs>
        <w:tab w:val="right" w:leader="dot" w:pos="9062"/>
      </w:tabs>
      <w:ind w:left="482"/>
    </w:pPr>
  </w:style>
  <w:style w:type="paragraph" w:styleId="Title">
    <w:name w:val="Title"/>
    <w:basedOn w:val="Normal"/>
    <w:next w:val="Normal"/>
    <w:link w:val="TitleChar"/>
    <w:uiPriority w:val="10"/>
    <w:qFormat/>
    <w:rsid w:val="00761C3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61C37"/>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079E7"/>
    <w:pPr>
      <w:spacing w:after="200"/>
      <w:ind w:left="720"/>
      <w:contextualSpacing/>
      <w:jc w:val="left"/>
    </w:pPr>
    <w:rPr>
      <w:rFonts w:ascii="Calibri" w:hAnsi="Calibri"/>
      <w:sz w:val="22"/>
    </w:rPr>
  </w:style>
  <w:style w:type="paragraph" w:styleId="BalloonText">
    <w:name w:val="Balloon Text"/>
    <w:basedOn w:val="Normal"/>
    <w:link w:val="BalloonTextChar"/>
    <w:uiPriority w:val="99"/>
    <w:semiHidden/>
    <w:unhideWhenUsed/>
    <w:rsid w:val="001079E7"/>
    <w:pPr>
      <w:spacing w:line="240" w:lineRule="auto"/>
    </w:pPr>
    <w:rPr>
      <w:rFonts w:ascii="Tahoma" w:hAnsi="Tahoma"/>
      <w:sz w:val="16"/>
      <w:szCs w:val="16"/>
    </w:rPr>
  </w:style>
  <w:style w:type="character" w:customStyle="1" w:styleId="BalloonTextChar">
    <w:name w:val="Balloon Text Char"/>
    <w:link w:val="BalloonText"/>
    <w:uiPriority w:val="99"/>
    <w:semiHidden/>
    <w:rsid w:val="001079E7"/>
    <w:rPr>
      <w:rFonts w:ascii="Tahoma" w:hAnsi="Tahoma" w:cs="Tahoma"/>
      <w:sz w:val="16"/>
      <w:szCs w:val="16"/>
    </w:rPr>
  </w:style>
  <w:style w:type="paragraph" w:customStyle="1" w:styleId="Default">
    <w:name w:val="Default"/>
    <w:uiPriority w:val="99"/>
    <w:rsid w:val="007F01A8"/>
    <w:pPr>
      <w:autoSpaceDE w:val="0"/>
      <w:autoSpaceDN w:val="0"/>
      <w:adjustRightInd w:val="0"/>
    </w:pPr>
    <w:rPr>
      <w:rFonts w:ascii="JDEEG G+ Arial MT" w:hAnsi="JDEEG G+ Arial MT" w:cs="JDEEG G+ Arial MT"/>
      <w:color w:val="000000"/>
      <w:sz w:val="24"/>
      <w:szCs w:val="24"/>
      <w:lang w:eastAsia="en-US"/>
    </w:rPr>
  </w:style>
  <w:style w:type="paragraph" w:styleId="Caption">
    <w:name w:val="caption"/>
    <w:basedOn w:val="Normal"/>
    <w:next w:val="Normal"/>
    <w:qFormat/>
    <w:rsid w:val="00A23CB5"/>
    <w:pPr>
      <w:spacing w:after="120" w:line="240" w:lineRule="auto"/>
      <w:jc w:val="left"/>
    </w:pPr>
    <w:rPr>
      <w:rFonts w:eastAsia="Times New Roman"/>
      <w:b/>
      <w:bCs/>
      <w:color w:val="4F81BD"/>
      <w:sz w:val="18"/>
      <w:szCs w:val="18"/>
      <w:lang w:eastAsia="hr-HR"/>
    </w:rPr>
  </w:style>
  <w:style w:type="character" w:styleId="CommentReference">
    <w:name w:val="annotation reference"/>
    <w:uiPriority w:val="99"/>
    <w:semiHidden/>
    <w:unhideWhenUsed/>
    <w:rsid w:val="000F7C4B"/>
    <w:rPr>
      <w:sz w:val="16"/>
      <w:szCs w:val="16"/>
    </w:rPr>
  </w:style>
  <w:style w:type="paragraph" w:styleId="CommentText">
    <w:name w:val="annotation text"/>
    <w:basedOn w:val="Normal"/>
    <w:link w:val="CommentTextChar"/>
    <w:uiPriority w:val="99"/>
    <w:semiHidden/>
    <w:unhideWhenUsed/>
    <w:rsid w:val="000F7C4B"/>
    <w:pPr>
      <w:spacing w:after="200" w:line="240" w:lineRule="auto"/>
      <w:jc w:val="left"/>
    </w:pPr>
    <w:rPr>
      <w:rFonts w:ascii="Calibri" w:hAnsi="Calibri"/>
      <w:sz w:val="20"/>
      <w:szCs w:val="20"/>
    </w:rPr>
  </w:style>
  <w:style w:type="character" w:customStyle="1" w:styleId="CommentTextChar">
    <w:name w:val="Comment Text Char"/>
    <w:link w:val="CommentText"/>
    <w:uiPriority w:val="99"/>
    <w:semiHidden/>
    <w:rsid w:val="000F7C4B"/>
    <w:rPr>
      <w:sz w:val="20"/>
      <w:szCs w:val="20"/>
    </w:rPr>
  </w:style>
  <w:style w:type="paragraph" w:styleId="TOC4">
    <w:name w:val="toc 4"/>
    <w:basedOn w:val="Normal"/>
    <w:next w:val="Normal"/>
    <w:autoRedefine/>
    <w:uiPriority w:val="39"/>
    <w:unhideWhenUsed/>
    <w:rsid w:val="00497551"/>
    <w:pPr>
      <w:tabs>
        <w:tab w:val="right" w:leader="dot" w:pos="9062"/>
      </w:tabs>
      <w:spacing w:line="240" w:lineRule="auto"/>
      <w:ind w:left="660"/>
      <w:jc w:val="left"/>
    </w:pPr>
    <w:rPr>
      <w:rFonts w:ascii="Calibri" w:eastAsia="Times New Roman" w:hAnsi="Calibri"/>
      <w:sz w:val="22"/>
      <w:lang w:eastAsia="hr-HR"/>
    </w:rPr>
  </w:style>
  <w:style w:type="paragraph" w:styleId="TOC5">
    <w:name w:val="toc 5"/>
    <w:basedOn w:val="Normal"/>
    <w:next w:val="Normal"/>
    <w:autoRedefine/>
    <w:uiPriority w:val="39"/>
    <w:unhideWhenUsed/>
    <w:rsid w:val="00780C46"/>
    <w:pPr>
      <w:spacing w:after="100"/>
      <w:ind w:left="880"/>
      <w:jc w:val="left"/>
    </w:pPr>
    <w:rPr>
      <w:rFonts w:ascii="Calibri" w:eastAsia="Times New Roman" w:hAnsi="Calibri"/>
      <w:sz w:val="22"/>
      <w:lang w:eastAsia="hr-HR"/>
    </w:rPr>
  </w:style>
  <w:style w:type="paragraph" w:styleId="TOC6">
    <w:name w:val="toc 6"/>
    <w:basedOn w:val="Normal"/>
    <w:next w:val="Normal"/>
    <w:autoRedefine/>
    <w:uiPriority w:val="39"/>
    <w:unhideWhenUsed/>
    <w:rsid w:val="00780C46"/>
    <w:pPr>
      <w:spacing w:after="100"/>
      <w:ind w:left="1100"/>
      <w:jc w:val="left"/>
    </w:pPr>
    <w:rPr>
      <w:rFonts w:ascii="Calibri" w:eastAsia="Times New Roman" w:hAnsi="Calibri"/>
      <w:sz w:val="22"/>
      <w:lang w:eastAsia="hr-HR"/>
    </w:rPr>
  </w:style>
  <w:style w:type="paragraph" w:styleId="TOC7">
    <w:name w:val="toc 7"/>
    <w:basedOn w:val="Normal"/>
    <w:next w:val="Normal"/>
    <w:autoRedefine/>
    <w:uiPriority w:val="39"/>
    <w:unhideWhenUsed/>
    <w:rsid w:val="00780C46"/>
    <w:pPr>
      <w:spacing w:after="100"/>
      <w:ind w:left="1320"/>
      <w:jc w:val="left"/>
    </w:pPr>
    <w:rPr>
      <w:rFonts w:ascii="Calibri" w:eastAsia="Times New Roman" w:hAnsi="Calibri"/>
      <w:sz w:val="22"/>
      <w:lang w:eastAsia="hr-HR"/>
    </w:rPr>
  </w:style>
  <w:style w:type="paragraph" w:styleId="TOC8">
    <w:name w:val="toc 8"/>
    <w:basedOn w:val="Normal"/>
    <w:next w:val="Normal"/>
    <w:autoRedefine/>
    <w:uiPriority w:val="39"/>
    <w:unhideWhenUsed/>
    <w:rsid w:val="00780C46"/>
    <w:pPr>
      <w:spacing w:after="100"/>
      <w:ind w:left="1540"/>
      <w:jc w:val="left"/>
    </w:pPr>
    <w:rPr>
      <w:rFonts w:ascii="Calibri" w:eastAsia="Times New Roman" w:hAnsi="Calibri"/>
      <w:sz w:val="22"/>
      <w:lang w:eastAsia="hr-HR"/>
    </w:rPr>
  </w:style>
  <w:style w:type="paragraph" w:styleId="TOC9">
    <w:name w:val="toc 9"/>
    <w:basedOn w:val="Normal"/>
    <w:next w:val="Normal"/>
    <w:autoRedefine/>
    <w:uiPriority w:val="39"/>
    <w:unhideWhenUsed/>
    <w:rsid w:val="00780C46"/>
    <w:pPr>
      <w:spacing w:after="100"/>
      <w:ind w:left="1760"/>
      <w:jc w:val="left"/>
    </w:pPr>
    <w:rPr>
      <w:rFonts w:ascii="Calibri" w:eastAsia="Times New Roman" w:hAnsi="Calibri"/>
      <w:sz w:val="22"/>
      <w:lang w:eastAsia="hr-HR"/>
    </w:rPr>
  </w:style>
  <w:style w:type="character" w:customStyle="1" w:styleId="apple-converted-space">
    <w:name w:val="apple-converted-space"/>
    <w:basedOn w:val="DefaultParagraphFont"/>
    <w:rsid w:val="00073E9E"/>
  </w:style>
  <w:style w:type="character" w:styleId="Emphasis">
    <w:name w:val="Emphasis"/>
    <w:uiPriority w:val="20"/>
    <w:qFormat/>
    <w:rsid w:val="00D94D25"/>
    <w:rPr>
      <w:i/>
      <w:iCs/>
    </w:rPr>
  </w:style>
  <w:style w:type="paragraph" w:styleId="TableofFigures">
    <w:name w:val="table of figures"/>
    <w:basedOn w:val="Caption"/>
    <w:next w:val="Caption"/>
    <w:uiPriority w:val="99"/>
    <w:unhideWhenUsed/>
    <w:rsid w:val="00D94D25"/>
  </w:style>
  <w:style w:type="paragraph" w:styleId="TOCHeading">
    <w:name w:val="TOC Heading"/>
    <w:basedOn w:val="Heading1"/>
    <w:next w:val="Normal"/>
    <w:uiPriority w:val="39"/>
    <w:qFormat/>
    <w:rsid w:val="00A466C5"/>
    <w:pPr>
      <w:spacing w:before="480" w:line="276" w:lineRule="auto"/>
      <w:jc w:val="left"/>
      <w:outlineLvl w:val="9"/>
    </w:pPr>
    <w:rPr>
      <w:rFonts w:ascii="Cambria" w:hAnsi="Cambria"/>
      <w:color w:val="365F91"/>
      <w:sz w:val="28"/>
      <w:szCs w:val="28"/>
    </w:rPr>
  </w:style>
  <w:style w:type="paragraph" w:customStyle="1" w:styleId="Tekstfusnote1">
    <w:name w:val="Tekst fusnote1"/>
    <w:basedOn w:val="Normal"/>
    <w:next w:val="FootnoteText"/>
    <w:uiPriority w:val="99"/>
    <w:unhideWhenUsed/>
    <w:rsid w:val="00355668"/>
    <w:pPr>
      <w:spacing w:line="240" w:lineRule="auto"/>
    </w:pPr>
    <w:rPr>
      <w:sz w:val="20"/>
      <w:szCs w:val="20"/>
      <w:lang w:eastAsia="hr-HR"/>
    </w:rPr>
  </w:style>
  <w:style w:type="paragraph" w:styleId="CommentSubject">
    <w:name w:val="annotation subject"/>
    <w:basedOn w:val="CommentText"/>
    <w:next w:val="CommentText"/>
    <w:link w:val="CommentSubjectChar"/>
    <w:uiPriority w:val="99"/>
    <w:semiHidden/>
    <w:unhideWhenUsed/>
    <w:rsid w:val="00463711"/>
    <w:pPr>
      <w:spacing w:after="0"/>
      <w:jc w:val="both"/>
    </w:pPr>
    <w:rPr>
      <w:rFonts w:ascii="Times New Roman" w:hAnsi="Times New Roman"/>
      <w:b/>
      <w:bCs/>
    </w:rPr>
  </w:style>
  <w:style w:type="character" w:customStyle="1" w:styleId="CommentSubjectChar">
    <w:name w:val="Comment Subject Char"/>
    <w:link w:val="CommentSubject"/>
    <w:uiPriority w:val="99"/>
    <w:semiHidden/>
    <w:rsid w:val="00463711"/>
    <w:rPr>
      <w:rFonts w:ascii="Times New Roman" w:hAnsi="Times New Roman"/>
      <w:b/>
      <w:bCs/>
      <w:sz w:val="20"/>
      <w:szCs w:val="20"/>
    </w:rPr>
  </w:style>
  <w:style w:type="paragraph" w:customStyle="1" w:styleId="xl70">
    <w:name w:val="xl70"/>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1">
    <w:name w:val="xl71"/>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2">
    <w:name w:val="xl72"/>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3">
    <w:name w:val="xl73"/>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4">
    <w:name w:val="xl74"/>
    <w:basedOn w:val="Normal"/>
    <w:rsid w:val="00F81C4C"/>
    <w:pP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5">
    <w:name w:val="xl75"/>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6">
    <w:name w:val="xl76"/>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7">
    <w:name w:val="xl77"/>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8">
    <w:name w:val="xl78"/>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9">
    <w:name w:val="xl79"/>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80">
    <w:name w:val="xl80"/>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1">
    <w:name w:val="xl8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2">
    <w:name w:val="xl82"/>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3">
    <w:name w:val="xl83"/>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4">
    <w:name w:val="xl84"/>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5">
    <w:name w:val="xl85"/>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6">
    <w:name w:val="xl86"/>
    <w:basedOn w:val="Normal"/>
    <w:rsid w:val="00F81C4C"/>
    <w:pPr>
      <w:pBdr>
        <w:bottom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7">
    <w:name w:val="xl87"/>
    <w:basedOn w:val="Normal"/>
    <w:rsid w:val="00F81C4C"/>
    <w:pPr>
      <w:pBdr>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8">
    <w:name w:val="xl88"/>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89">
    <w:name w:val="xl89"/>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90">
    <w:name w:val="xl90"/>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customStyle="1" w:styleId="xl91">
    <w:name w:val="xl9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styleId="NoSpacing">
    <w:name w:val="No Spacing"/>
    <w:link w:val="NoSpacingChar"/>
    <w:uiPriority w:val="1"/>
    <w:qFormat/>
    <w:rsid w:val="00F81C4C"/>
    <w:rPr>
      <w:sz w:val="22"/>
      <w:szCs w:val="22"/>
      <w:lang w:eastAsia="en-US"/>
    </w:rPr>
  </w:style>
  <w:style w:type="character" w:customStyle="1" w:styleId="hps">
    <w:name w:val="hps"/>
    <w:basedOn w:val="DefaultParagraphFont"/>
    <w:rsid w:val="00F81C4C"/>
  </w:style>
  <w:style w:type="paragraph" w:styleId="Revision">
    <w:name w:val="Revision"/>
    <w:hidden/>
    <w:uiPriority w:val="99"/>
    <w:semiHidden/>
    <w:rsid w:val="00F81C4C"/>
    <w:rPr>
      <w:rFonts w:ascii="Times New Roman" w:hAnsi="Times New Roman"/>
      <w:sz w:val="24"/>
      <w:szCs w:val="22"/>
      <w:lang w:eastAsia="en-US"/>
    </w:rPr>
  </w:style>
  <w:style w:type="table" w:styleId="TableGrid">
    <w:name w:val="Table Grid"/>
    <w:basedOn w:val="TableNormal"/>
    <w:uiPriority w:val="59"/>
    <w:rsid w:val="00EF48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TableNormal"/>
    <w:next w:val="TableGrid"/>
    <w:uiPriority w:val="59"/>
    <w:rsid w:val="0066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59"/>
    <w:rsid w:val="0073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73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59"/>
    <w:rsid w:val="00A2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8509FC"/>
    <w:pPr>
      <w:spacing w:line="240" w:lineRule="auto"/>
    </w:pPr>
    <w:rPr>
      <w:rFonts w:eastAsia="Times New Roman"/>
      <w:sz w:val="20"/>
      <w:szCs w:val="20"/>
      <w:lang w:eastAsia="hr-HR"/>
    </w:rPr>
  </w:style>
  <w:style w:type="character" w:customStyle="1" w:styleId="EndnoteTextChar">
    <w:name w:val="Endnote Text Char"/>
    <w:link w:val="EndnoteText"/>
    <w:uiPriority w:val="99"/>
    <w:rsid w:val="008509FC"/>
    <w:rPr>
      <w:rFonts w:ascii="Times New Roman" w:eastAsia="Times New Roman" w:hAnsi="Times New Roman" w:cs="Times New Roman"/>
      <w:sz w:val="20"/>
      <w:szCs w:val="20"/>
      <w:lang w:eastAsia="hr-HR"/>
    </w:rPr>
  </w:style>
  <w:style w:type="character" w:styleId="HTMLCite">
    <w:name w:val="HTML Cite"/>
    <w:uiPriority w:val="99"/>
    <w:semiHidden/>
    <w:unhideWhenUsed/>
    <w:rsid w:val="008509FC"/>
    <w:rPr>
      <w:i w:val="0"/>
      <w:iCs w:val="0"/>
      <w:color w:val="00802A"/>
    </w:rPr>
  </w:style>
  <w:style w:type="character" w:customStyle="1" w:styleId="meta-value">
    <w:name w:val="meta-value"/>
    <w:basedOn w:val="DefaultParagraphFont"/>
    <w:rsid w:val="008509FC"/>
  </w:style>
  <w:style w:type="character" w:customStyle="1" w:styleId="fqscharitalic1">
    <w:name w:val="fqscharitalic1"/>
    <w:rsid w:val="008509FC"/>
    <w:rPr>
      <w:i/>
      <w:iCs/>
    </w:rPr>
  </w:style>
  <w:style w:type="character" w:styleId="Strong">
    <w:name w:val="Strong"/>
    <w:uiPriority w:val="22"/>
    <w:qFormat/>
    <w:rsid w:val="008509FC"/>
    <w:rPr>
      <w:b/>
      <w:bCs/>
    </w:rPr>
  </w:style>
  <w:style w:type="character" w:customStyle="1" w:styleId="slug-pop-date">
    <w:name w:val="slug-pop-date"/>
    <w:basedOn w:val="DefaultParagraphFont"/>
    <w:rsid w:val="008509FC"/>
  </w:style>
  <w:style w:type="character" w:customStyle="1" w:styleId="pop-slug">
    <w:name w:val="pop-slug"/>
    <w:basedOn w:val="DefaultParagraphFont"/>
    <w:rsid w:val="008509FC"/>
  </w:style>
  <w:style w:type="numbering" w:customStyle="1" w:styleId="Bezpopisa1">
    <w:name w:val="Bez popisa1"/>
    <w:next w:val="NoList"/>
    <w:uiPriority w:val="99"/>
    <w:semiHidden/>
    <w:unhideWhenUsed/>
    <w:rsid w:val="008509FC"/>
  </w:style>
  <w:style w:type="numbering" w:customStyle="1" w:styleId="Bezpopisa11">
    <w:name w:val="Bez popisa11"/>
    <w:next w:val="NoList"/>
    <w:uiPriority w:val="99"/>
    <w:semiHidden/>
    <w:unhideWhenUsed/>
    <w:rsid w:val="008509FC"/>
  </w:style>
  <w:style w:type="character" w:styleId="FollowedHyperlink">
    <w:name w:val="FollowedHyperlink"/>
    <w:uiPriority w:val="99"/>
    <w:semiHidden/>
    <w:unhideWhenUsed/>
    <w:rsid w:val="008509FC"/>
    <w:rPr>
      <w:color w:val="800080"/>
      <w:u w:val="single"/>
    </w:rPr>
  </w:style>
  <w:style w:type="character" w:customStyle="1" w:styleId="addmd">
    <w:name w:val="addmd"/>
    <w:rsid w:val="008509FC"/>
  </w:style>
  <w:style w:type="character" w:customStyle="1" w:styleId="Heading5Char">
    <w:name w:val="Heading 5 Char"/>
    <w:link w:val="Heading5"/>
    <w:uiPriority w:val="9"/>
    <w:rsid w:val="007D0CFD"/>
    <w:rPr>
      <w:rFonts w:ascii="Times New Roman" w:eastAsia="Times New Roman" w:hAnsi="Times New Roman"/>
      <w:b/>
      <w:color w:val="548DD4" w:themeColor="text2" w:themeTint="99"/>
      <w:lang w:eastAsia="en-US"/>
    </w:rPr>
  </w:style>
  <w:style w:type="numbering" w:customStyle="1" w:styleId="Bezpopisa2">
    <w:name w:val="Bez popisa2"/>
    <w:next w:val="NoList"/>
    <w:uiPriority w:val="99"/>
    <w:semiHidden/>
    <w:unhideWhenUsed/>
    <w:rsid w:val="00190C36"/>
  </w:style>
  <w:style w:type="table" w:customStyle="1" w:styleId="Reetkatablice5">
    <w:name w:val="Rešetka tablice5"/>
    <w:basedOn w:val="TableNormal"/>
    <w:next w:val="TableGrid"/>
    <w:uiPriority w:val="59"/>
    <w:rsid w:val="00190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ngl">
    <w:name w:val="textengl"/>
    <w:basedOn w:val="Normal"/>
    <w:rsid w:val="00190C36"/>
    <w:pPr>
      <w:keepNext/>
      <w:spacing w:line="180" w:lineRule="atLeast"/>
    </w:pPr>
    <w:rPr>
      <w:rFonts w:ascii="Arial" w:eastAsia="Times New Roman" w:hAnsi="Arial" w:cs="Arial"/>
      <w:i/>
      <w:iCs/>
      <w:sz w:val="16"/>
      <w:szCs w:val="16"/>
      <w:lang w:eastAsia="hr-HR"/>
    </w:rPr>
  </w:style>
  <w:style w:type="character" w:customStyle="1" w:styleId="DocumentMapChar">
    <w:name w:val="Document Map Char"/>
    <w:link w:val="DocumentMap"/>
    <w:uiPriority w:val="99"/>
    <w:semiHidden/>
    <w:rsid w:val="00190C36"/>
    <w:rPr>
      <w:rFonts w:ascii="Tahoma" w:eastAsia="Calibri" w:hAnsi="Tahoma" w:cs="Tahoma"/>
      <w:sz w:val="16"/>
      <w:szCs w:val="16"/>
    </w:rPr>
  </w:style>
  <w:style w:type="paragraph" w:styleId="DocumentMap">
    <w:name w:val="Document Map"/>
    <w:basedOn w:val="Normal"/>
    <w:link w:val="DocumentMapChar"/>
    <w:uiPriority w:val="99"/>
    <w:semiHidden/>
    <w:unhideWhenUsed/>
    <w:rsid w:val="00190C36"/>
    <w:pPr>
      <w:spacing w:after="200"/>
      <w:jc w:val="left"/>
    </w:pPr>
    <w:rPr>
      <w:rFonts w:ascii="Tahoma" w:hAnsi="Tahoma"/>
      <w:sz w:val="16"/>
      <w:szCs w:val="16"/>
    </w:rPr>
  </w:style>
  <w:style w:type="character" w:customStyle="1" w:styleId="KartadokumentaChar1">
    <w:name w:val="Karta dokumenta Char1"/>
    <w:uiPriority w:val="99"/>
    <w:semiHidden/>
    <w:rsid w:val="00190C36"/>
    <w:rPr>
      <w:rFonts w:ascii="Tahoma" w:hAnsi="Tahoma" w:cs="Tahoma"/>
      <w:sz w:val="16"/>
      <w:szCs w:val="16"/>
    </w:rPr>
  </w:style>
  <w:style w:type="numbering" w:customStyle="1" w:styleId="Bezpopisa12">
    <w:name w:val="Bez popisa12"/>
    <w:next w:val="NoList"/>
    <w:uiPriority w:val="99"/>
    <w:semiHidden/>
    <w:unhideWhenUsed/>
    <w:rsid w:val="00190C36"/>
  </w:style>
  <w:style w:type="table" w:customStyle="1" w:styleId="Reetkatablice11">
    <w:name w:val="Rešetka tablice11"/>
    <w:basedOn w:val="TableNormal"/>
    <w:next w:val="TableGrid"/>
    <w:uiPriority w:val="59"/>
    <w:rsid w:val="00190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0C36"/>
    <w:pPr>
      <w:spacing w:before="100" w:beforeAutospacing="1" w:after="100" w:afterAutospacing="1" w:line="240" w:lineRule="auto"/>
      <w:jc w:val="left"/>
    </w:pPr>
    <w:rPr>
      <w:rFonts w:eastAsia="Times New Roman"/>
      <w:szCs w:val="24"/>
      <w:lang w:eastAsia="hr-HR"/>
    </w:rPr>
  </w:style>
  <w:style w:type="character" w:styleId="PlaceholderText">
    <w:name w:val="Placeholder Text"/>
    <w:uiPriority w:val="99"/>
    <w:semiHidden/>
    <w:rsid w:val="00190C36"/>
    <w:rPr>
      <w:color w:val="808080"/>
    </w:rPr>
  </w:style>
  <w:style w:type="paragraph" w:styleId="Subtitle">
    <w:name w:val="Subtitle"/>
    <w:basedOn w:val="Normal"/>
    <w:next w:val="Normal"/>
    <w:link w:val="SubtitleChar"/>
    <w:uiPriority w:val="11"/>
    <w:qFormat/>
    <w:rsid w:val="00755B73"/>
    <w:pPr>
      <w:numPr>
        <w:ilvl w:val="1"/>
      </w:numPr>
      <w:spacing w:after="120" w:line="240" w:lineRule="auto"/>
      <w:jc w:val="left"/>
    </w:pPr>
    <w:rPr>
      <w:rFonts w:eastAsia="Times New Roman"/>
      <w:b/>
      <w:iCs/>
      <w:color w:val="4F81BD"/>
      <w:sz w:val="20"/>
      <w:szCs w:val="24"/>
      <w:lang w:val="en-GB"/>
    </w:rPr>
  </w:style>
  <w:style w:type="character" w:customStyle="1" w:styleId="SubtitleChar">
    <w:name w:val="Subtitle Char"/>
    <w:link w:val="Subtitle"/>
    <w:uiPriority w:val="11"/>
    <w:rsid w:val="00755B73"/>
    <w:rPr>
      <w:rFonts w:ascii="Times New Roman" w:eastAsia="Times New Roman" w:hAnsi="Times New Roman" w:cs="Times New Roman"/>
      <w:b/>
      <w:iCs/>
      <w:color w:val="4F81BD"/>
      <w:sz w:val="20"/>
      <w:szCs w:val="24"/>
      <w:lang w:val="en-GB"/>
    </w:rPr>
  </w:style>
  <w:style w:type="character" w:styleId="IntenseEmphasis">
    <w:name w:val="Intense Emphasis"/>
    <w:uiPriority w:val="21"/>
    <w:qFormat/>
    <w:rsid w:val="0050036B"/>
    <w:rPr>
      <w:rFonts w:ascii="Times New Roman" w:hAnsi="Times New Roman"/>
      <w:b/>
      <w:bCs/>
      <w:iCs/>
      <w:color w:val="4F81BD"/>
      <w:sz w:val="18"/>
    </w:rPr>
  </w:style>
  <w:style w:type="character" w:customStyle="1" w:styleId="DocumentMapChar1">
    <w:name w:val="Document Map Char1"/>
    <w:uiPriority w:val="99"/>
    <w:semiHidden/>
    <w:rsid w:val="00D0360D"/>
    <w:rPr>
      <w:rFonts w:ascii="Tahoma" w:hAnsi="Tahoma" w:cs="Tahoma"/>
      <w:sz w:val="16"/>
      <w:szCs w:val="16"/>
    </w:rPr>
  </w:style>
  <w:style w:type="table" w:styleId="LightShading-Accent3">
    <w:name w:val="Light Shading Accent 3"/>
    <w:basedOn w:val="TableNormal"/>
    <w:uiPriority w:val="60"/>
    <w:rsid w:val="00DA248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6">
    <w:name w:val="Light Grid Accent 6"/>
    <w:basedOn w:val="TableNormal"/>
    <w:uiPriority w:val="62"/>
    <w:rsid w:val="00DA248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vijetlipopis">
    <w:name w:val="Svijetli popis"/>
    <w:basedOn w:val="TableNormal"/>
    <w:uiPriority w:val="61"/>
    <w:rsid w:val="0001570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CF2BA4"/>
    <w:pPr>
      <w:spacing w:line="240" w:lineRule="auto"/>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F2BA4"/>
    <w:rPr>
      <w:rFonts w:ascii="Consolas" w:eastAsia="Calibri" w:hAnsi="Consolas" w:cs="Times New Roman"/>
      <w:sz w:val="21"/>
      <w:szCs w:val="21"/>
      <w:lang w:eastAsia="en-US"/>
    </w:rPr>
  </w:style>
  <w:style w:type="character" w:customStyle="1" w:styleId="NoSpacingChar">
    <w:name w:val="No Spacing Char"/>
    <w:basedOn w:val="DefaultParagraphFont"/>
    <w:link w:val="NoSpacing"/>
    <w:uiPriority w:val="1"/>
    <w:rsid w:val="00AD205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3524">
      <w:bodyDiv w:val="1"/>
      <w:marLeft w:val="0"/>
      <w:marRight w:val="0"/>
      <w:marTop w:val="0"/>
      <w:marBottom w:val="0"/>
      <w:divBdr>
        <w:top w:val="none" w:sz="0" w:space="0" w:color="auto"/>
        <w:left w:val="none" w:sz="0" w:space="0" w:color="auto"/>
        <w:bottom w:val="none" w:sz="0" w:space="0" w:color="auto"/>
        <w:right w:val="none" w:sz="0" w:space="0" w:color="auto"/>
      </w:divBdr>
    </w:div>
    <w:div w:id="40445481">
      <w:bodyDiv w:val="1"/>
      <w:marLeft w:val="0"/>
      <w:marRight w:val="0"/>
      <w:marTop w:val="0"/>
      <w:marBottom w:val="0"/>
      <w:divBdr>
        <w:top w:val="none" w:sz="0" w:space="0" w:color="auto"/>
        <w:left w:val="none" w:sz="0" w:space="0" w:color="auto"/>
        <w:bottom w:val="none" w:sz="0" w:space="0" w:color="auto"/>
        <w:right w:val="none" w:sz="0" w:space="0" w:color="auto"/>
      </w:divBdr>
    </w:div>
    <w:div w:id="112555506">
      <w:bodyDiv w:val="1"/>
      <w:marLeft w:val="0"/>
      <w:marRight w:val="0"/>
      <w:marTop w:val="0"/>
      <w:marBottom w:val="0"/>
      <w:divBdr>
        <w:top w:val="none" w:sz="0" w:space="0" w:color="auto"/>
        <w:left w:val="none" w:sz="0" w:space="0" w:color="auto"/>
        <w:bottom w:val="none" w:sz="0" w:space="0" w:color="auto"/>
        <w:right w:val="none" w:sz="0" w:space="0" w:color="auto"/>
      </w:divBdr>
    </w:div>
    <w:div w:id="180365940">
      <w:bodyDiv w:val="1"/>
      <w:marLeft w:val="0"/>
      <w:marRight w:val="0"/>
      <w:marTop w:val="0"/>
      <w:marBottom w:val="0"/>
      <w:divBdr>
        <w:top w:val="none" w:sz="0" w:space="0" w:color="auto"/>
        <w:left w:val="none" w:sz="0" w:space="0" w:color="auto"/>
        <w:bottom w:val="none" w:sz="0" w:space="0" w:color="auto"/>
        <w:right w:val="none" w:sz="0" w:space="0" w:color="auto"/>
      </w:divBdr>
      <w:divsChild>
        <w:div w:id="222984631">
          <w:marLeft w:val="547"/>
          <w:marRight w:val="0"/>
          <w:marTop w:val="0"/>
          <w:marBottom w:val="0"/>
          <w:divBdr>
            <w:top w:val="none" w:sz="0" w:space="0" w:color="auto"/>
            <w:left w:val="none" w:sz="0" w:space="0" w:color="auto"/>
            <w:bottom w:val="none" w:sz="0" w:space="0" w:color="auto"/>
            <w:right w:val="none" w:sz="0" w:space="0" w:color="auto"/>
          </w:divBdr>
        </w:div>
        <w:div w:id="454911708">
          <w:marLeft w:val="547"/>
          <w:marRight w:val="0"/>
          <w:marTop w:val="0"/>
          <w:marBottom w:val="0"/>
          <w:divBdr>
            <w:top w:val="none" w:sz="0" w:space="0" w:color="auto"/>
            <w:left w:val="none" w:sz="0" w:space="0" w:color="auto"/>
            <w:bottom w:val="none" w:sz="0" w:space="0" w:color="auto"/>
            <w:right w:val="none" w:sz="0" w:space="0" w:color="auto"/>
          </w:divBdr>
        </w:div>
        <w:div w:id="658584356">
          <w:marLeft w:val="547"/>
          <w:marRight w:val="0"/>
          <w:marTop w:val="0"/>
          <w:marBottom w:val="0"/>
          <w:divBdr>
            <w:top w:val="none" w:sz="0" w:space="0" w:color="auto"/>
            <w:left w:val="none" w:sz="0" w:space="0" w:color="auto"/>
            <w:bottom w:val="none" w:sz="0" w:space="0" w:color="auto"/>
            <w:right w:val="none" w:sz="0" w:space="0" w:color="auto"/>
          </w:divBdr>
        </w:div>
        <w:div w:id="249199031">
          <w:marLeft w:val="547"/>
          <w:marRight w:val="0"/>
          <w:marTop w:val="0"/>
          <w:marBottom w:val="0"/>
          <w:divBdr>
            <w:top w:val="none" w:sz="0" w:space="0" w:color="auto"/>
            <w:left w:val="none" w:sz="0" w:space="0" w:color="auto"/>
            <w:bottom w:val="none" w:sz="0" w:space="0" w:color="auto"/>
            <w:right w:val="none" w:sz="0" w:space="0" w:color="auto"/>
          </w:divBdr>
        </w:div>
        <w:div w:id="501169473">
          <w:marLeft w:val="547"/>
          <w:marRight w:val="0"/>
          <w:marTop w:val="0"/>
          <w:marBottom w:val="0"/>
          <w:divBdr>
            <w:top w:val="none" w:sz="0" w:space="0" w:color="auto"/>
            <w:left w:val="none" w:sz="0" w:space="0" w:color="auto"/>
            <w:bottom w:val="none" w:sz="0" w:space="0" w:color="auto"/>
            <w:right w:val="none" w:sz="0" w:space="0" w:color="auto"/>
          </w:divBdr>
        </w:div>
        <w:div w:id="2040353717">
          <w:marLeft w:val="547"/>
          <w:marRight w:val="0"/>
          <w:marTop w:val="0"/>
          <w:marBottom w:val="0"/>
          <w:divBdr>
            <w:top w:val="none" w:sz="0" w:space="0" w:color="auto"/>
            <w:left w:val="none" w:sz="0" w:space="0" w:color="auto"/>
            <w:bottom w:val="none" w:sz="0" w:space="0" w:color="auto"/>
            <w:right w:val="none" w:sz="0" w:space="0" w:color="auto"/>
          </w:divBdr>
        </w:div>
        <w:div w:id="1825394356">
          <w:marLeft w:val="547"/>
          <w:marRight w:val="0"/>
          <w:marTop w:val="0"/>
          <w:marBottom w:val="0"/>
          <w:divBdr>
            <w:top w:val="none" w:sz="0" w:space="0" w:color="auto"/>
            <w:left w:val="none" w:sz="0" w:space="0" w:color="auto"/>
            <w:bottom w:val="none" w:sz="0" w:space="0" w:color="auto"/>
            <w:right w:val="none" w:sz="0" w:space="0" w:color="auto"/>
          </w:divBdr>
        </w:div>
        <w:div w:id="1685085816">
          <w:marLeft w:val="547"/>
          <w:marRight w:val="0"/>
          <w:marTop w:val="0"/>
          <w:marBottom w:val="0"/>
          <w:divBdr>
            <w:top w:val="none" w:sz="0" w:space="0" w:color="auto"/>
            <w:left w:val="none" w:sz="0" w:space="0" w:color="auto"/>
            <w:bottom w:val="none" w:sz="0" w:space="0" w:color="auto"/>
            <w:right w:val="none" w:sz="0" w:space="0" w:color="auto"/>
          </w:divBdr>
        </w:div>
        <w:div w:id="1162312259">
          <w:marLeft w:val="547"/>
          <w:marRight w:val="0"/>
          <w:marTop w:val="0"/>
          <w:marBottom w:val="0"/>
          <w:divBdr>
            <w:top w:val="none" w:sz="0" w:space="0" w:color="auto"/>
            <w:left w:val="none" w:sz="0" w:space="0" w:color="auto"/>
            <w:bottom w:val="none" w:sz="0" w:space="0" w:color="auto"/>
            <w:right w:val="none" w:sz="0" w:space="0" w:color="auto"/>
          </w:divBdr>
        </w:div>
      </w:divsChild>
    </w:div>
    <w:div w:id="237179313">
      <w:bodyDiv w:val="1"/>
      <w:marLeft w:val="0"/>
      <w:marRight w:val="0"/>
      <w:marTop w:val="0"/>
      <w:marBottom w:val="0"/>
      <w:divBdr>
        <w:top w:val="none" w:sz="0" w:space="0" w:color="auto"/>
        <w:left w:val="none" w:sz="0" w:space="0" w:color="auto"/>
        <w:bottom w:val="none" w:sz="0" w:space="0" w:color="auto"/>
        <w:right w:val="none" w:sz="0" w:space="0" w:color="auto"/>
      </w:divBdr>
    </w:div>
    <w:div w:id="295917939">
      <w:bodyDiv w:val="1"/>
      <w:marLeft w:val="0"/>
      <w:marRight w:val="0"/>
      <w:marTop w:val="0"/>
      <w:marBottom w:val="0"/>
      <w:divBdr>
        <w:top w:val="none" w:sz="0" w:space="0" w:color="auto"/>
        <w:left w:val="none" w:sz="0" w:space="0" w:color="auto"/>
        <w:bottom w:val="none" w:sz="0" w:space="0" w:color="auto"/>
        <w:right w:val="none" w:sz="0" w:space="0" w:color="auto"/>
      </w:divBdr>
    </w:div>
    <w:div w:id="599415655">
      <w:bodyDiv w:val="1"/>
      <w:marLeft w:val="0"/>
      <w:marRight w:val="0"/>
      <w:marTop w:val="0"/>
      <w:marBottom w:val="0"/>
      <w:divBdr>
        <w:top w:val="none" w:sz="0" w:space="0" w:color="auto"/>
        <w:left w:val="none" w:sz="0" w:space="0" w:color="auto"/>
        <w:bottom w:val="none" w:sz="0" w:space="0" w:color="auto"/>
        <w:right w:val="none" w:sz="0" w:space="0" w:color="auto"/>
      </w:divBdr>
    </w:div>
    <w:div w:id="618028889">
      <w:bodyDiv w:val="1"/>
      <w:marLeft w:val="0"/>
      <w:marRight w:val="0"/>
      <w:marTop w:val="0"/>
      <w:marBottom w:val="0"/>
      <w:divBdr>
        <w:top w:val="none" w:sz="0" w:space="0" w:color="auto"/>
        <w:left w:val="none" w:sz="0" w:space="0" w:color="auto"/>
        <w:bottom w:val="none" w:sz="0" w:space="0" w:color="auto"/>
        <w:right w:val="none" w:sz="0" w:space="0" w:color="auto"/>
      </w:divBdr>
      <w:divsChild>
        <w:div w:id="853954441">
          <w:marLeft w:val="619"/>
          <w:marRight w:val="0"/>
          <w:marTop w:val="62"/>
          <w:marBottom w:val="120"/>
          <w:divBdr>
            <w:top w:val="none" w:sz="0" w:space="0" w:color="auto"/>
            <w:left w:val="none" w:sz="0" w:space="0" w:color="auto"/>
            <w:bottom w:val="none" w:sz="0" w:space="0" w:color="auto"/>
            <w:right w:val="none" w:sz="0" w:space="0" w:color="auto"/>
          </w:divBdr>
        </w:div>
        <w:div w:id="1611818572">
          <w:marLeft w:val="619"/>
          <w:marRight w:val="0"/>
          <w:marTop w:val="62"/>
          <w:marBottom w:val="120"/>
          <w:divBdr>
            <w:top w:val="none" w:sz="0" w:space="0" w:color="auto"/>
            <w:left w:val="none" w:sz="0" w:space="0" w:color="auto"/>
            <w:bottom w:val="none" w:sz="0" w:space="0" w:color="auto"/>
            <w:right w:val="none" w:sz="0" w:space="0" w:color="auto"/>
          </w:divBdr>
        </w:div>
        <w:div w:id="324936503">
          <w:marLeft w:val="619"/>
          <w:marRight w:val="0"/>
          <w:marTop w:val="62"/>
          <w:marBottom w:val="120"/>
          <w:divBdr>
            <w:top w:val="none" w:sz="0" w:space="0" w:color="auto"/>
            <w:left w:val="none" w:sz="0" w:space="0" w:color="auto"/>
            <w:bottom w:val="none" w:sz="0" w:space="0" w:color="auto"/>
            <w:right w:val="none" w:sz="0" w:space="0" w:color="auto"/>
          </w:divBdr>
        </w:div>
        <w:div w:id="2067796200">
          <w:marLeft w:val="619"/>
          <w:marRight w:val="0"/>
          <w:marTop w:val="62"/>
          <w:marBottom w:val="120"/>
          <w:divBdr>
            <w:top w:val="none" w:sz="0" w:space="0" w:color="auto"/>
            <w:left w:val="none" w:sz="0" w:space="0" w:color="auto"/>
            <w:bottom w:val="none" w:sz="0" w:space="0" w:color="auto"/>
            <w:right w:val="none" w:sz="0" w:space="0" w:color="auto"/>
          </w:divBdr>
        </w:div>
        <w:div w:id="402262034">
          <w:marLeft w:val="619"/>
          <w:marRight w:val="0"/>
          <w:marTop w:val="62"/>
          <w:marBottom w:val="120"/>
          <w:divBdr>
            <w:top w:val="none" w:sz="0" w:space="0" w:color="auto"/>
            <w:left w:val="none" w:sz="0" w:space="0" w:color="auto"/>
            <w:bottom w:val="none" w:sz="0" w:space="0" w:color="auto"/>
            <w:right w:val="none" w:sz="0" w:space="0" w:color="auto"/>
          </w:divBdr>
        </w:div>
        <w:div w:id="490560140">
          <w:marLeft w:val="619"/>
          <w:marRight w:val="0"/>
          <w:marTop w:val="62"/>
          <w:marBottom w:val="120"/>
          <w:divBdr>
            <w:top w:val="none" w:sz="0" w:space="0" w:color="auto"/>
            <w:left w:val="none" w:sz="0" w:space="0" w:color="auto"/>
            <w:bottom w:val="none" w:sz="0" w:space="0" w:color="auto"/>
            <w:right w:val="none" w:sz="0" w:space="0" w:color="auto"/>
          </w:divBdr>
        </w:div>
        <w:div w:id="1619991329">
          <w:marLeft w:val="619"/>
          <w:marRight w:val="0"/>
          <w:marTop w:val="62"/>
          <w:marBottom w:val="120"/>
          <w:divBdr>
            <w:top w:val="none" w:sz="0" w:space="0" w:color="auto"/>
            <w:left w:val="none" w:sz="0" w:space="0" w:color="auto"/>
            <w:bottom w:val="none" w:sz="0" w:space="0" w:color="auto"/>
            <w:right w:val="none" w:sz="0" w:space="0" w:color="auto"/>
          </w:divBdr>
        </w:div>
        <w:div w:id="1593736629">
          <w:marLeft w:val="619"/>
          <w:marRight w:val="0"/>
          <w:marTop w:val="62"/>
          <w:marBottom w:val="120"/>
          <w:divBdr>
            <w:top w:val="none" w:sz="0" w:space="0" w:color="auto"/>
            <w:left w:val="none" w:sz="0" w:space="0" w:color="auto"/>
            <w:bottom w:val="none" w:sz="0" w:space="0" w:color="auto"/>
            <w:right w:val="none" w:sz="0" w:space="0" w:color="auto"/>
          </w:divBdr>
        </w:div>
        <w:div w:id="770316587">
          <w:marLeft w:val="619"/>
          <w:marRight w:val="0"/>
          <w:marTop w:val="62"/>
          <w:marBottom w:val="120"/>
          <w:divBdr>
            <w:top w:val="none" w:sz="0" w:space="0" w:color="auto"/>
            <w:left w:val="none" w:sz="0" w:space="0" w:color="auto"/>
            <w:bottom w:val="none" w:sz="0" w:space="0" w:color="auto"/>
            <w:right w:val="none" w:sz="0" w:space="0" w:color="auto"/>
          </w:divBdr>
        </w:div>
      </w:divsChild>
    </w:div>
    <w:div w:id="705789877">
      <w:bodyDiv w:val="1"/>
      <w:marLeft w:val="0"/>
      <w:marRight w:val="0"/>
      <w:marTop w:val="0"/>
      <w:marBottom w:val="0"/>
      <w:divBdr>
        <w:top w:val="none" w:sz="0" w:space="0" w:color="auto"/>
        <w:left w:val="none" w:sz="0" w:space="0" w:color="auto"/>
        <w:bottom w:val="none" w:sz="0" w:space="0" w:color="auto"/>
        <w:right w:val="none" w:sz="0" w:space="0" w:color="auto"/>
      </w:divBdr>
    </w:div>
    <w:div w:id="788084551">
      <w:bodyDiv w:val="1"/>
      <w:marLeft w:val="0"/>
      <w:marRight w:val="0"/>
      <w:marTop w:val="0"/>
      <w:marBottom w:val="0"/>
      <w:divBdr>
        <w:top w:val="none" w:sz="0" w:space="0" w:color="auto"/>
        <w:left w:val="none" w:sz="0" w:space="0" w:color="auto"/>
        <w:bottom w:val="none" w:sz="0" w:space="0" w:color="auto"/>
        <w:right w:val="none" w:sz="0" w:space="0" w:color="auto"/>
      </w:divBdr>
    </w:div>
    <w:div w:id="853299394">
      <w:bodyDiv w:val="1"/>
      <w:marLeft w:val="0"/>
      <w:marRight w:val="0"/>
      <w:marTop w:val="0"/>
      <w:marBottom w:val="0"/>
      <w:divBdr>
        <w:top w:val="none" w:sz="0" w:space="0" w:color="auto"/>
        <w:left w:val="none" w:sz="0" w:space="0" w:color="auto"/>
        <w:bottom w:val="none" w:sz="0" w:space="0" w:color="auto"/>
        <w:right w:val="none" w:sz="0" w:space="0" w:color="auto"/>
      </w:divBdr>
    </w:div>
    <w:div w:id="885262242">
      <w:bodyDiv w:val="1"/>
      <w:marLeft w:val="0"/>
      <w:marRight w:val="0"/>
      <w:marTop w:val="0"/>
      <w:marBottom w:val="0"/>
      <w:divBdr>
        <w:top w:val="none" w:sz="0" w:space="0" w:color="auto"/>
        <w:left w:val="none" w:sz="0" w:space="0" w:color="auto"/>
        <w:bottom w:val="none" w:sz="0" w:space="0" w:color="auto"/>
        <w:right w:val="none" w:sz="0" w:space="0" w:color="auto"/>
      </w:divBdr>
    </w:div>
    <w:div w:id="924416066">
      <w:bodyDiv w:val="1"/>
      <w:marLeft w:val="0"/>
      <w:marRight w:val="0"/>
      <w:marTop w:val="0"/>
      <w:marBottom w:val="0"/>
      <w:divBdr>
        <w:top w:val="none" w:sz="0" w:space="0" w:color="auto"/>
        <w:left w:val="none" w:sz="0" w:space="0" w:color="auto"/>
        <w:bottom w:val="none" w:sz="0" w:space="0" w:color="auto"/>
        <w:right w:val="none" w:sz="0" w:space="0" w:color="auto"/>
      </w:divBdr>
    </w:div>
    <w:div w:id="948665635">
      <w:bodyDiv w:val="1"/>
      <w:marLeft w:val="0"/>
      <w:marRight w:val="0"/>
      <w:marTop w:val="0"/>
      <w:marBottom w:val="0"/>
      <w:divBdr>
        <w:top w:val="none" w:sz="0" w:space="0" w:color="auto"/>
        <w:left w:val="none" w:sz="0" w:space="0" w:color="auto"/>
        <w:bottom w:val="none" w:sz="0" w:space="0" w:color="auto"/>
        <w:right w:val="none" w:sz="0" w:space="0" w:color="auto"/>
      </w:divBdr>
    </w:div>
    <w:div w:id="1069157475">
      <w:bodyDiv w:val="1"/>
      <w:marLeft w:val="0"/>
      <w:marRight w:val="0"/>
      <w:marTop w:val="0"/>
      <w:marBottom w:val="0"/>
      <w:divBdr>
        <w:top w:val="none" w:sz="0" w:space="0" w:color="auto"/>
        <w:left w:val="none" w:sz="0" w:space="0" w:color="auto"/>
        <w:bottom w:val="none" w:sz="0" w:space="0" w:color="auto"/>
        <w:right w:val="none" w:sz="0" w:space="0" w:color="auto"/>
      </w:divBdr>
    </w:div>
    <w:div w:id="1122655786">
      <w:bodyDiv w:val="1"/>
      <w:marLeft w:val="0"/>
      <w:marRight w:val="0"/>
      <w:marTop w:val="0"/>
      <w:marBottom w:val="0"/>
      <w:divBdr>
        <w:top w:val="none" w:sz="0" w:space="0" w:color="auto"/>
        <w:left w:val="none" w:sz="0" w:space="0" w:color="auto"/>
        <w:bottom w:val="none" w:sz="0" w:space="0" w:color="auto"/>
        <w:right w:val="none" w:sz="0" w:space="0" w:color="auto"/>
      </w:divBdr>
    </w:div>
    <w:div w:id="1148009091">
      <w:bodyDiv w:val="1"/>
      <w:marLeft w:val="0"/>
      <w:marRight w:val="0"/>
      <w:marTop w:val="0"/>
      <w:marBottom w:val="0"/>
      <w:divBdr>
        <w:top w:val="none" w:sz="0" w:space="0" w:color="auto"/>
        <w:left w:val="none" w:sz="0" w:space="0" w:color="auto"/>
        <w:bottom w:val="none" w:sz="0" w:space="0" w:color="auto"/>
        <w:right w:val="none" w:sz="0" w:space="0" w:color="auto"/>
      </w:divBdr>
    </w:div>
    <w:div w:id="1160847450">
      <w:bodyDiv w:val="1"/>
      <w:marLeft w:val="0"/>
      <w:marRight w:val="0"/>
      <w:marTop w:val="0"/>
      <w:marBottom w:val="0"/>
      <w:divBdr>
        <w:top w:val="none" w:sz="0" w:space="0" w:color="auto"/>
        <w:left w:val="none" w:sz="0" w:space="0" w:color="auto"/>
        <w:bottom w:val="none" w:sz="0" w:space="0" w:color="auto"/>
        <w:right w:val="none" w:sz="0" w:space="0" w:color="auto"/>
      </w:divBdr>
      <w:divsChild>
        <w:div w:id="1103185586">
          <w:marLeft w:val="0"/>
          <w:marRight w:val="0"/>
          <w:marTop w:val="0"/>
          <w:marBottom w:val="0"/>
          <w:divBdr>
            <w:top w:val="none" w:sz="0" w:space="0" w:color="auto"/>
            <w:left w:val="none" w:sz="0" w:space="0" w:color="auto"/>
            <w:bottom w:val="none" w:sz="0" w:space="0" w:color="auto"/>
            <w:right w:val="none" w:sz="0" w:space="0" w:color="auto"/>
          </w:divBdr>
          <w:divsChild>
            <w:div w:id="1122723388">
              <w:marLeft w:val="0"/>
              <w:marRight w:val="0"/>
              <w:marTop w:val="0"/>
              <w:marBottom w:val="0"/>
              <w:divBdr>
                <w:top w:val="none" w:sz="0" w:space="0" w:color="auto"/>
                <w:left w:val="none" w:sz="0" w:space="0" w:color="auto"/>
                <w:bottom w:val="none" w:sz="0" w:space="0" w:color="auto"/>
                <w:right w:val="none" w:sz="0" w:space="0" w:color="auto"/>
              </w:divBdr>
              <w:divsChild>
                <w:div w:id="1392726791">
                  <w:marLeft w:val="0"/>
                  <w:marRight w:val="0"/>
                  <w:marTop w:val="0"/>
                  <w:marBottom w:val="0"/>
                  <w:divBdr>
                    <w:top w:val="none" w:sz="0" w:space="0" w:color="auto"/>
                    <w:left w:val="none" w:sz="0" w:space="0" w:color="auto"/>
                    <w:bottom w:val="none" w:sz="0" w:space="0" w:color="auto"/>
                    <w:right w:val="none" w:sz="0" w:space="0" w:color="auto"/>
                  </w:divBdr>
                  <w:divsChild>
                    <w:div w:id="1339307224">
                      <w:marLeft w:val="0"/>
                      <w:marRight w:val="0"/>
                      <w:marTop w:val="0"/>
                      <w:marBottom w:val="0"/>
                      <w:divBdr>
                        <w:top w:val="none" w:sz="0" w:space="0" w:color="auto"/>
                        <w:left w:val="none" w:sz="0" w:space="0" w:color="auto"/>
                        <w:bottom w:val="none" w:sz="0" w:space="0" w:color="auto"/>
                        <w:right w:val="none" w:sz="0" w:space="0" w:color="auto"/>
                      </w:divBdr>
                      <w:divsChild>
                        <w:div w:id="785123441">
                          <w:marLeft w:val="0"/>
                          <w:marRight w:val="0"/>
                          <w:marTop w:val="0"/>
                          <w:marBottom w:val="0"/>
                          <w:divBdr>
                            <w:top w:val="none" w:sz="0" w:space="0" w:color="auto"/>
                            <w:left w:val="none" w:sz="0" w:space="0" w:color="auto"/>
                            <w:bottom w:val="none" w:sz="0" w:space="0" w:color="auto"/>
                            <w:right w:val="none" w:sz="0" w:space="0" w:color="auto"/>
                          </w:divBdr>
                          <w:divsChild>
                            <w:div w:id="930890561">
                              <w:marLeft w:val="0"/>
                              <w:marRight w:val="0"/>
                              <w:marTop w:val="0"/>
                              <w:marBottom w:val="0"/>
                              <w:divBdr>
                                <w:top w:val="none" w:sz="0" w:space="0" w:color="auto"/>
                                <w:left w:val="none" w:sz="0" w:space="0" w:color="auto"/>
                                <w:bottom w:val="none" w:sz="0" w:space="0" w:color="auto"/>
                                <w:right w:val="none" w:sz="0" w:space="0" w:color="auto"/>
                              </w:divBdr>
                              <w:divsChild>
                                <w:div w:id="118303575">
                                  <w:marLeft w:val="0"/>
                                  <w:marRight w:val="0"/>
                                  <w:marTop w:val="0"/>
                                  <w:marBottom w:val="0"/>
                                  <w:divBdr>
                                    <w:top w:val="none" w:sz="0" w:space="0" w:color="auto"/>
                                    <w:left w:val="none" w:sz="0" w:space="0" w:color="auto"/>
                                    <w:bottom w:val="none" w:sz="0" w:space="0" w:color="auto"/>
                                    <w:right w:val="none" w:sz="0" w:space="0" w:color="auto"/>
                                  </w:divBdr>
                                  <w:divsChild>
                                    <w:div w:id="9001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328218">
      <w:bodyDiv w:val="1"/>
      <w:marLeft w:val="0"/>
      <w:marRight w:val="0"/>
      <w:marTop w:val="0"/>
      <w:marBottom w:val="0"/>
      <w:divBdr>
        <w:top w:val="none" w:sz="0" w:space="0" w:color="auto"/>
        <w:left w:val="none" w:sz="0" w:space="0" w:color="auto"/>
        <w:bottom w:val="none" w:sz="0" w:space="0" w:color="auto"/>
        <w:right w:val="none" w:sz="0" w:space="0" w:color="auto"/>
      </w:divBdr>
    </w:div>
    <w:div w:id="1196116072">
      <w:bodyDiv w:val="1"/>
      <w:marLeft w:val="0"/>
      <w:marRight w:val="0"/>
      <w:marTop w:val="0"/>
      <w:marBottom w:val="0"/>
      <w:divBdr>
        <w:top w:val="none" w:sz="0" w:space="0" w:color="auto"/>
        <w:left w:val="none" w:sz="0" w:space="0" w:color="auto"/>
        <w:bottom w:val="none" w:sz="0" w:space="0" w:color="auto"/>
        <w:right w:val="none" w:sz="0" w:space="0" w:color="auto"/>
      </w:divBdr>
    </w:div>
    <w:div w:id="1199704275">
      <w:bodyDiv w:val="1"/>
      <w:marLeft w:val="0"/>
      <w:marRight w:val="0"/>
      <w:marTop w:val="0"/>
      <w:marBottom w:val="0"/>
      <w:divBdr>
        <w:top w:val="none" w:sz="0" w:space="0" w:color="auto"/>
        <w:left w:val="none" w:sz="0" w:space="0" w:color="auto"/>
        <w:bottom w:val="none" w:sz="0" w:space="0" w:color="auto"/>
        <w:right w:val="none" w:sz="0" w:space="0" w:color="auto"/>
      </w:divBdr>
    </w:div>
    <w:div w:id="1223517071">
      <w:bodyDiv w:val="1"/>
      <w:marLeft w:val="0"/>
      <w:marRight w:val="0"/>
      <w:marTop w:val="0"/>
      <w:marBottom w:val="0"/>
      <w:divBdr>
        <w:top w:val="none" w:sz="0" w:space="0" w:color="auto"/>
        <w:left w:val="none" w:sz="0" w:space="0" w:color="auto"/>
        <w:bottom w:val="none" w:sz="0" w:space="0" w:color="auto"/>
        <w:right w:val="none" w:sz="0" w:space="0" w:color="auto"/>
      </w:divBdr>
    </w:div>
    <w:div w:id="1249004821">
      <w:bodyDiv w:val="1"/>
      <w:marLeft w:val="0"/>
      <w:marRight w:val="0"/>
      <w:marTop w:val="0"/>
      <w:marBottom w:val="0"/>
      <w:divBdr>
        <w:top w:val="none" w:sz="0" w:space="0" w:color="auto"/>
        <w:left w:val="none" w:sz="0" w:space="0" w:color="auto"/>
        <w:bottom w:val="none" w:sz="0" w:space="0" w:color="auto"/>
        <w:right w:val="none" w:sz="0" w:space="0" w:color="auto"/>
      </w:divBdr>
    </w:div>
    <w:div w:id="1277638765">
      <w:bodyDiv w:val="1"/>
      <w:marLeft w:val="0"/>
      <w:marRight w:val="0"/>
      <w:marTop w:val="0"/>
      <w:marBottom w:val="0"/>
      <w:divBdr>
        <w:top w:val="none" w:sz="0" w:space="0" w:color="auto"/>
        <w:left w:val="none" w:sz="0" w:space="0" w:color="auto"/>
        <w:bottom w:val="none" w:sz="0" w:space="0" w:color="auto"/>
        <w:right w:val="none" w:sz="0" w:space="0" w:color="auto"/>
      </w:divBdr>
    </w:div>
    <w:div w:id="1287391954">
      <w:bodyDiv w:val="1"/>
      <w:marLeft w:val="0"/>
      <w:marRight w:val="0"/>
      <w:marTop w:val="0"/>
      <w:marBottom w:val="0"/>
      <w:divBdr>
        <w:top w:val="none" w:sz="0" w:space="0" w:color="auto"/>
        <w:left w:val="none" w:sz="0" w:space="0" w:color="auto"/>
        <w:bottom w:val="none" w:sz="0" w:space="0" w:color="auto"/>
        <w:right w:val="none" w:sz="0" w:space="0" w:color="auto"/>
      </w:divBdr>
    </w:div>
    <w:div w:id="1335954728">
      <w:bodyDiv w:val="1"/>
      <w:marLeft w:val="0"/>
      <w:marRight w:val="0"/>
      <w:marTop w:val="0"/>
      <w:marBottom w:val="0"/>
      <w:divBdr>
        <w:top w:val="none" w:sz="0" w:space="0" w:color="auto"/>
        <w:left w:val="none" w:sz="0" w:space="0" w:color="auto"/>
        <w:bottom w:val="none" w:sz="0" w:space="0" w:color="auto"/>
        <w:right w:val="none" w:sz="0" w:space="0" w:color="auto"/>
      </w:divBdr>
    </w:div>
    <w:div w:id="1402362461">
      <w:bodyDiv w:val="1"/>
      <w:marLeft w:val="0"/>
      <w:marRight w:val="0"/>
      <w:marTop w:val="0"/>
      <w:marBottom w:val="0"/>
      <w:divBdr>
        <w:top w:val="none" w:sz="0" w:space="0" w:color="auto"/>
        <w:left w:val="none" w:sz="0" w:space="0" w:color="auto"/>
        <w:bottom w:val="none" w:sz="0" w:space="0" w:color="auto"/>
        <w:right w:val="none" w:sz="0" w:space="0" w:color="auto"/>
      </w:divBdr>
    </w:div>
    <w:div w:id="1456674300">
      <w:bodyDiv w:val="1"/>
      <w:marLeft w:val="0"/>
      <w:marRight w:val="0"/>
      <w:marTop w:val="0"/>
      <w:marBottom w:val="0"/>
      <w:divBdr>
        <w:top w:val="none" w:sz="0" w:space="0" w:color="auto"/>
        <w:left w:val="none" w:sz="0" w:space="0" w:color="auto"/>
        <w:bottom w:val="none" w:sz="0" w:space="0" w:color="auto"/>
        <w:right w:val="none" w:sz="0" w:space="0" w:color="auto"/>
      </w:divBdr>
    </w:div>
    <w:div w:id="1456832030">
      <w:bodyDiv w:val="1"/>
      <w:marLeft w:val="0"/>
      <w:marRight w:val="0"/>
      <w:marTop w:val="0"/>
      <w:marBottom w:val="0"/>
      <w:divBdr>
        <w:top w:val="none" w:sz="0" w:space="0" w:color="auto"/>
        <w:left w:val="none" w:sz="0" w:space="0" w:color="auto"/>
        <w:bottom w:val="none" w:sz="0" w:space="0" w:color="auto"/>
        <w:right w:val="none" w:sz="0" w:space="0" w:color="auto"/>
      </w:divBdr>
    </w:div>
    <w:div w:id="1491866801">
      <w:bodyDiv w:val="1"/>
      <w:marLeft w:val="0"/>
      <w:marRight w:val="0"/>
      <w:marTop w:val="0"/>
      <w:marBottom w:val="0"/>
      <w:divBdr>
        <w:top w:val="none" w:sz="0" w:space="0" w:color="auto"/>
        <w:left w:val="none" w:sz="0" w:space="0" w:color="auto"/>
        <w:bottom w:val="none" w:sz="0" w:space="0" w:color="auto"/>
        <w:right w:val="none" w:sz="0" w:space="0" w:color="auto"/>
      </w:divBdr>
    </w:div>
    <w:div w:id="1492982206">
      <w:bodyDiv w:val="1"/>
      <w:marLeft w:val="0"/>
      <w:marRight w:val="0"/>
      <w:marTop w:val="0"/>
      <w:marBottom w:val="0"/>
      <w:divBdr>
        <w:top w:val="none" w:sz="0" w:space="0" w:color="auto"/>
        <w:left w:val="none" w:sz="0" w:space="0" w:color="auto"/>
        <w:bottom w:val="none" w:sz="0" w:space="0" w:color="auto"/>
        <w:right w:val="none" w:sz="0" w:space="0" w:color="auto"/>
      </w:divBdr>
    </w:div>
    <w:div w:id="1515412074">
      <w:bodyDiv w:val="1"/>
      <w:marLeft w:val="0"/>
      <w:marRight w:val="0"/>
      <w:marTop w:val="0"/>
      <w:marBottom w:val="0"/>
      <w:divBdr>
        <w:top w:val="none" w:sz="0" w:space="0" w:color="auto"/>
        <w:left w:val="none" w:sz="0" w:space="0" w:color="auto"/>
        <w:bottom w:val="none" w:sz="0" w:space="0" w:color="auto"/>
        <w:right w:val="none" w:sz="0" w:space="0" w:color="auto"/>
      </w:divBdr>
    </w:div>
    <w:div w:id="1538816866">
      <w:bodyDiv w:val="1"/>
      <w:marLeft w:val="0"/>
      <w:marRight w:val="0"/>
      <w:marTop w:val="0"/>
      <w:marBottom w:val="0"/>
      <w:divBdr>
        <w:top w:val="none" w:sz="0" w:space="0" w:color="auto"/>
        <w:left w:val="none" w:sz="0" w:space="0" w:color="auto"/>
        <w:bottom w:val="none" w:sz="0" w:space="0" w:color="auto"/>
        <w:right w:val="none" w:sz="0" w:space="0" w:color="auto"/>
      </w:divBdr>
    </w:div>
    <w:div w:id="1544177506">
      <w:bodyDiv w:val="1"/>
      <w:marLeft w:val="0"/>
      <w:marRight w:val="0"/>
      <w:marTop w:val="0"/>
      <w:marBottom w:val="0"/>
      <w:divBdr>
        <w:top w:val="none" w:sz="0" w:space="0" w:color="auto"/>
        <w:left w:val="none" w:sz="0" w:space="0" w:color="auto"/>
        <w:bottom w:val="none" w:sz="0" w:space="0" w:color="auto"/>
        <w:right w:val="none" w:sz="0" w:space="0" w:color="auto"/>
      </w:divBdr>
    </w:div>
    <w:div w:id="1551384281">
      <w:bodyDiv w:val="1"/>
      <w:marLeft w:val="0"/>
      <w:marRight w:val="0"/>
      <w:marTop w:val="0"/>
      <w:marBottom w:val="0"/>
      <w:divBdr>
        <w:top w:val="none" w:sz="0" w:space="0" w:color="auto"/>
        <w:left w:val="none" w:sz="0" w:space="0" w:color="auto"/>
        <w:bottom w:val="none" w:sz="0" w:space="0" w:color="auto"/>
        <w:right w:val="none" w:sz="0" w:space="0" w:color="auto"/>
      </w:divBdr>
    </w:div>
    <w:div w:id="1590893563">
      <w:bodyDiv w:val="1"/>
      <w:marLeft w:val="0"/>
      <w:marRight w:val="0"/>
      <w:marTop w:val="0"/>
      <w:marBottom w:val="0"/>
      <w:divBdr>
        <w:top w:val="none" w:sz="0" w:space="0" w:color="auto"/>
        <w:left w:val="none" w:sz="0" w:space="0" w:color="auto"/>
        <w:bottom w:val="none" w:sz="0" w:space="0" w:color="auto"/>
        <w:right w:val="none" w:sz="0" w:space="0" w:color="auto"/>
      </w:divBdr>
    </w:div>
    <w:div w:id="1617060291">
      <w:bodyDiv w:val="1"/>
      <w:marLeft w:val="0"/>
      <w:marRight w:val="0"/>
      <w:marTop w:val="0"/>
      <w:marBottom w:val="0"/>
      <w:divBdr>
        <w:top w:val="none" w:sz="0" w:space="0" w:color="auto"/>
        <w:left w:val="none" w:sz="0" w:space="0" w:color="auto"/>
        <w:bottom w:val="none" w:sz="0" w:space="0" w:color="auto"/>
        <w:right w:val="none" w:sz="0" w:space="0" w:color="auto"/>
      </w:divBdr>
    </w:div>
    <w:div w:id="1642225414">
      <w:bodyDiv w:val="1"/>
      <w:marLeft w:val="0"/>
      <w:marRight w:val="0"/>
      <w:marTop w:val="0"/>
      <w:marBottom w:val="0"/>
      <w:divBdr>
        <w:top w:val="none" w:sz="0" w:space="0" w:color="auto"/>
        <w:left w:val="none" w:sz="0" w:space="0" w:color="auto"/>
        <w:bottom w:val="none" w:sz="0" w:space="0" w:color="auto"/>
        <w:right w:val="none" w:sz="0" w:space="0" w:color="auto"/>
      </w:divBdr>
    </w:div>
    <w:div w:id="1644653508">
      <w:bodyDiv w:val="1"/>
      <w:marLeft w:val="0"/>
      <w:marRight w:val="0"/>
      <w:marTop w:val="0"/>
      <w:marBottom w:val="0"/>
      <w:divBdr>
        <w:top w:val="none" w:sz="0" w:space="0" w:color="auto"/>
        <w:left w:val="none" w:sz="0" w:space="0" w:color="auto"/>
        <w:bottom w:val="none" w:sz="0" w:space="0" w:color="auto"/>
        <w:right w:val="none" w:sz="0" w:space="0" w:color="auto"/>
      </w:divBdr>
    </w:div>
    <w:div w:id="1648243767">
      <w:bodyDiv w:val="1"/>
      <w:marLeft w:val="0"/>
      <w:marRight w:val="0"/>
      <w:marTop w:val="0"/>
      <w:marBottom w:val="0"/>
      <w:divBdr>
        <w:top w:val="none" w:sz="0" w:space="0" w:color="auto"/>
        <w:left w:val="none" w:sz="0" w:space="0" w:color="auto"/>
        <w:bottom w:val="none" w:sz="0" w:space="0" w:color="auto"/>
        <w:right w:val="none" w:sz="0" w:space="0" w:color="auto"/>
      </w:divBdr>
    </w:div>
    <w:div w:id="1819111821">
      <w:bodyDiv w:val="1"/>
      <w:marLeft w:val="0"/>
      <w:marRight w:val="0"/>
      <w:marTop w:val="0"/>
      <w:marBottom w:val="0"/>
      <w:divBdr>
        <w:top w:val="none" w:sz="0" w:space="0" w:color="auto"/>
        <w:left w:val="none" w:sz="0" w:space="0" w:color="auto"/>
        <w:bottom w:val="none" w:sz="0" w:space="0" w:color="auto"/>
        <w:right w:val="none" w:sz="0" w:space="0" w:color="auto"/>
      </w:divBdr>
    </w:div>
    <w:div w:id="1826777118">
      <w:bodyDiv w:val="1"/>
      <w:marLeft w:val="0"/>
      <w:marRight w:val="0"/>
      <w:marTop w:val="0"/>
      <w:marBottom w:val="0"/>
      <w:divBdr>
        <w:top w:val="none" w:sz="0" w:space="0" w:color="auto"/>
        <w:left w:val="none" w:sz="0" w:space="0" w:color="auto"/>
        <w:bottom w:val="none" w:sz="0" w:space="0" w:color="auto"/>
        <w:right w:val="none" w:sz="0" w:space="0" w:color="auto"/>
      </w:divBdr>
    </w:div>
    <w:div w:id="1877309911">
      <w:bodyDiv w:val="1"/>
      <w:marLeft w:val="0"/>
      <w:marRight w:val="0"/>
      <w:marTop w:val="0"/>
      <w:marBottom w:val="0"/>
      <w:divBdr>
        <w:top w:val="none" w:sz="0" w:space="0" w:color="auto"/>
        <w:left w:val="none" w:sz="0" w:space="0" w:color="auto"/>
        <w:bottom w:val="none" w:sz="0" w:space="0" w:color="auto"/>
        <w:right w:val="none" w:sz="0" w:space="0" w:color="auto"/>
      </w:divBdr>
    </w:div>
    <w:div w:id="1883982571">
      <w:bodyDiv w:val="1"/>
      <w:marLeft w:val="0"/>
      <w:marRight w:val="0"/>
      <w:marTop w:val="0"/>
      <w:marBottom w:val="0"/>
      <w:divBdr>
        <w:top w:val="none" w:sz="0" w:space="0" w:color="auto"/>
        <w:left w:val="none" w:sz="0" w:space="0" w:color="auto"/>
        <w:bottom w:val="none" w:sz="0" w:space="0" w:color="auto"/>
        <w:right w:val="none" w:sz="0" w:space="0" w:color="auto"/>
      </w:divBdr>
    </w:div>
    <w:div w:id="1905791621">
      <w:bodyDiv w:val="1"/>
      <w:marLeft w:val="0"/>
      <w:marRight w:val="0"/>
      <w:marTop w:val="0"/>
      <w:marBottom w:val="0"/>
      <w:divBdr>
        <w:top w:val="none" w:sz="0" w:space="0" w:color="auto"/>
        <w:left w:val="none" w:sz="0" w:space="0" w:color="auto"/>
        <w:bottom w:val="none" w:sz="0" w:space="0" w:color="auto"/>
        <w:right w:val="none" w:sz="0" w:space="0" w:color="auto"/>
      </w:divBdr>
    </w:div>
    <w:div w:id="1914044554">
      <w:bodyDiv w:val="1"/>
      <w:marLeft w:val="0"/>
      <w:marRight w:val="0"/>
      <w:marTop w:val="0"/>
      <w:marBottom w:val="0"/>
      <w:divBdr>
        <w:top w:val="none" w:sz="0" w:space="0" w:color="auto"/>
        <w:left w:val="none" w:sz="0" w:space="0" w:color="auto"/>
        <w:bottom w:val="none" w:sz="0" w:space="0" w:color="auto"/>
        <w:right w:val="none" w:sz="0" w:space="0" w:color="auto"/>
      </w:divBdr>
    </w:div>
    <w:div w:id="1989088576">
      <w:bodyDiv w:val="1"/>
      <w:marLeft w:val="0"/>
      <w:marRight w:val="0"/>
      <w:marTop w:val="0"/>
      <w:marBottom w:val="0"/>
      <w:divBdr>
        <w:top w:val="none" w:sz="0" w:space="0" w:color="auto"/>
        <w:left w:val="none" w:sz="0" w:space="0" w:color="auto"/>
        <w:bottom w:val="none" w:sz="0" w:space="0" w:color="auto"/>
        <w:right w:val="none" w:sz="0" w:space="0" w:color="auto"/>
      </w:divBdr>
    </w:div>
    <w:div w:id="2034303635">
      <w:bodyDiv w:val="1"/>
      <w:marLeft w:val="0"/>
      <w:marRight w:val="0"/>
      <w:marTop w:val="0"/>
      <w:marBottom w:val="0"/>
      <w:divBdr>
        <w:top w:val="none" w:sz="0" w:space="0" w:color="auto"/>
        <w:left w:val="none" w:sz="0" w:space="0" w:color="auto"/>
        <w:bottom w:val="none" w:sz="0" w:space="0" w:color="auto"/>
        <w:right w:val="none" w:sz="0" w:space="0" w:color="auto"/>
      </w:divBdr>
    </w:div>
    <w:div w:id="2044944032">
      <w:bodyDiv w:val="1"/>
      <w:marLeft w:val="0"/>
      <w:marRight w:val="0"/>
      <w:marTop w:val="0"/>
      <w:marBottom w:val="0"/>
      <w:divBdr>
        <w:top w:val="none" w:sz="0" w:space="0" w:color="auto"/>
        <w:left w:val="none" w:sz="0" w:space="0" w:color="auto"/>
        <w:bottom w:val="none" w:sz="0" w:space="0" w:color="auto"/>
        <w:right w:val="none" w:sz="0" w:space="0" w:color="auto"/>
      </w:divBdr>
    </w:div>
    <w:div w:id="2069259697">
      <w:bodyDiv w:val="1"/>
      <w:marLeft w:val="0"/>
      <w:marRight w:val="0"/>
      <w:marTop w:val="0"/>
      <w:marBottom w:val="0"/>
      <w:divBdr>
        <w:top w:val="none" w:sz="0" w:space="0" w:color="auto"/>
        <w:left w:val="none" w:sz="0" w:space="0" w:color="auto"/>
        <w:bottom w:val="none" w:sz="0" w:space="0" w:color="auto"/>
        <w:right w:val="none" w:sz="0" w:space="0" w:color="auto"/>
      </w:divBdr>
    </w:div>
    <w:div w:id="2107731752">
      <w:bodyDiv w:val="1"/>
      <w:marLeft w:val="0"/>
      <w:marRight w:val="0"/>
      <w:marTop w:val="0"/>
      <w:marBottom w:val="0"/>
      <w:divBdr>
        <w:top w:val="none" w:sz="0" w:space="0" w:color="auto"/>
        <w:left w:val="none" w:sz="0" w:space="0" w:color="auto"/>
        <w:bottom w:val="none" w:sz="0" w:space="0" w:color="auto"/>
        <w:right w:val="none" w:sz="0" w:space="0" w:color="auto"/>
      </w:divBdr>
    </w:div>
    <w:div w:id="214277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epi.org/system/files/public/documents/publications/statistics/2010%20Key%20Statistics%20FINAL.pdf" TargetMode="External"/><Relationship Id="rId21" Type="http://schemas.openxmlformats.org/officeDocument/2006/relationships/footer" Target="footer2.xml"/><Relationship Id="rId42" Type="http://schemas.openxmlformats.org/officeDocument/2006/relationships/diagramQuickStyle" Target="diagrams/quickStyle2.xml"/><Relationship Id="rId63" Type="http://schemas.openxmlformats.org/officeDocument/2006/relationships/oleObject" Target="embeddings/oleObject2.bin"/><Relationship Id="rId84" Type="http://schemas.openxmlformats.org/officeDocument/2006/relationships/hyperlink" Target="http://www.croenergo.eu/oiek-visine-tarifnih-stavki-za-2012-godinu-4893.aspx" TargetMode="External"/><Relationship Id="rId138" Type="http://schemas.openxmlformats.org/officeDocument/2006/relationships/hyperlink" Target="http://ec.europa.eu/enterprise/sectors/maritime/shipbuilding/" TargetMode="External"/><Relationship Id="rId159" Type="http://schemas.openxmlformats.org/officeDocument/2006/relationships/hyperlink" Target="http://www.fer.unizg.hr/_download/repository/RTEK_2012-RAMiU1-pred1.pdf" TargetMode="External"/><Relationship Id="rId170" Type="http://schemas.openxmlformats.org/officeDocument/2006/relationships/hyperlink" Target="http://www.researchandmarkets.com/reports/1839621/petroleum_coke_industry_to_2015_strong_demand" TargetMode="External"/><Relationship Id="rId191" Type="http://schemas.openxmlformats.org/officeDocument/2006/relationships/hyperlink" Target="http://www.khl-group.com/events/itc/assets/chris-sleight.pdf" TargetMode="External"/><Relationship Id="rId205" Type="http://schemas.openxmlformats.org/officeDocument/2006/relationships/hyperlink" Target="http://www.doingbusiness.org/~/media/GIAWB/Doing%20Business/Documents/Annual-Reports/English/DB13-full-report.pdf" TargetMode="External"/><Relationship Id="rId107" Type="http://schemas.openxmlformats.org/officeDocument/2006/relationships/hyperlink" Target="http://eur-lex.europa.eu/LexUriServ/LexUriServ.do?uri=COM:2012:0795:FIN:en:PDF" TargetMode="External"/><Relationship Id="rId11" Type="http://schemas.openxmlformats.org/officeDocument/2006/relationships/hyperlink" Target="http://www.google.hr/url?sa=t&amp;rct=j&amp;q=&amp;esrc=s&amp;frm=1&amp;source=web&amp;cd=5&amp;ved=0CFAQFjAE&amp;url=http%3A%2F%2Fwww.cefta.int%2F&amp;ei=wAwqUuHwOYLeswbd5IAo&amp;usg=AFQjCNFI5BTq51V5eANizNb0jWCVGRlIEQ&amp;sig2=hFiFiYVxQXpGgMnl67v7PQ&amp;bvm=bv.51773540,d.Yms" TargetMode="Externa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oleObject" Target="embeddings/Microsoft_Excel_97-2003_Worksheet1.xls"/><Relationship Id="rId58" Type="http://schemas.openxmlformats.org/officeDocument/2006/relationships/footer" Target="footer4.xml"/><Relationship Id="rId74" Type="http://schemas.openxmlformats.org/officeDocument/2006/relationships/hyperlink" Target="http://ec.europa.eu/transport/themes/strategies/doc/2009_future_of_transport/2009_the_future_of_transport.pdf" TargetMode="External"/><Relationship Id="rId79" Type="http://schemas.openxmlformats.org/officeDocument/2006/relationships/hyperlink" Target="http://epp.eurostat.ec.europa.eu/portal/page/portal/product_details/publication?p_product_code=KS-30-12-861%5b5.8.2013" TargetMode="External"/><Relationship Id="rId102" Type="http://schemas.openxmlformats.org/officeDocument/2006/relationships/hyperlink" Target="http://www.vguk.hr/download.php?downloadParams=studnewsfile%7C350" TargetMode="External"/><Relationship Id="rId123" Type="http://schemas.openxmlformats.org/officeDocument/2006/relationships/hyperlink" Target="http://www.currentpartnering.com/insight/top-50-pharma/" TargetMode="External"/><Relationship Id="rId128" Type="http://schemas.openxmlformats.org/officeDocument/2006/relationships/hyperlink" Target="http://www.sussex.ac.uk/geography/documents/02-t.pdf" TargetMode="External"/><Relationship Id="rId144" Type="http://schemas.openxmlformats.org/officeDocument/2006/relationships/hyperlink" Target="http://www.furnituremanufacturers.net/global-furniture-market.html" TargetMode="External"/><Relationship Id="rId149" Type="http://schemas.openxmlformats.org/officeDocument/2006/relationships/hyperlink" Target="http://www.hgk.hr" TargetMode="External"/><Relationship Id="rId5" Type="http://schemas.microsoft.com/office/2007/relationships/stylesWithEffects" Target="stylesWithEffects.xml"/><Relationship Id="rId90" Type="http://schemas.openxmlformats.org/officeDocument/2006/relationships/hyperlink" Target="http://www.voda.hr" TargetMode="External"/><Relationship Id="rId95" Type="http://schemas.openxmlformats.org/officeDocument/2006/relationships/hyperlink" Target="http://www.energetika-net.com" TargetMode="External"/><Relationship Id="rId160" Type="http://schemas.openxmlformats.org/officeDocument/2006/relationships/hyperlink" Target="http://www.marineinsight.com/marine/marine-news/headline/top-10-shipbuilding-companies-in-the-world-in-2012/" TargetMode="External"/><Relationship Id="rId165" Type="http://schemas.openxmlformats.org/officeDocument/2006/relationships/hyperlink" Target="http://www.pwc.com/gx/en/entertainment-media/.../future-of-ebooks.jhtml" TargetMode="External"/><Relationship Id="rId181" Type="http://schemas.openxmlformats.org/officeDocument/2006/relationships/hyperlink" Target="http://www.wto.com" TargetMode="External"/><Relationship Id="rId186" Type="http://schemas.openxmlformats.org/officeDocument/2006/relationships/hyperlink" Target="http://epp.eurostat.ec.europa.eu/statistics_explained/index.php/Wood_and_wood_product_statistics_-_NACE_Rev._1.1" TargetMode="External"/><Relationship Id="rId211"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diagramColors" Target="diagrams/colors2.xml"/><Relationship Id="rId48" Type="http://schemas.openxmlformats.org/officeDocument/2006/relationships/diagramColors" Target="diagrams/colors3.xml"/><Relationship Id="rId64" Type="http://schemas.openxmlformats.org/officeDocument/2006/relationships/image" Target="media/image8.wmf"/><Relationship Id="rId69" Type="http://schemas.openxmlformats.org/officeDocument/2006/relationships/chart" Target="charts/chart22.xml"/><Relationship Id="rId113" Type="http://schemas.openxmlformats.org/officeDocument/2006/relationships/hyperlink" Target="http://ec.europa.eu/enterprise/sectors/mechanical/files/metalworking/documentation_pack_en.pdf" TargetMode="External"/><Relationship Id="rId118" Type="http://schemas.openxmlformats.org/officeDocument/2006/relationships/hyperlink" Target="http://www.amazon.com/Financial-Reporting-Analysis-Program-curriculum/dp/0558521835" TargetMode="External"/><Relationship Id="rId134" Type="http://schemas.openxmlformats.org/officeDocument/2006/relationships/hyperlink" Target="http://www.epa.gov/compliance/resources/.../sectors/notebooks/rubplasn.pdf" TargetMode="External"/><Relationship Id="rId139" Type="http://schemas.openxmlformats.org/officeDocument/2006/relationships/hyperlink" Target="http://www.evaluategroup.com/Public/EvaluatePharma-World-Preview-2018-Embracing-the-Patent-Cliff.aspx" TargetMode="External"/><Relationship Id="rId80" Type="http://schemas.openxmlformats.org/officeDocument/2006/relationships/hyperlink" Target="http://www.fina.hr" TargetMode="External"/><Relationship Id="rId85" Type="http://schemas.openxmlformats.org/officeDocument/2006/relationships/hyperlink" Target="http://www.croenergo.eu/Novi-Tarifni-sustav-za-proizvodnju-elektricne-energije-iz-obnovljivih-izvora-energije-i-kogeneracije-I-dio-6317.aspx" TargetMode="External"/><Relationship Id="rId150" Type="http://schemas.openxmlformats.org/officeDocument/2006/relationships/hyperlink" Target="http://www.hgk.hr/category/sektor-centar/sektor-industrija" TargetMode="External"/><Relationship Id="rId155" Type="http://schemas.openxmlformats.org/officeDocument/2006/relationships/hyperlink" Target="http://www.trade.gov/mas/manufacturing/oaai/tg_oaai_003832.asp" TargetMode="External"/><Relationship Id="rId171" Type="http://schemas.openxmlformats.org/officeDocument/2006/relationships/hyperlink" Target="http://ec.europa.eu/enterprise/sectors/textiles/single-market/eu27/" TargetMode="External"/><Relationship Id="rId176" Type="http://schemas.openxmlformats.org/officeDocument/2006/relationships/hyperlink" Target="http://www.unep.org/.../The%20Global%20Chemical%20Outlook_Full%20report" TargetMode="External"/><Relationship Id="rId192" Type="http://schemas.openxmlformats.org/officeDocument/2006/relationships/hyperlink" Target="http://www.dzs.hr/Hrv/important/Nomen/nkd2007/nkd2007objasnjenja.pdf" TargetMode="External"/><Relationship Id="rId197" Type="http://schemas.openxmlformats.org/officeDocument/2006/relationships/hyperlink" Target="http://www.ifpi.org" TargetMode="External"/><Relationship Id="rId206" Type="http://schemas.openxmlformats.org/officeDocument/2006/relationships/hyperlink" Target="http://www3.weforum.org/docs/WEF_GlobalCompetitivenessReport_2013-14.pdf" TargetMode="External"/><Relationship Id="rId201" Type="http://schemas.openxmlformats.org/officeDocument/2006/relationships/hyperlink" Target="http://www.qfinance.com/sector-profiles/steel" TargetMode="External"/><Relationship Id="rId12" Type="http://schemas.openxmlformats.org/officeDocument/2006/relationships/hyperlink" Target="https://www.google.hr/url?sa=t&amp;rct=j&amp;q=&amp;esrc=s&amp;source=web&amp;cd=1&amp;ved=0CCcQFjAA&amp;url=http%3A%2F%2Fen.wikipedia.org%2Fwiki%2FCommonwealth_of_Independent_States&amp;ei=S6wnUv_nIsXHsgbdx4GYDg&amp;usg=AFQjCNEpcq0hvRtaBFOMFwKhU0dEPDqjNg&amp;sig2=t-_Yp1wFtYzJIKFlGU6ZrA&amp;bvm=bv.51773540,d.Yms" TargetMode="External"/><Relationship Id="rId17" Type="http://schemas.openxmlformats.org/officeDocument/2006/relationships/diagramLayout" Target="diagrams/layout1.xml"/><Relationship Id="rId33" Type="http://schemas.openxmlformats.org/officeDocument/2006/relationships/chart" Target="charts/chart11.xml"/><Relationship Id="rId38" Type="http://schemas.openxmlformats.org/officeDocument/2006/relationships/chart" Target="charts/chart16.xml"/><Relationship Id="rId59" Type="http://schemas.openxmlformats.org/officeDocument/2006/relationships/footer" Target="footer5.xml"/><Relationship Id="rId103" Type="http://schemas.openxmlformats.org/officeDocument/2006/relationships/hyperlink" Target="http://www.bdi.eu/BDI_english/download_content/32085_BDI_Wertschoepfung_engl_6.pdf" TargetMode="External"/><Relationship Id="rId108" Type="http://schemas.openxmlformats.org/officeDocument/2006/relationships/hyperlink" Target="http://www.europarl.europa.eu/document/activities/cont/201107/20110718ATT24270/20110718ATT24270EN.pdf" TargetMode="External"/><Relationship Id="rId124" Type="http://schemas.openxmlformats.org/officeDocument/2006/relationships/hyperlink" Target="http://www.flprint.org/www.flprint.org/Benefits_Resources_files/Charting_a_Path_2013-14.pdf" TargetMode="External"/><Relationship Id="rId129" Type="http://schemas.openxmlformats.org/officeDocument/2006/relationships/hyperlink" Target="http://www.eclac.org/publicaciones/xml/5/44885/2011-061_The_film_industry-_Serie_122.pdf" TargetMode="External"/><Relationship Id="rId54" Type="http://schemas.openxmlformats.org/officeDocument/2006/relationships/image" Target="media/image4.emf"/><Relationship Id="rId70" Type="http://schemas.openxmlformats.org/officeDocument/2006/relationships/chart" Target="charts/chart23.xml"/><Relationship Id="rId75" Type="http://schemas.openxmlformats.org/officeDocument/2006/relationships/hyperlink" Target="http://www.roboneill.co.uk/papers/research_methods.htm" TargetMode="External"/><Relationship Id="rId91" Type="http://schemas.openxmlformats.org/officeDocument/2006/relationships/hyperlink" Target="http://www.mps.hr/Ribarstvo/UserDocsImages/Arhiva/Studije/PELMON%20VPA%202010.pdf" TargetMode="External"/><Relationship Id="rId96" Type="http://schemas.openxmlformats.org/officeDocument/2006/relationships/hyperlink" Target="http://www.izvorienergije.com" TargetMode="External"/><Relationship Id="rId140" Type="http://schemas.openxmlformats.org/officeDocument/2006/relationships/hyperlink" Target="http://www.fina.hr" TargetMode="External"/><Relationship Id="rId145" Type="http://schemas.openxmlformats.org/officeDocument/2006/relationships/hyperlink" Target="http://www.gartner.com/" TargetMode="External"/><Relationship Id="rId161" Type="http://schemas.openxmlformats.org/officeDocument/2006/relationships/hyperlink" Target="http://www.marketline.com/" TargetMode="External"/><Relationship Id="rId166" Type="http://schemas.openxmlformats.org/officeDocument/2006/relationships/hyperlink" Target="http://www.prweb.com/releases/2013/5/prweb10767692.htm" TargetMode="External"/><Relationship Id="rId182" Type="http://schemas.openxmlformats.org/officeDocument/2006/relationships/hyperlink" Target="http://www.wwindea.org" TargetMode="External"/><Relationship Id="rId187" Type="http://schemas.openxmlformats.org/officeDocument/2006/relationships/hyperlink" Target="http://www.fina.hr"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glossaryDocument" Target="glossary/document.xml"/><Relationship Id="rId23" Type="http://schemas.openxmlformats.org/officeDocument/2006/relationships/chart" Target="charts/chart2.xml"/><Relationship Id="rId28" Type="http://schemas.openxmlformats.org/officeDocument/2006/relationships/chart" Target="charts/chart6.xml"/><Relationship Id="rId49" Type="http://schemas.microsoft.com/office/2007/relationships/diagramDrawing" Target="diagrams/drawing3.xml"/><Relationship Id="rId114" Type="http://schemas.openxmlformats.org/officeDocument/2006/relationships/hyperlink" Target="http://www.minpo.hr/UserDocsImages/Investment%20Promotion%20and%20Development%20of%20Investment%20Climate%20Act.pdf" TargetMode="External"/><Relationship Id="rId119" Type="http://schemas.openxmlformats.org/officeDocument/2006/relationships/hyperlink" Target="http://www.cleantechinvestor.com/portal/wind-energy/10502-wind-turbine-manufacturers-global-market-shares.html" TargetMode="External"/><Relationship Id="rId44" Type="http://schemas.microsoft.com/office/2007/relationships/diagramDrawing" Target="diagrams/drawing2.xml"/><Relationship Id="rId60" Type="http://schemas.openxmlformats.org/officeDocument/2006/relationships/image" Target="media/image6.wmf"/><Relationship Id="rId65" Type="http://schemas.openxmlformats.org/officeDocument/2006/relationships/oleObject" Target="embeddings/oleObject3.bin"/><Relationship Id="rId81" Type="http://schemas.openxmlformats.org/officeDocument/2006/relationships/hyperlink" Target="http://www.hnb.hr" TargetMode="External"/><Relationship Id="rId86" Type="http://schemas.openxmlformats.org/officeDocument/2006/relationships/hyperlink" Target="http://www.mps.hr/Ribarstvo/UserDocsImages/Studije/Sociolo%C5%A1ka%20studija%20o%20preferencijama%20u%20ishrani%20ribom%20i%20drugim%20proizvodima%20ribarstva%20stanovni%C5%A1tva%20RH.doc" TargetMode="External"/><Relationship Id="rId130" Type="http://schemas.openxmlformats.org/officeDocument/2006/relationships/hyperlink" Target="http://ec.europa.eu/clima/policies/ets/cap/allocation/docs/bm_study-lime_en.pdf" TargetMode="External"/><Relationship Id="rId135" Type="http://schemas.openxmlformats.org/officeDocument/2006/relationships/hyperlink" Target="http://www.equitymaster.com/research-it/sector-info/steel/Steel-Sector-Analysis-Report.asp" TargetMode="External"/><Relationship Id="rId151" Type="http://schemas.openxmlformats.org/officeDocument/2006/relationships/hyperlink" Target="http://www.ibisworld.com/industry/default.aspx?indid=1708" TargetMode="External"/><Relationship Id="rId156" Type="http://schemas.openxmlformats.org/officeDocument/2006/relationships/hyperlink" Target="http://www.safu.hr/hr/natjecaji/pregled/209" TargetMode="External"/><Relationship Id="rId177" Type="http://schemas.openxmlformats.org/officeDocument/2006/relationships/hyperlink" Target="http://www.bls.gov/iag/tgs/iag327.htm" TargetMode="External"/><Relationship Id="rId198" Type="http://schemas.openxmlformats.org/officeDocument/2006/relationships/hyperlink" Target="http://www.itu.int/en/ITU-D/Statistics/Documents/facts/ICTFactsFigures2013.pdf" TargetMode="External"/><Relationship Id="rId172" Type="http://schemas.openxmlformats.org/officeDocument/2006/relationships/hyperlink" Target="http://selectusa.commerce.gov/industry-snapshots/machinery-and-equipment-industry-united-states" TargetMode="External"/><Relationship Id="rId193" Type="http://schemas.openxmlformats.org/officeDocument/2006/relationships/hyperlink" Target="http://www.eclac.org/publicaciones/xml/5/44885/2011-061_The_film_industry-_Serie_122.pdf" TargetMode="External"/><Relationship Id="rId202" Type="http://schemas.openxmlformats.org/officeDocument/2006/relationships/hyperlink" Target="http://www.qfinance.com/sector-profiles/information-technology" TargetMode="External"/><Relationship Id="rId207" Type="http://schemas.openxmlformats.org/officeDocument/2006/relationships/hyperlink" Target="http://www.mingo.hr/userdocsimages/NACRT%20PRIJEDLOGA%20INOVACIJSKE%20STRATEGIJE%20RH.PDF" TargetMode="External"/><Relationship Id="rId13" Type="http://schemas.openxmlformats.org/officeDocument/2006/relationships/hyperlink" Target="http://www.google.hr/url?sa=t&amp;rct=j&amp;q=&amp;esrc=s&amp;frm=1&amp;source=web&amp;cd=1&amp;cad=rja&amp;ved=0CCoQFjAA&amp;url=http%3A%2F%2Fen.wikipedia.org%2Fwiki%2FRevealed_comparative_advantage&amp;ei=MwUuUpu1GIKPtAah2YGYCA&amp;usg=AFQjCNH6aDIcf3yel0VPslFnEYHRR19WUg&amp;sig2=s64WIROFElAS1Ewp-Ptf4w&amp;bvm=bv.51773540,d.Yms" TargetMode="External"/><Relationship Id="rId18" Type="http://schemas.openxmlformats.org/officeDocument/2006/relationships/diagramQuickStyle" Target="diagrams/quickStyle1.xml"/><Relationship Id="rId39" Type="http://schemas.openxmlformats.org/officeDocument/2006/relationships/chart" Target="charts/chart17.xml"/><Relationship Id="rId109" Type="http://schemas.openxmlformats.org/officeDocument/2006/relationships/hyperlink" Target="http://www.mfin.hr/adminmax/docs/Ekonomski%20program%20Republike%20Hrvatske%202013.pdf" TargetMode="External"/><Relationship Id="rId34" Type="http://schemas.openxmlformats.org/officeDocument/2006/relationships/chart" Target="charts/chart12.xml"/><Relationship Id="rId50" Type="http://schemas.openxmlformats.org/officeDocument/2006/relationships/chart" Target="charts/chart18.xml"/><Relationship Id="rId55" Type="http://schemas.openxmlformats.org/officeDocument/2006/relationships/oleObject" Target="embeddings/Microsoft_Excel_97-2003_Worksheet2.xls"/><Relationship Id="rId76" Type="http://schemas.openxmlformats.org/officeDocument/2006/relationships/hyperlink" Target="http://unctad.org/en/docs/osgdp20072_en.pdf" TargetMode="External"/><Relationship Id="rId97" Type="http://schemas.openxmlformats.org/officeDocument/2006/relationships/hyperlink" Target="http://portal.hrsume.hr/" TargetMode="External"/><Relationship Id="rId104" Type="http://schemas.openxmlformats.org/officeDocument/2006/relationships/hyperlink" Target="http://ec.europa.eu/eu2020/pdf/COMPLET%20EN%20BARROSO%20%20%20007%20-%20Europe%202020%20-%20EN%20version.pdf" TargetMode="External"/><Relationship Id="rId120" Type="http://schemas.openxmlformats.org/officeDocument/2006/relationships/hyperlink" Target="http://www.resource-net.com/files/Sample_Pages.pdf" TargetMode="External"/><Relationship Id="rId125" Type="http://schemas.openxmlformats.org/officeDocument/2006/relationships/hyperlink" Target="http://www.usaee.org/usaee2012/submissions/OnlineProceedings/7205deMaackLantz_USAEE2012.pdf" TargetMode="External"/><Relationship Id="rId141" Type="http://schemas.openxmlformats.org/officeDocument/2006/relationships/hyperlink" Target="ftp://ftp.fao.org/docrep/fao/011/i0350e/i0350e02a.pdf" TargetMode="External"/><Relationship Id="rId146" Type="http://schemas.openxmlformats.org/officeDocument/2006/relationships/hyperlink" Target="http://gcaptain.com/global-shipbuilding-outlook-global/" TargetMode="External"/><Relationship Id="rId167" Type="http://schemas.openxmlformats.org/officeDocument/2006/relationships/hyperlink" Target="http://www.rer.co.uk/image/data/Sample%20Downloads/European%20Electronics%20Production.pdf" TargetMode="External"/><Relationship Id="rId188" Type="http://schemas.openxmlformats.org/officeDocument/2006/relationships/hyperlink" Target="http://www.hgk.hr" TargetMode="External"/><Relationship Id="rId7" Type="http://schemas.openxmlformats.org/officeDocument/2006/relationships/webSettings" Target="webSettings.xml"/><Relationship Id="rId71" Type="http://schemas.openxmlformats.org/officeDocument/2006/relationships/chart" Target="charts/chart24.xml"/><Relationship Id="rId92" Type="http://schemas.openxmlformats.org/officeDocument/2006/relationships/hyperlink" Target="http://www.kitcometals.com/" TargetMode="External"/><Relationship Id="rId162" Type="http://schemas.openxmlformats.org/officeDocument/2006/relationships/hyperlink" Target="http://www.dzs.hr" TargetMode="External"/><Relationship Id="rId183" Type="http://schemas.openxmlformats.org/officeDocument/2006/relationships/hyperlink" Target="http://www.atkearney.si/index.php/Publications/preporuke-za-hrvatsku-prehrambenu-industriju-pred-ulaskom-u-eu.html"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footer" Target="footer3.xml"/><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footer" Target="footer6.xml"/><Relationship Id="rId87" Type="http://schemas.openxmlformats.org/officeDocument/2006/relationships/hyperlink" Target="http://www.ekologija.ba/userfiles/file/Obnovljivi%20izvori%20energije%20-%20Studija.pdf" TargetMode="External"/><Relationship Id="rId110" Type="http://schemas.openxmlformats.org/officeDocument/2006/relationships/hyperlink" Target="http://www.mrrfeu.hr/userDocsImages/Publikacije/Strateski_okvir_za_razvoj_2006_2013.pdf" TargetMode="External"/><Relationship Id="rId115" Type="http://schemas.openxmlformats.org/officeDocument/2006/relationships/hyperlink" Target="http://www.cefic.org/Documents/FactsAndFigures/2012/Facts-and-Figures-2012-The-Leaflet.pdf" TargetMode="External"/><Relationship Id="rId131" Type="http://schemas.openxmlformats.org/officeDocument/2006/relationships/hyperlink" Target="http://www.economywatch.com/world-industries/steel-industry/" TargetMode="External"/><Relationship Id="rId136" Type="http://schemas.openxmlformats.org/officeDocument/2006/relationships/hyperlink" Target="http://www.ericsson.com/hr/etk/index.shtml" TargetMode="External"/><Relationship Id="rId157" Type="http://schemas.openxmlformats.org/officeDocument/2006/relationships/hyperlink" Target="http://www.kpmg.com/be/en/issuesandinsights/articlespublications/pages/food-beverage-outlook-survey.aspx" TargetMode="External"/><Relationship Id="rId178" Type="http://schemas.openxmlformats.org/officeDocument/2006/relationships/hyperlink" Target="http://www.census.gov/manufacturing/m3/adv/pdf/durgd.pdf" TargetMode="External"/><Relationship Id="rId61" Type="http://schemas.openxmlformats.org/officeDocument/2006/relationships/oleObject" Target="embeddings/oleObject1.bin"/><Relationship Id="rId82" Type="http://schemas.openxmlformats.org/officeDocument/2006/relationships/hyperlink" Target="http://www.hzz.hr" TargetMode="External"/><Relationship Id="rId152" Type="http://schemas.openxmlformats.org/officeDocument/2006/relationships/hyperlink" Target="https://www.idc.com/getdoc.jsp?containerId=prUS23916413" TargetMode="External"/><Relationship Id="rId173" Type="http://schemas.openxmlformats.org/officeDocument/2006/relationships/hyperlink" Target="http://campaign.tetrapak.com/tetra-brik-edge/upload/tb-edge/whitepapers/Whitepaper_Manufacturer_Trends.pdf" TargetMode="External"/><Relationship Id="rId194" Type="http://schemas.openxmlformats.org/officeDocument/2006/relationships/hyperlink" Target="http://epp.eurostat.ec.europa.eu/cache/ITY_PUBLIC/4-11122012-BP/EN/4-11122012-BP-EN.PDF" TargetMode="External"/><Relationship Id="rId199" Type="http://schemas.openxmlformats.org/officeDocument/2006/relationships/hyperlink" Target="http://www.dzs.hr" TargetMode="External"/><Relationship Id="rId203" Type="http://schemas.openxmlformats.org/officeDocument/2006/relationships/hyperlink" Target="http://www.unctad.org" TargetMode="External"/><Relationship Id="rId208" Type="http://schemas.openxmlformats.org/officeDocument/2006/relationships/hyperlink" Target="http://www.vlada.hr/hr/naslovnica/sjednice_i_odluke_vlade_rh/2013/89_sjednica_vlade_republike_hrvatske/89_2/(view_online)/1" TargetMode="External"/><Relationship Id="rId19" Type="http://schemas.openxmlformats.org/officeDocument/2006/relationships/diagramColors" Target="diagrams/colors1.xml"/><Relationship Id="rId14" Type="http://schemas.openxmlformats.org/officeDocument/2006/relationships/image" Target="media/image2.pn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image" Target="media/image5.emf"/><Relationship Id="rId77" Type="http://schemas.openxmlformats.org/officeDocument/2006/relationships/hyperlink" Target="http://www.enterprisesurveys.org/Methodology" TargetMode="External"/><Relationship Id="rId100" Type="http://schemas.openxmlformats.org/officeDocument/2006/relationships/hyperlink" Target="http://www.voda.hr" TargetMode="External"/><Relationship Id="rId105" Type="http://schemas.openxmlformats.org/officeDocument/2006/relationships/hyperlink" Target="http://ec.europa.eu/europe2020/pdf/ags2013_en.pdf" TargetMode="External"/><Relationship Id="rId126" Type="http://schemas.openxmlformats.org/officeDocument/2006/relationships/hyperlink" Target="http://www.dryships.com" TargetMode="External"/><Relationship Id="rId147" Type="http://schemas.openxmlformats.org/officeDocument/2006/relationships/hyperlink" Target="http://www.colorado.edu/IBS/PEC/gadconf/papers/gereffi.pdf" TargetMode="External"/><Relationship Id="rId168" Type="http://schemas.openxmlformats.org/officeDocument/2006/relationships/hyperlink" Target="http://www.reportbuyer.com/business_government/misc_business_services/machinery_maintenance_heavy_equipment_repair_services_us.html" TargetMode="External"/><Relationship Id="rId8" Type="http://schemas.openxmlformats.org/officeDocument/2006/relationships/footnotes" Target="footnotes.xml"/><Relationship Id="rId51" Type="http://schemas.openxmlformats.org/officeDocument/2006/relationships/chart" Target="charts/chart19.xml"/><Relationship Id="rId72" Type="http://schemas.openxmlformats.org/officeDocument/2006/relationships/chart" Target="charts/chart25.xml"/><Relationship Id="rId93" Type="http://schemas.openxmlformats.org/officeDocument/2006/relationships/hyperlink" Target="http://mingorp.hr" TargetMode="External"/><Relationship Id="rId98" Type="http://schemas.openxmlformats.org/officeDocument/2006/relationships/hyperlink" Target="http://www.mojaenergija.hr" TargetMode="External"/><Relationship Id="rId121" Type="http://schemas.openxmlformats.org/officeDocument/2006/relationships/hyperlink" Target="http://communities-dominate.blogs.com/brands/2013/02/worlds-biggest-computer-makers-when-pcs-tablets-and-smartphones-are-included.html" TargetMode="External"/><Relationship Id="rId142" Type="http://schemas.openxmlformats.org/officeDocument/2006/relationships/hyperlink" Target="http://www.google.hr/url?sa=t&amp;rct=j&amp;q=&amp;esrc=s&amp;frm=1&amp;source=web&amp;cd=1&amp;ved=0CCUQFjAA&amp;url=http%3A%2F%2Fwww.fooddrinkeurope.eu%2Fuploads%2Fpublications_documents%2FFinal_FDE_competitiveness_web2.pdf&amp;ei=UzzNUffxE8autAanoHICA&amp;usg=AFQjCNEJ5cVrMPIMBbmkbuB6BD_SAYtaQ&amp;sig2=Gf8zpM7OP2A1hxM4ZnF7wA" TargetMode="External"/><Relationship Id="rId163" Type="http://schemas.openxmlformats.org/officeDocument/2006/relationships/hyperlink" Target="http://www.hgk.hr/wp-content/blogs.dir/1/files_mf/program66.pdf" TargetMode="External"/><Relationship Id="rId184" Type="http://schemas.openxmlformats.org/officeDocument/2006/relationships/hyperlink" Target="http://www.ficem.org/pres/THOMAS-ARMSTRONG-LA-INDUSTRIA-DEL-CEMENTO-EN-CIFRAS.pdf" TargetMode="External"/><Relationship Id="rId189" Type="http://schemas.openxmlformats.org/officeDocument/2006/relationships/hyperlink" Target="http://www.hgk.hr/category/sektor-centar/sektor-industrija" TargetMode="External"/><Relationship Id="rId3" Type="http://schemas.openxmlformats.org/officeDocument/2006/relationships/numbering" Target="numbering.xml"/><Relationship Id="rId25" Type="http://schemas.openxmlformats.org/officeDocument/2006/relationships/chart" Target="charts/chart3.xml"/><Relationship Id="rId46" Type="http://schemas.openxmlformats.org/officeDocument/2006/relationships/diagramLayout" Target="diagrams/layout3.xml"/><Relationship Id="rId67" Type="http://schemas.openxmlformats.org/officeDocument/2006/relationships/chart" Target="charts/chart20.xml"/><Relationship Id="rId116" Type="http://schemas.openxmlformats.org/officeDocument/2006/relationships/hyperlink" Target="http://www.4noboundaries.org/documents/MV_Project-BenchmarkingReport-062309.pdf" TargetMode="External"/><Relationship Id="rId137" Type="http://schemas.openxmlformats.org/officeDocument/2006/relationships/hyperlink" Target="http://www.ey.com/Publication/vwLUAssets/Global-Steel-Report-2013/$FILE/Global-Steel-Report-2013_ER0046.pdf" TargetMode="External"/><Relationship Id="rId158" Type="http://schemas.openxmlformats.org/officeDocument/2006/relationships/hyperlink" Target="http://www.itmf.org/fgrs-shanghai/07-Lee.pdf" TargetMode="External"/><Relationship Id="rId20" Type="http://schemas.microsoft.com/office/2007/relationships/diagramDrawing" Target="diagrams/drawing1.xml"/><Relationship Id="rId41" Type="http://schemas.openxmlformats.org/officeDocument/2006/relationships/diagramLayout" Target="diagrams/layout2.xml"/><Relationship Id="rId62" Type="http://schemas.openxmlformats.org/officeDocument/2006/relationships/image" Target="media/image7.wmf"/><Relationship Id="rId83" Type="http://schemas.openxmlformats.org/officeDocument/2006/relationships/hyperlink" Target="http://www.vsrh.hr/CustomPages/Static/HRV/Files/JBrezanski-Vode_i_vodno_dobro.doc" TargetMode="External"/><Relationship Id="rId88" Type="http://schemas.openxmlformats.org/officeDocument/2006/relationships/hyperlink" Target="http://www.hep.hr/proizvodnja/osnovni/hidroelektrane/" TargetMode="External"/><Relationship Id="rId111" Type="http://schemas.openxmlformats.org/officeDocument/2006/relationships/hyperlink" Target="http://www.plasticseurope.org/cust/documentrequest.aspx?DocID=54693" TargetMode="External"/><Relationship Id="rId132" Type="http://schemas.openxmlformats.org/officeDocument/2006/relationships/hyperlink" Target="http://www.eenpact.eu/hu/system/files/documents/Leather%20Global%20UCV.pdf" TargetMode="External"/><Relationship Id="rId153" Type="http://schemas.openxmlformats.org/officeDocument/2006/relationships/hyperlink" Target="http://www.integraf.eu" TargetMode="External"/><Relationship Id="rId174" Type="http://schemas.openxmlformats.org/officeDocument/2006/relationships/hyperlink" Target="http://www.economist.com/news/business/21579844-worlds-cement-giants-look-set-recoverybut-will-it-be-durable-ready-mixed-fortunes" TargetMode="External"/><Relationship Id="rId179" Type="http://schemas.openxmlformats.org/officeDocument/2006/relationships/hyperlink" Target="http://www.valueline.com/Stocks/Industry_Report.aspx?id=7248" TargetMode="External"/><Relationship Id="rId195" Type="http://schemas.openxmlformats.org/officeDocument/2006/relationships/hyperlink" Target="http://www.fina.hr" TargetMode="External"/><Relationship Id="rId209" Type="http://schemas.openxmlformats.org/officeDocument/2006/relationships/hyperlink" Target="http://www.dzs.hr" TargetMode="External"/><Relationship Id="rId190" Type="http://schemas.openxmlformats.org/officeDocument/2006/relationships/hyperlink" Target="http://www.dzs.hr" TargetMode="External"/><Relationship Id="rId204" Type="http://schemas.openxmlformats.org/officeDocument/2006/relationships/hyperlink" Target="http://ec.europa.eu/enterprise/policies/industrial-competitiveness/monitoring-member-states/files/ms_comp_report_2012_en.pdf" TargetMode="External"/><Relationship Id="rId15" Type="http://schemas.openxmlformats.org/officeDocument/2006/relationships/footer" Target="footer1.xml"/><Relationship Id="rId36" Type="http://schemas.openxmlformats.org/officeDocument/2006/relationships/chart" Target="charts/chart14.xml"/><Relationship Id="rId57" Type="http://schemas.openxmlformats.org/officeDocument/2006/relationships/oleObject" Target="embeddings/Microsoft_Excel_97-2003_Worksheet3.xls"/><Relationship Id="rId106" Type="http://schemas.openxmlformats.org/officeDocument/2006/relationships/hyperlink" Target="http://eur-lex.europa.eu/LexUriServ/LexUriServ.do?uri=COM:2012:0582:FIN:EN:PDF" TargetMode="External"/><Relationship Id="rId127" Type="http://schemas.openxmlformats.org/officeDocument/2006/relationships/hyperlink" Target="http://www.dzs.hr/Hrv_Eng/msi/2013/msi-2013_02.pdf" TargetMode="External"/><Relationship Id="rId10" Type="http://schemas.openxmlformats.org/officeDocument/2006/relationships/image" Target="media/image1.png"/><Relationship Id="rId31" Type="http://schemas.openxmlformats.org/officeDocument/2006/relationships/chart" Target="charts/chart9.xml"/><Relationship Id="rId52" Type="http://schemas.openxmlformats.org/officeDocument/2006/relationships/image" Target="media/image3.emf"/><Relationship Id="rId73" Type="http://schemas.openxmlformats.org/officeDocument/2006/relationships/hyperlink" Target="http://scholar.harvard.edu/aghion/files/industrial_policy_and_competition.pdf" TargetMode="External"/><Relationship Id="rId78" Type="http://schemas.openxmlformats.org/officeDocument/2006/relationships/hyperlink" Target="http://www.dzs.hr" TargetMode="External"/><Relationship Id="rId94" Type="http://schemas.openxmlformats.org/officeDocument/2006/relationships/hyperlink" Target="http://www.mps.hr" TargetMode="External"/><Relationship Id="rId99" Type="http://schemas.openxmlformats.org/officeDocument/2006/relationships/hyperlink" Target="http://www.obnovljivi.com" TargetMode="External"/><Relationship Id="rId101" Type="http://schemas.openxmlformats.org/officeDocument/2006/relationships/hyperlink" Target="http://www.eu-kamen.com/Portals/0/Analiza_stanja_u_sektoru_final.pdf" TargetMode="External"/><Relationship Id="rId122" Type="http://schemas.openxmlformats.org/officeDocument/2006/relationships/hyperlink" Target="http://www.cost.eu/download/Foresight2030_FoodSecurity_Report" TargetMode="External"/><Relationship Id="rId143" Type="http://schemas.openxmlformats.org/officeDocument/2006/relationships/hyperlink" Target="http://www.f" TargetMode="External"/><Relationship Id="rId148" Type="http://schemas.openxmlformats.org/officeDocument/2006/relationships/hyperlink" Target="http://www.hoovers.com/industry-facts.machinery-manufacturing.1397.html" TargetMode="External"/><Relationship Id="rId164" Type="http://schemas.openxmlformats.org/officeDocument/2006/relationships/hyperlink" Target="http://www.plasticseurope.org/documents/document/20111107101127final_pe_factsfigures_uk2011_lr_041111.pdf" TargetMode="External"/><Relationship Id="rId169" Type="http://schemas.openxmlformats.org/officeDocument/2006/relationships/hyperlink" Target="http://www.reportlinker.com/" TargetMode="External"/><Relationship Id="rId185" Type="http://schemas.openxmlformats.org/officeDocument/2006/relationships/hyperlink" Target="http://www.dzs.hr/"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worldsteel.org/dms/internetDocumentList/bookshop/WSIF_2012/document/World%20Steel%20in%20Figures%202012.pdf" TargetMode="External"/><Relationship Id="rId210" Type="http://schemas.openxmlformats.org/officeDocument/2006/relationships/footer" Target="footer7.xml"/><Relationship Id="rId26" Type="http://schemas.openxmlformats.org/officeDocument/2006/relationships/chart" Target="charts/chart4.xml"/><Relationship Id="rId47" Type="http://schemas.openxmlformats.org/officeDocument/2006/relationships/diagramQuickStyle" Target="diagrams/quickStyle3.xml"/><Relationship Id="rId68" Type="http://schemas.openxmlformats.org/officeDocument/2006/relationships/chart" Target="charts/chart21.xml"/><Relationship Id="rId89" Type="http://schemas.openxmlformats.org/officeDocument/2006/relationships/hyperlink" Target="http://www.hep.hr" TargetMode="External"/><Relationship Id="rId112" Type="http://schemas.openxmlformats.org/officeDocument/2006/relationships/hyperlink" Target="http://www.bain.com/Images/BAIN_BRIEF_Global_refining.pdf" TargetMode="External"/><Relationship Id="rId133" Type="http://schemas.openxmlformats.org/officeDocument/2006/relationships/hyperlink" Target="http://energy.korea.com/archives/42677" TargetMode="External"/><Relationship Id="rId154" Type="http://schemas.openxmlformats.org/officeDocument/2006/relationships/hyperlink" Target="http://www.idc.com/" TargetMode="External"/><Relationship Id="rId175" Type="http://schemas.openxmlformats.org/officeDocument/2006/relationships/hyperlink" Target="http://www.unece.org/fileadmin/DAM/timber/mis/presentations/PepkeGlobalWoodMkts050510.pdf" TargetMode="External"/><Relationship Id="rId196" Type="http://schemas.openxmlformats.org/officeDocument/2006/relationships/hyperlink" Target="http://www.forbes.com/global2000/list/" TargetMode="External"/><Relationship Id="rId200" Type="http://schemas.openxmlformats.org/officeDocument/2006/relationships/hyperlink" Target="http://www.pwc.com/gx/en/entertainment-media/.../future-of-ebooks.jhtml" TargetMode="External"/><Relationship Id="rId16"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terprise/policies/industrial-competitiveness/monitoring-member-states/files/ms_comp_report_2012_en.pdf" TargetMode="External"/><Relationship Id="rId2" Type="http://schemas.openxmlformats.org/officeDocument/2006/relationships/hyperlink" Target="http://www.doingbusiness.org/~/media/GIAWB/Doing%20Business/Documents/Annual-Reports/English/DB13-full-report.pdf" TargetMode="External"/><Relationship Id="rId1" Type="http://schemas.openxmlformats.org/officeDocument/2006/relationships/hyperlink" Target="http://www3.weforum.org/docs/WEF_GlobalCompetitivenessReport_2013-14.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MAKROEKONOMSKA%20ANALIZA%20HRVATSKE\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ilip\AppData\Local\Temp\Kopija%20inozemna-izravna-ulaganja-u-rh-po-djelatnostima.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Documents%20and%20Settings\Jan\Desktop\C%20interpretacija\PRAVI%20C+.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DORADA%20PRERA&#272;IVA&#268;KE%20INDUSTRIJE%20-%2023.08.2013\PRIPREMA%20TABLIC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cat>
            <c:strRef>
              <c:f>'BDP I CIJENE'!$L$260:$T$260</c:f>
              <c:strCache>
                <c:ptCount val="9"/>
                <c:pt idx="0">
                  <c:v>2004</c:v>
                </c:pt>
                <c:pt idx="1">
                  <c:v>2005</c:v>
                </c:pt>
                <c:pt idx="2">
                  <c:v>2006</c:v>
                </c:pt>
                <c:pt idx="3">
                  <c:v>2007</c:v>
                </c:pt>
                <c:pt idx="4">
                  <c:v>2008</c:v>
                </c:pt>
                <c:pt idx="5">
                  <c:v>2009</c:v>
                </c:pt>
                <c:pt idx="6">
                  <c:v>2010</c:v>
                </c:pt>
                <c:pt idx="7">
                  <c:v>2011</c:v>
                </c:pt>
                <c:pt idx="8">
                  <c:v>2012</c:v>
                </c:pt>
              </c:strCache>
            </c:strRef>
          </c:cat>
          <c:val>
            <c:numRef>
              <c:f>'BDP I CIJENE'!$L$262:$T$262</c:f>
              <c:numCache>
                <c:formatCode>0.00%</c:formatCode>
                <c:ptCount val="9"/>
                <c:pt idx="0">
                  <c:v>4.1000000000000002E-2</c:v>
                </c:pt>
                <c:pt idx="1">
                  <c:v>4.3000000000000003E-2</c:v>
                </c:pt>
                <c:pt idx="2">
                  <c:v>4.9000000000000432E-2</c:v>
                </c:pt>
                <c:pt idx="3">
                  <c:v>5.1000000000000004E-2</c:v>
                </c:pt>
                <c:pt idx="4">
                  <c:v>2.1000000000000092E-2</c:v>
                </c:pt>
                <c:pt idx="5">
                  <c:v>-6.9000000000000422E-2</c:v>
                </c:pt>
                <c:pt idx="6">
                  <c:v>-2.300000000000001E-2</c:v>
                </c:pt>
                <c:pt idx="7">
                  <c:v>0</c:v>
                </c:pt>
                <c:pt idx="8">
                  <c:v>-2.0000000000000052E-2</c:v>
                </c:pt>
              </c:numCache>
            </c:numRef>
          </c:val>
          <c:smooth val="0"/>
        </c:ser>
        <c:dLbls>
          <c:showLegendKey val="0"/>
          <c:showVal val="0"/>
          <c:showCatName val="0"/>
          <c:showSerName val="0"/>
          <c:showPercent val="0"/>
          <c:showBubbleSize val="0"/>
        </c:dLbls>
        <c:marker val="1"/>
        <c:smooth val="0"/>
        <c:axId val="152935808"/>
        <c:axId val="193512576"/>
      </c:lineChart>
      <c:catAx>
        <c:axId val="152935808"/>
        <c:scaling>
          <c:orientation val="minMax"/>
        </c:scaling>
        <c:delete val="0"/>
        <c:axPos val="b"/>
        <c:numFmt formatCode="General" sourceLinked="1"/>
        <c:majorTickMark val="none"/>
        <c:minorTickMark val="none"/>
        <c:tickLblPos val="nextTo"/>
        <c:crossAx val="193512576"/>
        <c:crosses val="autoZero"/>
        <c:auto val="1"/>
        <c:lblAlgn val="ctr"/>
        <c:lblOffset val="100"/>
        <c:noMultiLvlLbl val="0"/>
      </c:catAx>
      <c:valAx>
        <c:axId val="193512576"/>
        <c:scaling>
          <c:orientation val="minMax"/>
          <c:min val="-8.0000000000000224E-2"/>
        </c:scaling>
        <c:delete val="0"/>
        <c:axPos val="l"/>
        <c:majorGridlines>
          <c:spPr>
            <a:ln>
              <a:solidFill>
                <a:srgbClr val="4F81BD"/>
              </a:solidFill>
            </a:ln>
          </c:spPr>
        </c:majorGridlines>
        <c:numFmt formatCode="0.00%" sourceLinked="1"/>
        <c:majorTickMark val="none"/>
        <c:minorTickMark val="none"/>
        <c:tickLblPos val="nextTo"/>
        <c:spPr>
          <a:ln w="9525">
            <a:noFill/>
          </a:ln>
        </c:spPr>
        <c:crossAx val="15293580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HRV!$A$60</c:f>
              <c:strCache>
                <c:ptCount val="1"/>
                <c:pt idx="0">
                  <c:v>1. Krediti središnjoj državi i fondovima socijalne sigurnosti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HRV!$B$60:$J$60</c:f>
              <c:numCache>
                <c:formatCode>#,##0.0</c:formatCode>
                <c:ptCount val="9"/>
                <c:pt idx="0">
                  <c:v>30439.677806790001</c:v>
                </c:pt>
                <c:pt idx="1">
                  <c:v>75441.278647090003</c:v>
                </c:pt>
                <c:pt idx="2">
                  <c:v>94854.723327570013</c:v>
                </c:pt>
                <c:pt idx="3">
                  <c:v>59544.211316339999</c:v>
                </c:pt>
                <c:pt idx="4">
                  <c:v>87567.491216350012</c:v>
                </c:pt>
                <c:pt idx="5">
                  <c:v>190570.94012983111</c:v>
                </c:pt>
                <c:pt idx="6">
                  <c:v>204684.52820746999</c:v>
                </c:pt>
                <c:pt idx="7">
                  <c:v>252013.75389666003</c:v>
                </c:pt>
                <c:pt idx="8">
                  <c:v>254342.68775584004</c:v>
                </c:pt>
              </c:numCache>
            </c:numRef>
          </c:val>
          <c:smooth val="0"/>
        </c:ser>
        <c:ser>
          <c:idx val="3"/>
          <c:order val="1"/>
          <c:tx>
            <c:strRef>
              <c:f>HRV!$A$63</c:f>
              <c:strCache>
                <c:ptCount val="1"/>
                <c:pt idx="0">
                  <c:v>2. Krediti lokalnoj državi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HRV!$B$63:$J$63</c:f>
              <c:numCache>
                <c:formatCode>#,##0.0</c:formatCode>
                <c:ptCount val="9"/>
                <c:pt idx="0">
                  <c:v>423.49926954999893</c:v>
                </c:pt>
                <c:pt idx="1">
                  <c:v>424.49742081999995</c:v>
                </c:pt>
                <c:pt idx="2">
                  <c:v>179.09763015000001</c:v>
                </c:pt>
                <c:pt idx="3">
                  <c:v>112.70109215000001</c:v>
                </c:pt>
                <c:pt idx="4">
                  <c:v>81.405372819997339</c:v>
                </c:pt>
                <c:pt idx="5">
                  <c:v>50.015223459999945</c:v>
                </c:pt>
                <c:pt idx="6">
                  <c:v>12.90723274</c:v>
                </c:pt>
                <c:pt idx="7">
                  <c:v>4.6114368899999745</c:v>
                </c:pt>
                <c:pt idx="8">
                  <c:v>3.2494859999999997</c:v>
                </c:pt>
              </c:numCache>
            </c:numRef>
          </c:val>
          <c:smooth val="0"/>
        </c:ser>
        <c:ser>
          <c:idx val="0"/>
          <c:order val="2"/>
          <c:tx>
            <c:strRef>
              <c:f>HRV!$A$64</c:f>
              <c:strCache>
                <c:ptCount val="1"/>
                <c:pt idx="0">
                  <c:v>3. Krediti nefinancijskim trgovačkim društvima</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HRV!$B$64:$J$64</c:f>
              <c:numCache>
                <c:formatCode>#,##0.0</c:formatCode>
                <c:ptCount val="9"/>
                <c:pt idx="0">
                  <c:v>124604.10886661005</c:v>
                </c:pt>
                <c:pt idx="1">
                  <c:v>138841.21748637001</c:v>
                </c:pt>
                <c:pt idx="2">
                  <c:v>161816.4454267</c:v>
                </c:pt>
                <c:pt idx="3">
                  <c:v>157116.35490992002</c:v>
                </c:pt>
                <c:pt idx="4">
                  <c:v>156085.20270956427</c:v>
                </c:pt>
                <c:pt idx="5">
                  <c:v>218414.87691793998</c:v>
                </c:pt>
                <c:pt idx="6">
                  <c:v>282846.28300409002</c:v>
                </c:pt>
                <c:pt idx="7">
                  <c:v>311815.91720457008</c:v>
                </c:pt>
                <c:pt idx="8">
                  <c:v>330633.54192446359</c:v>
                </c:pt>
              </c:numCache>
            </c:numRef>
          </c:val>
          <c:smooth val="0"/>
        </c:ser>
        <c:ser>
          <c:idx val="1"/>
          <c:order val="3"/>
          <c:tx>
            <c:strRef>
              <c:f>HRV!$A$65</c:f>
              <c:strCache>
                <c:ptCount val="1"/>
                <c:pt idx="0">
                  <c:v>4. Krediti stanovništvu</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HRV!$B$65:$J$65</c:f>
              <c:numCache>
                <c:formatCode>#,##0.0</c:formatCode>
                <c:ptCount val="9"/>
                <c:pt idx="0">
                  <c:v>2528.0284594699151</c:v>
                </c:pt>
                <c:pt idx="1">
                  <c:v>4100.3820204300937</c:v>
                </c:pt>
                <c:pt idx="2">
                  <c:v>4622.2545960800044</c:v>
                </c:pt>
                <c:pt idx="3">
                  <c:v>4447.1728639100002</c:v>
                </c:pt>
                <c:pt idx="4">
                  <c:v>4050.6245420300002</c:v>
                </c:pt>
                <c:pt idx="5">
                  <c:v>3907.8985739500022</c:v>
                </c:pt>
                <c:pt idx="6">
                  <c:v>4025.2226779999987</c:v>
                </c:pt>
                <c:pt idx="7">
                  <c:v>4125.7947013399998</c:v>
                </c:pt>
                <c:pt idx="8">
                  <c:v>3812.1714619099998</c:v>
                </c:pt>
              </c:numCache>
            </c:numRef>
          </c:val>
          <c:smooth val="0"/>
        </c:ser>
        <c:dLbls>
          <c:showLegendKey val="0"/>
          <c:showVal val="0"/>
          <c:showCatName val="0"/>
          <c:showSerName val="0"/>
          <c:showPercent val="0"/>
          <c:showBubbleSize val="0"/>
        </c:dLbls>
        <c:marker val="1"/>
        <c:smooth val="0"/>
        <c:axId val="195453696"/>
        <c:axId val="195455232"/>
      </c:lineChart>
      <c:catAx>
        <c:axId val="195453696"/>
        <c:scaling>
          <c:orientation val="minMax"/>
        </c:scaling>
        <c:delete val="0"/>
        <c:axPos val="b"/>
        <c:majorTickMark val="none"/>
        <c:minorTickMark val="none"/>
        <c:tickLblPos val="nextTo"/>
        <c:crossAx val="195455232"/>
        <c:crosses val="autoZero"/>
        <c:auto val="1"/>
        <c:lblAlgn val="ctr"/>
        <c:lblOffset val="100"/>
        <c:noMultiLvlLbl val="0"/>
      </c:catAx>
      <c:valAx>
        <c:axId val="195455232"/>
        <c:scaling>
          <c:orientation val="minMax"/>
        </c:scaling>
        <c:delete val="0"/>
        <c:axPos val="l"/>
        <c:majorGridlines/>
        <c:numFmt formatCode="#,##0.0" sourceLinked="1"/>
        <c:majorTickMark val="none"/>
        <c:minorTickMark val="none"/>
        <c:tickLblPos val="nextTo"/>
        <c:crossAx val="19545369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Sheet1!$C$2</c:f>
              <c:strCache>
                <c:ptCount val="1"/>
                <c:pt idx="0">
                  <c:v>Na kratkoročne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Sheet1!$D$5:$D$13</c:f>
              <c:numCache>
                <c:formatCode>#,##0.00</c:formatCode>
                <c:ptCount val="9"/>
                <c:pt idx="0">
                  <c:v>8.2299999999999986</c:v>
                </c:pt>
                <c:pt idx="1">
                  <c:v>8.0550000000000068</c:v>
                </c:pt>
                <c:pt idx="2">
                  <c:v>7.1441666666665196</c:v>
                </c:pt>
                <c:pt idx="3">
                  <c:v>6.9991666666666674</c:v>
                </c:pt>
                <c:pt idx="4">
                  <c:v>7.9674999999999985</c:v>
                </c:pt>
                <c:pt idx="5">
                  <c:v>10.040833333333332</c:v>
                </c:pt>
                <c:pt idx="6">
                  <c:v>7.3916666666666684</c:v>
                </c:pt>
                <c:pt idx="7">
                  <c:v>6.9616666666666704</c:v>
                </c:pt>
                <c:pt idx="8">
                  <c:v>7.2750000000000012</c:v>
                </c:pt>
              </c:numCache>
            </c:numRef>
          </c:val>
          <c:smooth val="0"/>
        </c:ser>
        <c:ser>
          <c:idx val="1"/>
          <c:order val="1"/>
          <c:tx>
            <c:strRef>
              <c:f>Sheet1!$H$2</c:f>
              <c:strCache>
                <c:ptCount val="1"/>
                <c:pt idx="0">
                  <c:v>Na dugoročne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Sheet1!$I$5:$I$13</c:f>
              <c:numCache>
                <c:formatCode>#,##0.00</c:formatCode>
                <c:ptCount val="9"/>
                <c:pt idx="0">
                  <c:v>6.7383333333334114</c:v>
                </c:pt>
                <c:pt idx="1">
                  <c:v>6.5799999999999992</c:v>
                </c:pt>
                <c:pt idx="2">
                  <c:v>6.1608333333333327</c:v>
                </c:pt>
                <c:pt idx="3">
                  <c:v>6.5333333333334034</c:v>
                </c:pt>
                <c:pt idx="4">
                  <c:v>7.6816666666666684</c:v>
                </c:pt>
                <c:pt idx="5">
                  <c:v>9.3375000000000004</c:v>
                </c:pt>
                <c:pt idx="6">
                  <c:v>6.5941666666666645</c:v>
                </c:pt>
                <c:pt idx="7">
                  <c:v>5.7991666666666664</c:v>
                </c:pt>
                <c:pt idx="8">
                  <c:v>5.9424999999999999</c:v>
                </c:pt>
              </c:numCache>
            </c:numRef>
          </c:val>
          <c:smooth val="0"/>
        </c:ser>
        <c:dLbls>
          <c:showLegendKey val="0"/>
          <c:showVal val="0"/>
          <c:showCatName val="0"/>
          <c:showSerName val="0"/>
          <c:showPercent val="0"/>
          <c:showBubbleSize val="0"/>
        </c:dLbls>
        <c:marker val="1"/>
        <c:smooth val="0"/>
        <c:axId val="195480192"/>
        <c:axId val="195690880"/>
      </c:lineChart>
      <c:catAx>
        <c:axId val="195480192"/>
        <c:scaling>
          <c:orientation val="minMax"/>
        </c:scaling>
        <c:delete val="0"/>
        <c:axPos val="b"/>
        <c:majorTickMark val="none"/>
        <c:minorTickMark val="none"/>
        <c:tickLblPos val="nextTo"/>
        <c:crossAx val="195690880"/>
        <c:crosses val="autoZero"/>
        <c:auto val="1"/>
        <c:lblAlgn val="ctr"/>
        <c:lblOffset val="100"/>
        <c:noMultiLvlLbl val="0"/>
      </c:catAx>
      <c:valAx>
        <c:axId val="195690880"/>
        <c:scaling>
          <c:orientation val="minMax"/>
          <c:min val="4"/>
        </c:scaling>
        <c:delete val="0"/>
        <c:axPos val="l"/>
        <c:majorGridlines/>
        <c:numFmt formatCode="#,##0.00" sourceLinked="0"/>
        <c:majorTickMark val="none"/>
        <c:minorTickMark val="none"/>
        <c:tickLblPos val="nextTo"/>
        <c:crossAx val="19548019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Sheet1!$M$2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Sheet1!$N$5:$N$13</c:f>
              <c:numCache>
                <c:formatCode>#,##0.00</c:formatCode>
                <c:ptCount val="9"/>
                <c:pt idx="0">
                  <c:v>7.0708333333333524</c:v>
                </c:pt>
                <c:pt idx="1">
                  <c:v>6.5874999999999995</c:v>
                </c:pt>
                <c:pt idx="2">
                  <c:v>6.2250000000000005</c:v>
                </c:pt>
                <c:pt idx="3">
                  <c:v>6.4766666666666834</c:v>
                </c:pt>
                <c:pt idx="4">
                  <c:v>7.4991666666666674</c:v>
                </c:pt>
                <c:pt idx="5">
                  <c:v>8.2391666666666676</c:v>
                </c:pt>
                <c:pt idx="6">
                  <c:v>8.1541666666666668</c:v>
                </c:pt>
                <c:pt idx="7">
                  <c:v>7.6258333333333335</c:v>
                </c:pt>
                <c:pt idx="8">
                  <c:v>7.0066666666666704</c:v>
                </c:pt>
              </c:numCache>
            </c:numRef>
          </c:val>
          <c:smooth val="0"/>
        </c:ser>
        <c:ser>
          <c:idx val="1"/>
          <c:order val="1"/>
          <c:tx>
            <c:strRef>
              <c:f>Sheet1!$P$2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Sheet1!$Q$5:$Q$13</c:f>
              <c:numCache>
                <c:formatCode>#,##0.00</c:formatCode>
                <c:ptCount val="9"/>
                <c:pt idx="0">
                  <c:v>6.0108333333333333</c:v>
                </c:pt>
                <c:pt idx="1">
                  <c:v>5.38</c:v>
                </c:pt>
                <c:pt idx="2">
                  <c:v>5.7725</c:v>
                </c:pt>
                <c:pt idx="3">
                  <c:v>6.1466666666666674</c:v>
                </c:pt>
                <c:pt idx="4">
                  <c:v>6.8658333333333363</c:v>
                </c:pt>
                <c:pt idx="5">
                  <c:v>7.1724999999999985</c:v>
                </c:pt>
                <c:pt idx="6">
                  <c:v>7.2441666666666658</c:v>
                </c:pt>
                <c:pt idx="7">
                  <c:v>6.5858333333333334</c:v>
                </c:pt>
                <c:pt idx="8">
                  <c:v>6.2224999999999975</c:v>
                </c:pt>
              </c:numCache>
            </c:numRef>
          </c:val>
          <c:smooth val="0"/>
        </c:ser>
        <c:dLbls>
          <c:showLegendKey val="0"/>
          <c:showVal val="0"/>
          <c:showCatName val="0"/>
          <c:showSerName val="0"/>
          <c:showPercent val="0"/>
          <c:showBubbleSize val="0"/>
        </c:dLbls>
        <c:marker val="1"/>
        <c:smooth val="0"/>
        <c:axId val="195711744"/>
        <c:axId val="195713280"/>
      </c:lineChart>
      <c:catAx>
        <c:axId val="195711744"/>
        <c:scaling>
          <c:orientation val="minMax"/>
        </c:scaling>
        <c:delete val="0"/>
        <c:axPos val="b"/>
        <c:majorTickMark val="none"/>
        <c:minorTickMark val="none"/>
        <c:tickLblPos val="nextTo"/>
        <c:crossAx val="195713280"/>
        <c:crosses val="autoZero"/>
        <c:auto val="1"/>
        <c:lblAlgn val="ctr"/>
        <c:lblOffset val="100"/>
        <c:noMultiLvlLbl val="0"/>
      </c:catAx>
      <c:valAx>
        <c:axId val="195713280"/>
        <c:scaling>
          <c:orientation val="minMax"/>
          <c:min val="4"/>
        </c:scaling>
        <c:delete val="0"/>
        <c:axPos val="l"/>
        <c:majorGridlines/>
        <c:numFmt formatCode="#,##0.00" sourceLinked="1"/>
        <c:majorTickMark val="none"/>
        <c:minorTickMark val="none"/>
        <c:tickLblPos val="nextTo"/>
        <c:crossAx val="195711744"/>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hr-HR" sz="1050">
                <a:latin typeface="Times New Roman" pitchFamily="18" charset="0"/>
                <a:cs typeface="Times New Roman" pitchFamily="18" charset="0"/>
              </a:rPr>
              <a:t>Kamatne stope trgovačkim društvima</a:t>
            </a:r>
            <a:r>
              <a:rPr lang="hr-HR" sz="1050" baseline="0">
                <a:latin typeface="Times New Roman" pitchFamily="18" charset="0"/>
                <a:cs typeface="Times New Roman" pitchFamily="18" charset="0"/>
              </a:rPr>
              <a:t> na kredite u eurima</a:t>
            </a:r>
            <a:endParaRPr lang="hr-HR" sz="105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Sheet1!$V$2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Sheet1!$V$5:$V$13</c:f>
              <c:numCache>
                <c:formatCode>#,##0.00</c:formatCode>
                <c:ptCount val="9"/>
                <c:pt idx="0">
                  <c:v>5.7491666666666674</c:v>
                </c:pt>
                <c:pt idx="1">
                  <c:v>5.5808333333333424</c:v>
                </c:pt>
                <c:pt idx="2">
                  <c:v>5.5891666666666682</c:v>
                </c:pt>
                <c:pt idx="3">
                  <c:v>6.48</c:v>
                </c:pt>
                <c:pt idx="4">
                  <c:v>7.2408333333333434</c:v>
                </c:pt>
                <c:pt idx="5">
                  <c:v>7.4408333333333534</c:v>
                </c:pt>
                <c:pt idx="6">
                  <c:v>7.1474999999999955</c:v>
                </c:pt>
                <c:pt idx="7">
                  <c:v>6.6217432967863976</c:v>
                </c:pt>
                <c:pt idx="8">
                  <c:v>5.5508333333333333</c:v>
                </c:pt>
              </c:numCache>
            </c:numRef>
          </c:val>
          <c:smooth val="0"/>
        </c:ser>
        <c:ser>
          <c:idx val="1"/>
          <c:order val="1"/>
          <c:tx>
            <c:strRef>
              <c:f>Sheet1!$W$2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Sheet1!$W$5:$W$13</c:f>
              <c:numCache>
                <c:formatCode>#,##0.00</c:formatCode>
                <c:ptCount val="9"/>
                <c:pt idx="0">
                  <c:v>4.9766666666666834</c:v>
                </c:pt>
                <c:pt idx="1">
                  <c:v>4.835</c:v>
                </c:pt>
                <c:pt idx="2">
                  <c:v>5.3366666666666704</c:v>
                </c:pt>
                <c:pt idx="3">
                  <c:v>6.3499999999999988</c:v>
                </c:pt>
                <c:pt idx="4">
                  <c:v>6.87</c:v>
                </c:pt>
                <c:pt idx="5">
                  <c:v>6.9716666666666924</c:v>
                </c:pt>
                <c:pt idx="6">
                  <c:v>6.4091666666666693</c:v>
                </c:pt>
                <c:pt idx="7">
                  <c:v>6.1111536155344233</c:v>
                </c:pt>
                <c:pt idx="8">
                  <c:v>5.9183333333333534</c:v>
                </c:pt>
              </c:numCache>
            </c:numRef>
          </c:val>
          <c:smooth val="0"/>
        </c:ser>
        <c:dLbls>
          <c:showLegendKey val="0"/>
          <c:showVal val="0"/>
          <c:showCatName val="0"/>
          <c:showSerName val="0"/>
          <c:showPercent val="0"/>
          <c:showBubbleSize val="0"/>
        </c:dLbls>
        <c:marker val="1"/>
        <c:smooth val="0"/>
        <c:axId val="195750528"/>
        <c:axId val="195756416"/>
      </c:lineChart>
      <c:catAx>
        <c:axId val="195750528"/>
        <c:scaling>
          <c:orientation val="minMax"/>
        </c:scaling>
        <c:delete val="0"/>
        <c:axPos val="b"/>
        <c:majorTickMark val="none"/>
        <c:minorTickMark val="none"/>
        <c:tickLblPos val="nextTo"/>
        <c:crossAx val="195756416"/>
        <c:crosses val="autoZero"/>
        <c:auto val="1"/>
        <c:lblAlgn val="ctr"/>
        <c:lblOffset val="100"/>
        <c:noMultiLvlLbl val="0"/>
      </c:catAx>
      <c:valAx>
        <c:axId val="195756416"/>
        <c:scaling>
          <c:orientation val="minMax"/>
          <c:min val="4"/>
        </c:scaling>
        <c:delete val="0"/>
        <c:axPos val="l"/>
        <c:majorGridlines/>
        <c:numFmt formatCode="#,##0.00" sourceLinked="1"/>
        <c:majorTickMark val="none"/>
        <c:minorTickMark val="none"/>
        <c:tickLblPos val="nextTo"/>
        <c:crossAx val="19575052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Sheet1!$B$36</c:f>
              <c:strCache>
                <c:ptCount val="1"/>
                <c:pt idx="0">
                  <c:v>UKUPNO INOZEMNA IZRAVNA ULAGANJA</c:v>
                </c:pt>
              </c:strCache>
            </c:strRef>
          </c:tx>
          <c:cat>
            <c:strRef>
              <c:f>Sheet1!$C$4:$K$4</c:f>
              <c:strCache>
                <c:ptCount val="9"/>
                <c:pt idx="0">
                  <c:v>2004.</c:v>
                </c:pt>
                <c:pt idx="1">
                  <c:v>2005.</c:v>
                </c:pt>
                <c:pt idx="2">
                  <c:v>2006.</c:v>
                </c:pt>
                <c:pt idx="3">
                  <c:v>2007.</c:v>
                </c:pt>
                <c:pt idx="4">
                  <c:v>2008.</c:v>
                </c:pt>
                <c:pt idx="5">
                  <c:v>2009.</c:v>
                </c:pt>
                <c:pt idx="6">
                  <c:v>2010.</c:v>
                </c:pt>
                <c:pt idx="7">
                  <c:v>2011.</c:v>
                </c:pt>
                <c:pt idx="8">
                  <c:v>2012.</c:v>
                </c:pt>
              </c:strCache>
            </c:strRef>
          </c:cat>
          <c:val>
            <c:numRef>
              <c:f>Sheet1!$C$36:$K$36</c:f>
              <c:numCache>
                <c:formatCode>#,##0.0</c:formatCode>
                <c:ptCount val="9"/>
                <c:pt idx="0">
                  <c:v>7284.5444617611111</c:v>
                </c:pt>
                <c:pt idx="1">
                  <c:v>10826.245722147512</c:v>
                </c:pt>
                <c:pt idx="2">
                  <c:v>20307.531622681003</c:v>
                </c:pt>
                <c:pt idx="3">
                  <c:v>26979.615669428273</c:v>
                </c:pt>
                <c:pt idx="4">
                  <c:v>31098.879082157062</c:v>
                </c:pt>
                <c:pt idx="5">
                  <c:v>17561.322118248288</c:v>
                </c:pt>
                <c:pt idx="6">
                  <c:v>2346.7762006498497</c:v>
                </c:pt>
                <c:pt idx="7">
                  <c:v>8289.3892330455656</c:v>
                </c:pt>
                <c:pt idx="8">
                  <c:v>7952.9800312366615</c:v>
                </c:pt>
              </c:numCache>
            </c:numRef>
          </c:val>
          <c:smooth val="0"/>
        </c:ser>
        <c:dLbls>
          <c:showLegendKey val="0"/>
          <c:showVal val="0"/>
          <c:showCatName val="0"/>
          <c:showSerName val="0"/>
          <c:showPercent val="0"/>
          <c:showBubbleSize val="0"/>
        </c:dLbls>
        <c:marker val="1"/>
        <c:smooth val="0"/>
        <c:axId val="195780992"/>
        <c:axId val="195782528"/>
      </c:lineChart>
      <c:catAx>
        <c:axId val="195780992"/>
        <c:scaling>
          <c:orientation val="minMax"/>
        </c:scaling>
        <c:delete val="0"/>
        <c:axPos val="b"/>
        <c:majorTickMark val="none"/>
        <c:minorTickMark val="none"/>
        <c:tickLblPos val="nextTo"/>
        <c:crossAx val="195782528"/>
        <c:crosses val="autoZero"/>
        <c:auto val="1"/>
        <c:lblAlgn val="ctr"/>
        <c:lblOffset val="100"/>
        <c:noMultiLvlLbl val="0"/>
      </c:catAx>
      <c:valAx>
        <c:axId val="195782528"/>
        <c:scaling>
          <c:orientation val="minMax"/>
        </c:scaling>
        <c:delete val="0"/>
        <c:axPos val="l"/>
        <c:majorGridlines/>
        <c:numFmt formatCode="#,##0.0" sourceLinked="1"/>
        <c:majorTickMark val="none"/>
        <c:minorTickMark val="none"/>
        <c:tickLblPos val="nextTo"/>
        <c:crossAx val="19578099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Promjena broja zaposlenih 2008. - 2012.</c:v>
          </c:tx>
          <c:invertIfNegative val="0"/>
          <c:dLbls>
            <c:dLbl>
              <c:idx val="0"/>
              <c:spPr/>
              <c:txPr>
                <a:bodyPr/>
                <a:lstStyle/>
                <a:p>
                  <a:pPr>
                    <a:defRPr b="1">
                      <a:solidFill>
                        <a:srgbClr val="FF0000"/>
                      </a:solidFill>
                    </a:defRPr>
                  </a:pPr>
                  <a:endParaRPr lang="sr-Latn-RS"/>
                </a:p>
              </c:txPr>
              <c:showLegendKey val="0"/>
              <c:showVal val="1"/>
              <c:showCatName val="0"/>
              <c:showSerName val="0"/>
              <c:showPercent val="0"/>
              <c:showBubbleSize val="0"/>
            </c:dLbl>
            <c:dLbl>
              <c:idx val="1"/>
              <c:spPr/>
              <c:txPr>
                <a:bodyPr/>
                <a:lstStyle/>
                <a:p>
                  <a:pPr>
                    <a:defRPr b="1">
                      <a:solidFill>
                        <a:srgbClr val="FF0000"/>
                      </a:solidFill>
                    </a:defRPr>
                  </a:pPr>
                  <a:endParaRPr lang="sr-Latn-RS"/>
                </a:p>
              </c:txPr>
              <c:showLegendKey val="0"/>
              <c:showVal val="1"/>
              <c:showCatName val="0"/>
              <c:showSerName val="0"/>
              <c:showPercent val="0"/>
              <c:showBubbleSize val="0"/>
            </c:dLbl>
            <c:dLbl>
              <c:idx val="2"/>
              <c:spPr/>
              <c:txPr>
                <a:bodyPr/>
                <a:lstStyle/>
                <a:p>
                  <a:pPr>
                    <a:defRPr b="1">
                      <a:solidFill>
                        <a:srgbClr val="FF0000"/>
                      </a:solidFill>
                    </a:defRPr>
                  </a:pPr>
                  <a:endParaRPr lang="sr-Latn-RS"/>
                </a:p>
              </c:txPr>
              <c:showLegendKey val="0"/>
              <c:showVal val="1"/>
              <c:showCatName val="0"/>
              <c:showSerName val="0"/>
              <c:showPercent val="0"/>
              <c:showBubbleSize val="0"/>
            </c:dLbl>
            <c:dLbl>
              <c:idx val="3"/>
              <c:layout>
                <c:manualLayout>
                  <c:x val="0"/>
                  <c:y val="-4.1910318518420725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4"/>
              <c:spPr/>
              <c:txPr>
                <a:bodyPr/>
                <a:lstStyle/>
                <a:p>
                  <a:pPr>
                    <a:defRPr b="1">
                      <a:solidFill>
                        <a:srgbClr val="00B050"/>
                      </a:solidFill>
                    </a:defRPr>
                  </a:pPr>
                  <a:endParaRPr lang="sr-Latn-RS"/>
                </a:p>
              </c:txPr>
              <c:showLegendKey val="0"/>
              <c:showVal val="1"/>
              <c:showCatName val="0"/>
              <c:showSerName val="0"/>
              <c:showPercent val="0"/>
              <c:showBubbleSize val="0"/>
            </c:dLbl>
            <c:dLbl>
              <c:idx val="5"/>
              <c:spPr/>
              <c:txPr>
                <a:bodyPr/>
                <a:lstStyle/>
                <a:p>
                  <a:pPr>
                    <a:defRPr b="1">
                      <a:solidFill>
                        <a:srgbClr val="FF0000"/>
                      </a:solidFill>
                    </a:defRPr>
                  </a:pPr>
                  <a:endParaRPr lang="sr-Latn-RS"/>
                </a:p>
              </c:txPr>
              <c:showLegendKey val="0"/>
              <c:showVal val="1"/>
              <c:showCatName val="0"/>
              <c:showSerName val="0"/>
              <c:showPercent val="0"/>
              <c:showBubbleSize val="0"/>
            </c:dLbl>
            <c:dLbl>
              <c:idx val="6"/>
              <c:spPr/>
              <c:txPr>
                <a:bodyPr/>
                <a:lstStyle/>
                <a:p>
                  <a:pPr>
                    <a:defRPr b="1">
                      <a:solidFill>
                        <a:srgbClr val="FF0000"/>
                      </a:solidFill>
                    </a:defRPr>
                  </a:pPr>
                  <a:endParaRPr lang="sr-Latn-RS"/>
                </a:p>
              </c:txPr>
              <c:showLegendKey val="0"/>
              <c:showVal val="1"/>
              <c:showCatName val="0"/>
              <c:showSerName val="0"/>
              <c:showPercent val="0"/>
              <c:showBubbleSize val="0"/>
            </c:dLbl>
            <c:dLbl>
              <c:idx val="7"/>
              <c:spPr/>
              <c:txPr>
                <a:bodyPr/>
                <a:lstStyle/>
                <a:p>
                  <a:pPr>
                    <a:defRPr b="1">
                      <a:solidFill>
                        <a:srgbClr val="FF0000"/>
                      </a:solidFill>
                    </a:defRPr>
                  </a:pPr>
                  <a:endParaRPr lang="sr-Latn-RS"/>
                </a:p>
              </c:txPr>
              <c:showLegendKey val="0"/>
              <c:showVal val="1"/>
              <c:showCatName val="0"/>
              <c:showSerName val="0"/>
              <c:showPercent val="0"/>
              <c:showBubbleSize val="0"/>
            </c:dLbl>
            <c:dLbl>
              <c:idx val="8"/>
              <c:layout>
                <c:manualLayout>
                  <c:x val="0"/>
                  <c:y val="-2.0955159259210376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9"/>
              <c:spPr/>
              <c:txPr>
                <a:bodyPr/>
                <a:lstStyle/>
                <a:p>
                  <a:pPr>
                    <a:defRPr b="1">
                      <a:solidFill>
                        <a:srgbClr val="00B050"/>
                      </a:solidFill>
                    </a:defRPr>
                  </a:pPr>
                  <a:endParaRPr lang="sr-Latn-RS"/>
                </a:p>
              </c:txPr>
              <c:showLegendKey val="0"/>
              <c:showVal val="1"/>
              <c:showCatName val="0"/>
              <c:showSerName val="0"/>
              <c:showPercent val="0"/>
              <c:showBubbleSize val="0"/>
            </c:dLbl>
            <c:dLbl>
              <c:idx val="10"/>
              <c:spPr/>
              <c:txPr>
                <a:bodyPr/>
                <a:lstStyle/>
                <a:p>
                  <a:pPr>
                    <a:defRPr b="1">
                      <a:solidFill>
                        <a:srgbClr val="00B050"/>
                      </a:solidFill>
                    </a:defRPr>
                  </a:pPr>
                  <a:endParaRPr lang="sr-Latn-RS"/>
                </a:p>
              </c:txPr>
              <c:showLegendKey val="0"/>
              <c:showVal val="1"/>
              <c:showCatName val="0"/>
              <c:showSerName val="0"/>
              <c:showPercent val="0"/>
              <c:showBubbleSize val="0"/>
            </c:dLbl>
            <c:dLbl>
              <c:idx val="11"/>
              <c:spPr/>
              <c:txPr>
                <a:bodyPr/>
                <a:lstStyle/>
                <a:p>
                  <a:pPr>
                    <a:defRPr b="1">
                      <a:solidFill>
                        <a:srgbClr val="00B050"/>
                      </a:solidFill>
                    </a:defRPr>
                  </a:pPr>
                  <a:endParaRPr lang="sr-Latn-RS"/>
                </a:p>
              </c:txPr>
              <c:showLegendKey val="0"/>
              <c:showVal val="1"/>
              <c:showCatName val="0"/>
              <c:showSerName val="0"/>
              <c:showPercent val="0"/>
              <c:showBubbleSize val="0"/>
            </c:dLbl>
            <c:dLbl>
              <c:idx val="12"/>
              <c:layout>
                <c:manualLayout>
                  <c:x val="2.2037152556962339E-3"/>
                  <c:y val="-5.4483414073949202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13"/>
              <c:spPr/>
              <c:txPr>
                <a:bodyPr/>
                <a:lstStyle/>
                <a:p>
                  <a:pPr>
                    <a:defRPr b="1">
                      <a:solidFill>
                        <a:srgbClr val="00B050"/>
                      </a:solidFill>
                    </a:defRPr>
                  </a:pPr>
                  <a:endParaRPr lang="sr-Latn-RS"/>
                </a:p>
              </c:txPr>
              <c:showLegendKey val="0"/>
              <c:showVal val="1"/>
              <c:showCatName val="0"/>
              <c:showSerName val="0"/>
              <c:showPercent val="0"/>
              <c:showBubbleSize val="0"/>
            </c:dLbl>
            <c:dLbl>
              <c:idx val="14"/>
              <c:layout>
                <c:manualLayout>
                  <c:x val="0"/>
                  <c:y val="-7.1247541481315263E-2"/>
                </c:manualLayout>
              </c:layout>
              <c:spPr/>
              <c:txPr>
                <a:bodyPr/>
                <a:lstStyle/>
                <a:p>
                  <a:pPr>
                    <a:defRPr b="1">
                      <a:solidFill>
                        <a:srgbClr val="FF0000"/>
                      </a:solidFill>
                    </a:defRPr>
                  </a:pPr>
                  <a:endParaRPr lang="sr-Latn-RS"/>
                </a:p>
              </c:txPr>
              <c:showLegendKey val="0"/>
              <c:showVal val="1"/>
              <c:showCatName val="0"/>
              <c:showSerName val="0"/>
              <c:showPercent val="0"/>
              <c:showBubbleSize val="0"/>
            </c:dLbl>
            <c:dLbl>
              <c:idx val="15"/>
              <c:spPr/>
              <c:txPr>
                <a:bodyPr/>
                <a:lstStyle/>
                <a:p>
                  <a:pPr>
                    <a:defRPr b="1">
                      <a:solidFill>
                        <a:srgbClr val="00B050"/>
                      </a:solidFill>
                    </a:defRPr>
                  </a:pPr>
                  <a:endParaRPr lang="sr-Latn-RS"/>
                </a:p>
              </c:txPr>
              <c:showLegendKey val="0"/>
              <c:showVal val="1"/>
              <c:showCatName val="0"/>
              <c:showSerName val="0"/>
              <c:showPercent val="0"/>
              <c:showBubbleSize val="0"/>
            </c:dLbl>
            <c:dLbl>
              <c:idx val="16"/>
              <c:layout>
                <c:manualLayout>
                  <c:x val="0"/>
                  <c:y val="-7.1247541481315263E-2"/>
                </c:manualLayout>
              </c:layout>
              <c:spPr/>
              <c:txPr>
                <a:bodyPr/>
                <a:lstStyle/>
                <a:p>
                  <a:pPr>
                    <a:defRPr b="1">
                      <a:solidFill>
                        <a:srgbClr val="00B050"/>
                      </a:solidFill>
                    </a:defRPr>
                  </a:pPr>
                  <a:endParaRPr lang="sr-Latn-RS"/>
                </a:p>
              </c:txPr>
              <c:showLegendKey val="0"/>
              <c:showVal val="1"/>
              <c:showCatName val="0"/>
              <c:showSerName val="0"/>
              <c:showPercent val="0"/>
              <c:showBubbleSize val="0"/>
            </c:dLbl>
            <c:dLbl>
              <c:idx val="17"/>
              <c:spPr/>
              <c:txPr>
                <a:bodyPr/>
                <a:lstStyle/>
                <a:p>
                  <a:pPr>
                    <a:defRPr b="1">
                      <a:solidFill>
                        <a:srgbClr val="00B050"/>
                      </a:solidFill>
                    </a:defRPr>
                  </a:pPr>
                  <a:endParaRPr lang="sr-Latn-RS"/>
                </a:p>
              </c:txPr>
              <c:showLegendKey val="0"/>
              <c:showVal val="1"/>
              <c:showCatName val="0"/>
              <c:showSerName val="0"/>
              <c:showPercent val="0"/>
              <c:showBubbleSize val="0"/>
            </c:dLbl>
            <c:dLbl>
              <c:idx val="18"/>
              <c:spPr/>
              <c:txPr>
                <a:bodyPr/>
                <a:lstStyle/>
                <a:p>
                  <a:pPr>
                    <a:defRPr b="1">
                      <a:solidFill>
                        <a:srgbClr val="00B050"/>
                      </a:solidFill>
                    </a:defRPr>
                  </a:pPr>
                  <a:endParaRPr lang="sr-Latn-RS"/>
                </a:p>
              </c:txPr>
              <c:showLegendKey val="0"/>
              <c:showVal val="1"/>
              <c:showCatName val="0"/>
              <c:showSerName val="0"/>
              <c:showPercent val="0"/>
              <c:showBubbleSize val="0"/>
            </c:dLbl>
            <c:txPr>
              <a:bodyPr/>
              <a:lstStyle/>
              <a:p>
                <a:pPr>
                  <a:defRPr b="0">
                    <a:solidFill>
                      <a:srgbClr val="FF0000"/>
                    </a:solidFill>
                  </a:defRPr>
                </a:pPr>
                <a:endParaRPr lang="sr-Latn-RS"/>
              </a:p>
            </c:txPr>
            <c:showLegendKey val="0"/>
            <c:showVal val="1"/>
            <c:showCatName val="0"/>
            <c:showSerName val="0"/>
            <c:showPercent val="0"/>
            <c:showBubbleSize val="0"/>
            <c:showLeaderLines val="0"/>
          </c:dLbls>
          <c:cat>
            <c:strRef>
              <c:f>'INDUSTRIJA I CIJENE'!$AM$5:$AM$23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'INDUSTRIJA I CIJENE'!$AX$5:$AX$23</c:f>
              <c:numCache>
                <c:formatCode>0.00%</c:formatCode>
                <c:ptCount val="19"/>
                <c:pt idx="0">
                  <c:v>-4.0821721234092403E-2</c:v>
                </c:pt>
                <c:pt idx="1">
                  <c:v>-0.36565473493430678</c:v>
                </c:pt>
                <c:pt idx="2">
                  <c:v>-0.16697809550216944</c:v>
                </c:pt>
                <c:pt idx="3">
                  <c:v>-2.1061999406705011E-2</c:v>
                </c:pt>
                <c:pt idx="4">
                  <c:v>3.6197844708483015E-2</c:v>
                </c:pt>
                <c:pt idx="5">
                  <c:v>-0.27397007204877188</c:v>
                </c:pt>
                <c:pt idx="6">
                  <c:v>-0.16589017478944693</c:v>
                </c:pt>
                <c:pt idx="7">
                  <c:v>-8.5997955905971701E-2</c:v>
                </c:pt>
                <c:pt idx="8">
                  <c:v>-1.6432531245654063E-2</c:v>
                </c:pt>
                <c:pt idx="9">
                  <c:v>4.0840288135055372E-2</c:v>
                </c:pt>
                <c:pt idx="10">
                  <c:v>1.4010794308455542E-2</c:v>
                </c:pt>
                <c:pt idx="11">
                  <c:v>0.21114251110213991</c:v>
                </c:pt>
                <c:pt idx="12">
                  <c:v>-2.5435572533308616E-2</c:v>
                </c:pt>
                <c:pt idx="13">
                  <c:v>0.13492675404780274</c:v>
                </c:pt>
                <c:pt idx="14">
                  <c:v>-1.3328077190216435E-3</c:v>
                </c:pt>
                <c:pt idx="15">
                  <c:v>7.4765424228542626E-2</c:v>
                </c:pt>
                <c:pt idx="16">
                  <c:v>6.9005168121912083E-2</c:v>
                </c:pt>
                <c:pt idx="17">
                  <c:v>6.2910034074150023E-2</c:v>
                </c:pt>
                <c:pt idx="18">
                  <c:v>1.0101010101010105E-2</c:v>
                </c:pt>
              </c:numCache>
            </c:numRef>
          </c:val>
        </c:ser>
        <c:dLbls>
          <c:showLegendKey val="0"/>
          <c:showVal val="1"/>
          <c:showCatName val="0"/>
          <c:showSerName val="0"/>
          <c:showPercent val="0"/>
          <c:showBubbleSize val="0"/>
        </c:dLbls>
        <c:gapWidth val="150"/>
        <c:overlap val="-25"/>
        <c:axId val="195921024"/>
        <c:axId val="195922560"/>
      </c:barChart>
      <c:catAx>
        <c:axId val="195921024"/>
        <c:scaling>
          <c:orientation val="minMax"/>
        </c:scaling>
        <c:delete val="0"/>
        <c:axPos val="b"/>
        <c:majorTickMark val="none"/>
        <c:minorTickMark val="none"/>
        <c:tickLblPos val="nextTo"/>
        <c:crossAx val="195922560"/>
        <c:crosses val="autoZero"/>
        <c:auto val="1"/>
        <c:lblAlgn val="ctr"/>
        <c:lblOffset val="100"/>
        <c:noMultiLvlLbl val="0"/>
      </c:catAx>
      <c:valAx>
        <c:axId val="195922560"/>
        <c:scaling>
          <c:orientation val="minMax"/>
          <c:max val="0.25"/>
          <c:min val="-0.4"/>
        </c:scaling>
        <c:delete val="1"/>
        <c:axPos val="l"/>
        <c:numFmt formatCode="0.00%" sourceLinked="1"/>
        <c:majorTickMark val="none"/>
        <c:minorTickMark val="none"/>
        <c:tickLblPos val="none"/>
        <c:crossAx val="19592102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Sheet1!$B$2</c:f>
              <c:strCache>
                <c:ptCount val="1"/>
                <c:pt idx="0">
                  <c:v>Prijavljena slobodna radna mjesta prema područjima Nacionalne klasifikacije djelatnosti (NKD 2007) , 2008. - 2012.</c:v>
                </c:pt>
              </c:strCache>
            </c:strRef>
          </c:tx>
          <c:cat>
            <c:numRef>
              <c:f>Sheet1!$N$3:$R$3</c:f>
              <c:numCache>
                <c:formatCode>General</c:formatCode>
                <c:ptCount val="5"/>
                <c:pt idx="0">
                  <c:v>2008</c:v>
                </c:pt>
                <c:pt idx="1">
                  <c:v>2009</c:v>
                </c:pt>
                <c:pt idx="2">
                  <c:v>2010</c:v>
                </c:pt>
                <c:pt idx="3">
                  <c:v>2011</c:v>
                </c:pt>
                <c:pt idx="4">
                  <c:v>2012</c:v>
                </c:pt>
              </c:numCache>
            </c:numRef>
          </c:cat>
          <c:val>
            <c:numRef>
              <c:f>Sheet1!$C$26:$G$26</c:f>
              <c:numCache>
                <c:formatCode>#,##0</c:formatCode>
                <c:ptCount val="5"/>
                <c:pt idx="0">
                  <c:v>141899.76586566117</c:v>
                </c:pt>
                <c:pt idx="1">
                  <c:v>102427</c:v>
                </c:pt>
                <c:pt idx="2">
                  <c:v>104739</c:v>
                </c:pt>
                <c:pt idx="3">
                  <c:v>125578</c:v>
                </c:pt>
                <c:pt idx="4">
                  <c:v>131927</c:v>
                </c:pt>
              </c:numCache>
            </c:numRef>
          </c:val>
          <c:smooth val="0"/>
        </c:ser>
        <c:ser>
          <c:idx val="1"/>
          <c:order val="1"/>
          <c:tx>
            <c:strRef>
              <c:f>Sheet1!$N$2</c:f>
              <c:strCache>
                <c:ptCount val="1"/>
                <c:pt idx="0">
                  <c:v>Zapošljavanje s evidencije Zavoda na temelju radnog odnosa
prema područjima Nacionalne klasifikacije djelatnosti (NKD 2007), 2008. - 2012.</c:v>
                </c:pt>
              </c:strCache>
            </c:strRef>
          </c:tx>
          <c:cat>
            <c:numRef>
              <c:f>Sheet1!$N$3:$R$3</c:f>
              <c:numCache>
                <c:formatCode>General</c:formatCode>
                <c:ptCount val="5"/>
                <c:pt idx="0">
                  <c:v>2008</c:v>
                </c:pt>
                <c:pt idx="1">
                  <c:v>2009</c:v>
                </c:pt>
                <c:pt idx="2">
                  <c:v>2010</c:v>
                </c:pt>
                <c:pt idx="3">
                  <c:v>2011</c:v>
                </c:pt>
                <c:pt idx="4">
                  <c:v>2012</c:v>
                </c:pt>
              </c:numCache>
            </c:numRef>
          </c:cat>
          <c:val>
            <c:numRef>
              <c:f>Sheet1!$N$26:$R$26</c:f>
              <c:numCache>
                <c:formatCode>#,##0</c:formatCode>
                <c:ptCount val="5"/>
                <c:pt idx="0">
                  <c:v>128219.33408133886</c:v>
                </c:pt>
                <c:pt idx="1">
                  <c:v>118286</c:v>
                </c:pt>
                <c:pt idx="2">
                  <c:v>141106</c:v>
                </c:pt>
                <c:pt idx="3">
                  <c:v>167531</c:v>
                </c:pt>
                <c:pt idx="4">
                  <c:v>175535</c:v>
                </c:pt>
              </c:numCache>
            </c:numRef>
          </c:val>
          <c:smooth val="0"/>
        </c:ser>
        <c:dLbls>
          <c:showLegendKey val="0"/>
          <c:showVal val="0"/>
          <c:showCatName val="0"/>
          <c:showSerName val="0"/>
          <c:showPercent val="0"/>
          <c:showBubbleSize val="0"/>
        </c:dLbls>
        <c:marker val="1"/>
        <c:smooth val="0"/>
        <c:axId val="195943040"/>
        <c:axId val="196030848"/>
      </c:lineChart>
      <c:catAx>
        <c:axId val="195943040"/>
        <c:scaling>
          <c:orientation val="minMax"/>
        </c:scaling>
        <c:delete val="0"/>
        <c:axPos val="b"/>
        <c:numFmt formatCode="General" sourceLinked="1"/>
        <c:majorTickMark val="out"/>
        <c:minorTickMark val="none"/>
        <c:tickLblPos val="nextTo"/>
        <c:crossAx val="196030848"/>
        <c:crosses val="autoZero"/>
        <c:auto val="1"/>
        <c:lblAlgn val="ctr"/>
        <c:lblOffset val="100"/>
        <c:noMultiLvlLbl val="0"/>
      </c:catAx>
      <c:valAx>
        <c:axId val="196030848"/>
        <c:scaling>
          <c:orientation val="minMax"/>
        </c:scaling>
        <c:delete val="0"/>
        <c:axPos val="l"/>
        <c:majorGridlines/>
        <c:numFmt formatCode="#,##0" sourceLinked="1"/>
        <c:majorTickMark val="out"/>
        <c:minorTickMark val="none"/>
        <c:tickLblPos val="nextTo"/>
        <c:crossAx val="195943040"/>
        <c:crosses val="autoZero"/>
        <c:crossBetween val="between"/>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Stopa zapošljavanja prema stupnju obrazovanja u 2012. godini</c:v>
          </c:tx>
          <c:invertIfNegative val="0"/>
          <c:dLbls>
            <c:txPr>
              <a:bodyPr/>
              <a:lstStyle/>
              <a:p>
                <a:pPr>
                  <a:defRPr b="1"/>
                </a:pPr>
                <a:endParaRPr lang="sr-Latn-RS"/>
              </a:p>
            </c:txPr>
            <c:showLegendKey val="0"/>
            <c:showVal val="1"/>
            <c:showCatName val="0"/>
            <c:showSerName val="0"/>
            <c:showPercent val="0"/>
            <c:showBubbleSize val="0"/>
            <c:showLeaderLines val="0"/>
          </c:dLbls>
          <c:cat>
            <c:strRef>
              <c:f>Sheet1!$Z$6:$Z$11</c:f>
              <c:strCache>
                <c:ptCount val="6"/>
                <c:pt idx="0">
                  <c:v>bez škole i nezavršena osnovna škola</c:v>
                </c:pt>
                <c:pt idx="1">
                  <c:v>osnovna škola</c:v>
                </c:pt>
                <c:pt idx="2">
                  <c:v>srednja škola za zanimanja koja traje do 3 godine i škola za KV radnike</c:v>
                </c:pt>
                <c:pt idx="3">
                  <c:v>srednja škola koja traje 4 i više godina te gimnazija</c:v>
                </c:pt>
                <c:pt idx="4">
                  <c:v>prvi stupanj fakulteta, stručni studij i viša škola</c:v>
                </c:pt>
                <c:pt idx="5">
                  <c:v>fakultet, akademija, magisterij, doktorat</c:v>
                </c:pt>
              </c:strCache>
            </c:strRef>
          </c:cat>
          <c:val>
            <c:numRef>
              <c:f>Sheet1!$AD$6:$AD$11</c:f>
              <c:numCache>
                <c:formatCode>0.00%</c:formatCode>
                <c:ptCount val="6"/>
                <c:pt idx="0">
                  <c:v>0.12200000000000009</c:v>
                </c:pt>
                <c:pt idx="1">
                  <c:v>0.21800000000000044</c:v>
                </c:pt>
                <c:pt idx="2">
                  <c:v>0.29000000000000031</c:v>
                </c:pt>
                <c:pt idx="3">
                  <c:v>0.27500000000000002</c:v>
                </c:pt>
                <c:pt idx="4">
                  <c:v>0.30800000000000038</c:v>
                </c:pt>
                <c:pt idx="5">
                  <c:v>0.3340000000000074</c:v>
                </c:pt>
              </c:numCache>
            </c:numRef>
          </c:val>
        </c:ser>
        <c:dLbls>
          <c:showLegendKey val="0"/>
          <c:showVal val="1"/>
          <c:showCatName val="0"/>
          <c:showSerName val="0"/>
          <c:showPercent val="0"/>
          <c:showBubbleSize val="0"/>
        </c:dLbls>
        <c:gapWidth val="150"/>
        <c:overlap val="-25"/>
        <c:axId val="196033920"/>
        <c:axId val="196056960"/>
      </c:barChart>
      <c:catAx>
        <c:axId val="19603392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sr-Latn-RS"/>
          </a:p>
        </c:txPr>
        <c:crossAx val="196056960"/>
        <c:crosses val="autoZero"/>
        <c:auto val="1"/>
        <c:lblAlgn val="ctr"/>
        <c:lblOffset val="100"/>
        <c:noMultiLvlLbl val="0"/>
      </c:catAx>
      <c:valAx>
        <c:axId val="196056960"/>
        <c:scaling>
          <c:orientation val="minMax"/>
        </c:scaling>
        <c:delete val="1"/>
        <c:axPos val="l"/>
        <c:numFmt formatCode="0.00%" sourceLinked="1"/>
        <c:majorTickMark val="none"/>
        <c:minorTickMark val="none"/>
        <c:tickLblPos val="none"/>
        <c:crossAx val="19603392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hr-HR" sz="1100">
                <a:latin typeface="Times New Roman" pitchFamily="18" charset="0"/>
                <a:cs typeface="Times New Roman" pitchFamily="18" charset="0"/>
              </a:rPr>
              <a:t> (2008. = 100)</a:t>
            </a:r>
            <a:endParaRPr lang="vi-VN" sz="1100">
              <a:latin typeface="Times New Roman" pitchFamily="18" charset="0"/>
              <a:cs typeface="Times New Roman" pitchFamily="18" charset="0"/>
            </a:endParaRPr>
          </a:p>
        </c:rich>
      </c:tx>
      <c:overlay val="0"/>
    </c:title>
    <c:autoTitleDeleted val="0"/>
    <c:plotArea>
      <c:layout/>
      <c:lineChart>
        <c:grouping val="standard"/>
        <c:varyColors val="0"/>
        <c:ser>
          <c:idx val="0"/>
          <c:order val="0"/>
          <c:tx>
            <c:v>Promjena obumma industrijske proizvodnje prerađivačke industrije 2008. - 2012.</c:v>
          </c:tx>
          <c:cat>
            <c:numRef>
              <c:f>'STRUKTURNI - INDUSTRIJA'!$S$46:$W$46</c:f>
              <c:numCache>
                <c:formatCode>General</c:formatCode>
                <c:ptCount val="5"/>
                <c:pt idx="0">
                  <c:v>2008</c:v>
                </c:pt>
                <c:pt idx="1">
                  <c:v>2009</c:v>
                </c:pt>
                <c:pt idx="2">
                  <c:v>2010</c:v>
                </c:pt>
                <c:pt idx="3">
                  <c:v>2011</c:v>
                </c:pt>
                <c:pt idx="4">
                  <c:v>2012</c:v>
                </c:pt>
              </c:numCache>
            </c:numRef>
          </c:cat>
          <c:val>
            <c:numRef>
              <c:f>'STRUKTURNI - INDUSTRIJA'!$S$47:$W$47</c:f>
              <c:numCache>
                <c:formatCode>#,##0.00</c:formatCode>
                <c:ptCount val="5"/>
                <c:pt idx="0">
                  <c:v>100</c:v>
                </c:pt>
                <c:pt idx="1">
                  <c:v>89.4</c:v>
                </c:pt>
                <c:pt idx="2">
                  <c:v>87.522599999999983</c:v>
                </c:pt>
                <c:pt idx="3">
                  <c:v>87.347554799999997</c:v>
                </c:pt>
                <c:pt idx="4">
                  <c:v>82.718134395600003</c:v>
                </c:pt>
              </c:numCache>
            </c:numRef>
          </c:val>
          <c:smooth val="0"/>
        </c:ser>
        <c:dLbls>
          <c:showLegendKey val="0"/>
          <c:showVal val="0"/>
          <c:showCatName val="0"/>
          <c:showSerName val="0"/>
          <c:showPercent val="0"/>
          <c:showBubbleSize val="0"/>
        </c:dLbls>
        <c:marker val="1"/>
        <c:smooth val="0"/>
        <c:axId val="224977280"/>
        <c:axId val="224978816"/>
      </c:lineChart>
      <c:catAx>
        <c:axId val="224977280"/>
        <c:scaling>
          <c:orientation val="minMax"/>
        </c:scaling>
        <c:delete val="0"/>
        <c:axPos val="b"/>
        <c:numFmt formatCode="General" sourceLinked="1"/>
        <c:majorTickMark val="out"/>
        <c:minorTickMark val="none"/>
        <c:tickLblPos val="nextTo"/>
        <c:crossAx val="224978816"/>
        <c:crosses val="autoZero"/>
        <c:auto val="1"/>
        <c:lblAlgn val="ctr"/>
        <c:lblOffset val="100"/>
        <c:noMultiLvlLbl val="0"/>
      </c:catAx>
      <c:valAx>
        <c:axId val="224978816"/>
        <c:scaling>
          <c:orientation val="minMax"/>
          <c:max val="110"/>
          <c:min val="80"/>
        </c:scaling>
        <c:delete val="0"/>
        <c:axPos val="l"/>
        <c:majorGridlines/>
        <c:numFmt formatCode="#,##0.00" sourceLinked="1"/>
        <c:majorTickMark val="out"/>
        <c:minorTickMark val="none"/>
        <c:tickLblPos val="nextTo"/>
        <c:crossAx val="224977280"/>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48153035446268E-2"/>
          <c:y val="2.6079143953160865E-2"/>
          <c:w val="0.87497070032728863"/>
          <c:h val="0.74257655293088365"/>
        </c:manualLayout>
      </c:layout>
      <c:barChart>
        <c:barDir val="col"/>
        <c:grouping val="clustered"/>
        <c:varyColors val="0"/>
        <c:ser>
          <c:idx val="0"/>
          <c:order val="0"/>
          <c:tx>
            <c:v>BDV</c:v>
          </c:tx>
          <c:spPr>
            <a:solidFill>
              <a:srgbClr val="4F81BD">
                <a:lumMod val="75000"/>
              </a:srgbClr>
            </a:solidFill>
          </c:spPr>
          <c:invertIfNegative val="0"/>
          <c:dLbls>
            <c:dLbl>
              <c:idx val="0"/>
              <c:layout>
                <c:manualLayout>
                  <c:x val="1.1149894306464543E-2"/>
                  <c:y val="1.3558763252890365E-2"/>
                </c:manualLayout>
              </c:layout>
              <c:showLegendKey val="0"/>
              <c:showVal val="1"/>
              <c:showCatName val="0"/>
              <c:showSerName val="0"/>
              <c:showPercent val="0"/>
              <c:showBubbleSize val="0"/>
            </c:dLbl>
            <c:dLbl>
              <c:idx val="1"/>
              <c:layout>
                <c:manualLayout>
                  <c:x val="8.362420729848807E-3"/>
                  <c:y val="0"/>
                </c:manualLayout>
              </c:layout>
              <c:showLegendKey val="0"/>
              <c:showVal val="1"/>
              <c:showCatName val="0"/>
              <c:showSerName val="0"/>
              <c:showPercent val="0"/>
              <c:showBubbleSize val="0"/>
            </c:dLbl>
            <c:dLbl>
              <c:idx val="2"/>
              <c:layout>
                <c:manualLayout>
                  <c:x val="4.1812103649242734E-3"/>
                  <c:y val="8.1352579517342226E-3"/>
                </c:manualLayout>
              </c:layout>
              <c:showLegendKey val="0"/>
              <c:showVal val="1"/>
              <c:showCatName val="0"/>
              <c:showSerName val="0"/>
              <c:showPercent val="0"/>
              <c:showBubbleSize val="0"/>
            </c:dLbl>
            <c:dLbl>
              <c:idx val="3"/>
              <c:layout>
                <c:manualLayout>
                  <c:x val="-2.5551545945344577E-17"/>
                  <c:y val="2.7117526505780741E-3"/>
                </c:manualLayout>
              </c:layout>
              <c:showLegendKey val="0"/>
              <c:showVal val="1"/>
              <c:showCatName val="0"/>
              <c:showSerName val="0"/>
              <c:showPercent val="0"/>
              <c:showBubbleSize val="0"/>
            </c:dLbl>
            <c:dLbl>
              <c:idx val="7"/>
              <c:layout>
                <c:manualLayout>
                  <c:x val="-4.1812103649242734E-3"/>
                  <c:y val="1.3558549729059621E-2"/>
                </c:manualLayout>
              </c:layout>
              <c:showLegendKey val="0"/>
              <c:showVal val="1"/>
              <c:showCatName val="0"/>
              <c:showSerName val="0"/>
              <c:showPercent val="0"/>
              <c:showBubbleSize val="0"/>
            </c:dLbl>
            <c:dLbl>
              <c:idx val="8"/>
              <c:layout>
                <c:manualLayout>
                  <c:x val="1.3937367883080627E-3"/>
                  <c:y val="0"/>
                </c:manualLayout>
              </c:layout>
              <c:showLegendKey val="0"/>
              <c:showVal val="1"/>
              <c:showCatName val="0"/>
              <c:showSerName val="0"/>
              <c:showPercent val="0"/>
              <c:showBubbleSize val="0"/>
            </c:dLbl>
            <c:dLbl>
              <c:idx val="9"/>
              <c:layout>
                <c:manualLayout>
                  <c:x val="5.5749471532322934E-3"/>
                  <c:y val="-1.0861957270465395E-2"/>
                </c:manualLayout>
              </c:layout>
              <c:showLegendKey val="0"/>
              <c:showVal val="1"/>
              <c:showCatName val="0"/>
              <c:showSerName val="0"/>
              <c:showPercent val="0"/>
              <c:showBubbleSize val="0"/>
            </c:dLbl>
            <c:dLbl>
              <c:idx val="10"/>
              <c:layout>
                <c:manualLayout>
                  <c:x val="1.3937367883080124E-3"/>
                  <c:y val="1.3558763252890365E-2"/>
                </c:manualLayout>
              </c:layout>
              <c:showLegendKey val="0"/>
              <c:showVal val="1"/>
              <c:showCatName val="0"/>
              <c:showSerName val="0"/>
              <c:showPercent val="0"/>
              <c:showBubbleSize val="0"/>
            </c:dLbl>
            <c:dLbl>
              <c:idx val="11"/>
              <c:layout>
                <c:manualLayout>
                  <c:x val="2.7874735766162425E-3"/>
                  <c:y val="8.1352579517342226E-3"/>
                </c:manualLayout>
              </c:layout>
              <c:showLegendKey val="0"/>
              <c:showVal val="1"/>
              <c:showCatName val="0"/>
              <c:showSerName val="0"/>
              <c:showPercent val="0"/>
              <c:showBubbleSize val="0"/>
            </c:dLbl>
            <c:dLbl>
              <c:idx val="12"/>
              <c:layout>
                <c:manualLayout>
                  <c:x val="2.7874735766162425E-3"/>
                  <c:y val="2.7117526505780741E-3"/>
                </c:manualLayout>
              </c:layout>
              <c:showLegendKey val="0"/>
              <c:showVal val="1"/>
              <c:showCatName val="0"/>
              <c:showSerName val="0"/>
              <c:showPercent val="0"/>
              <c:showBubbleSize val="0"/>
            </c:dLbl>
            <c:dLbl>
              <c:idx val="13"/>
              <c:layout>
                <c:manualLayout>
                  <c:x val="-5.5749471532322934E-3"/>
                  <c:y val="2.7117526505780741E-3"/>
                </c:manualLayout>
              </c:layout>
              <c:showLegendKey val="0"/>
              <c:showVal val="1"/>
              <c:showCatName val="0"/>
              <c:showSerName val="0"/>
              <c:showPercent val="0"/>
              <c:showBubbleSize val="0"/>
            </c:dLbl>
            <c:dLbl>
              <c:idx val="14"/>
              <c:layout>
                <c:manualLayout>
                  <c:x val="0"/>
                  <c:y val="2.7117526505780741E-3"/>
                </c:manualLayout>
              </c:layout>
              <c:showLegendKey val="0"/>
              <c:showVal val="1"/>
              <c:showCatName val="0"/>
              <c:showSerName val="0"/>
              <c:showPercent val="0"/>
              <c:showBubbleSize val="0"/>
            </c:dLbl>
            <c:dLbl>
              <c:idx val="15"/>
              <c:layout>
                <c:manualLayout>
                  <c:x val="-5.5749471532322934E-3"/>
                  <c:y val="8.1352579517342226E-3"/>
                </c:manualLayout>
              </c:layout>
              <c:showLegendKey val="0"/>
              <c:showVal val="1"/>
              <c:showCatName val="0"/>
              <c:showSerName val="0"/>
              <c:showPercent val="0"/>
              <c:showBubbleSize val="0"/>
            </c:dLbl>
            <c:dLbl>
              <c:idx val="16"/>
              <c:layout>
                <c:manualLayout>
                  <c:x val="0"/>
                  <c:y val="2.7117526505780741E-3"/>
                </c:manualLayout>
              </c:layout>
              <c:showLegendKey val="0"/>
              <c:showVal val="1"/>
              <c:showCatName val="0"/>
              <c:showSerName val="0"/>
              <c:showPercent val="0"/>
              <c:showBubbleSize val="0"/>
            </c:dLbl>
            <c:dLbl>
              <c:idx val="17"/>
              <c:layout>
                <c:manualLayout>
                  <c:x val="2.7874735766162425E-3"/>
                  <c:y val="2.7117526505780741E-3"/>
                </c:manualLayout>
              </c:layout>
              <c:showLegendKey val="0"/>
              <c:showVal val="1"/>
              <c:showCatName val="0"/>
              <c:showSerName val="0"/>
              <c:showPercent val="0"/>
              <c:showBubbleSize val="0"/>
            </c:dLbl>
            <c:dLbl>
              <c:idx val="18"/>
              <c:layout>
                <c:manualLayout>
                  <c:x val="1.1149894306464543E-2"/>
                  <c:y val="4.0676289758671103E-2"/>
                </c:manualLayout>
              </c:layout>
              <c:showLegendKey val="0"/>
              <c:showVal val="1"/>
              <c:showCatName val="0"/>
              <c:showSerName val="0"/>
              <c:showPercent val="0"/>
              <c:showBubbleSize val="0"/>
            </c:dLbl>
            <c:dLbl>
              <c:idx val="19"/>
              <c:layout>
                <c:manualLayout>
                  <c:x val="-1.0974305419749072E-7"/>
                  <c:y val="1.62703023796377E-2"/>
                </c:manualLayout>
              </c:layout>
              <c:showLegendKey val="0"/>
              <c:showVal val="1"/>
              <c:showCatName val="0"/>
              <c:showSerName val="0"/>
              <c:showPercent val="0"/>
              <c:showBubbleSize val="0"/>
            </c:dLbl>
            <c:dLbl>
              <c:idx val="21"/>
              <c:layout>
                <c:manualLayout>
                  <c:x val="-1.0220618378137899E-16"/>
                  <c:y val="5.4235053011561481E-3"/>
                </c:manualLayout>
              </c:layout>
              <c:showLegendKey val="0"/>
              <c:showVal val="1"/>
              <c:showCatName val="0"/>
              <c:showSerName val="0"/>
              <c:showPercent val="0"/>
              <c:showBubbleSize val="0"/>
            </c:dLbl>
            <c:dLbl>
              <c:idx val="22"/>
              <c:layout>
                <c:manualLayout>
                  <c:x val="-4.1812103649242734E-3"/>
                  <c:y val="8.1352579517342226E-3"/>
                </c:manualLayout>
              </c:layout>
              <c:showLegendKey val="0"/>
              <c:showVal val="1"/>
              <c:showCatName val="0"/>
              <c:showSerName val="0"/>
              <c:showPercent val="0"/>
              <c:showBubbleSize val="0"/>
            </c:dLbl>
            <c:dLbl>
              <c:idx val="23"/>
              <c:layout>
                <c:manualLayout>
                  <c:x val="4.1812103649242734E-3"/>
                  <c:y val="8.1352579517342226E-3"/>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sr-Latn-RS"/>
              </a:p>
            </c:txPr>
            <c:showLegendKey val="0"/>
            <c:showVal val="1"/>
            <c:showCatName val="0"/>
            <c:showSerName val="0"/>
            <c:showPercent val="0"/>
            <c:showBubbleSize val="0"/>
            <c:showLeaderLines val="0"/>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BDV!$M$5:$M$28</c:f>
              <c:numCache>
                <c:formatCode>0.00%</c:formatCode>
                <c:ptCount val="24"/>
                <c:pt idx="0">
                  <c:v>0.14044928062944145</c:v>
                </c:pt>
                <c:pt idx="1">
                  <c:v>4.5916842198513427E-2</c:v>
                </c:pt>
                <c:pt idx="2">
                  <c:v>1.5512955677188803E-2</c:v>
                </c:pt>
                <c:pt idx="3">
                  <c:v>7.0265972405296438E-3</c:v>
                </c:pt>
                <c:pt idx="4">
                  <c:v>2.4942298995129692E-2</c:v>
                </c:pt>
                <c:pt idx="5">
                  <c:v>1.1588940458371066E-2</c:v>
                </c:pt>
                <c:pt idx="6">
                  <c:v>2.3273870020676209E-2</c:v>
                </c:pt>
                <c:pt idx="7">
                  <c:v>7.4280274223924268E-3</c:v>
                </c:pt>
                <c:pt idx="8">
                  <c:v>1.9980311514138951E-2</c:v>
                </c:pt>
                <c:pt idx="9">
                  <c:v>0.12558485783263304</c:v>
                </c:pt>
                <c:pt idx="10">
                  <c:v>2.3453135477134214E-2</c:v>
                </c:pt>
                <c:pt idx="11">
                  <c:v>4.6359911529206932E-2</c:v>
                </c:pt>
                <c:pt idx="12">
                  <c:v>1.9864498723423881E-2</c:v>
                </c:pt>
                <c:pt idx="13">
                  <c:v>4.4785074027572133E-2</c:v>
                </c:pt>
                <c:pt idx="14">
                  <c:v>2.6080877916738212E-2</c:v>
                </c:pt>
                <c:pt idx="15">
                  <c:v>8.9845220209884266E-2</c:v>
                </c:pt>
                <c:pt idx="16">
                  <c:v>3.1906670928699886E-2</c:v>
                </c:pt>
                <c:pt idx="17">
                  <c:v>4.6247695622271726E-2</c:v>
                </c:pt>
                <c:pt idx="18">
                  <c:v>3.8097505113558201E-2</c:v>
                </c:pt>
                <c:pt idx="19">
                  <c:v>1.0647874071007651E-2</c:v>
                </c:pt>
                <c:pt idx="20">
                  <c:v>0.12295819024442986</c:v>
                </c:pt>
                <c:pt idx="21">
                  <c:v>1.7606566383116487E-2</c:v>
                </c:pt>
                <c:pt idx="22">
                  <c:v>5.7942024998309544E-3</c:v>
                </c:pt>
                <c:pt idx="23">
                  <c:v>5.4648595264126486E-2</c:v>
                </c:pt>
              </c:numCache>
            </c:numRef>
          </c:val>
        </c:ser>
        <c:ser>
          <c:idx val="1"/>
          <c:order val="1"/>
          <c:tx>
            <c:v>ZAPOSLENI</c:v>
          </c:tx>
          <c:invertIfNegative val="0"/>
          <c:dLbls>
            <c:dLbl>
              <c:idx val="0"/>
              <c:layout>
                <c:manualLayout>
                  <c:x val="4.1812103649242734E-3"/>
                  <c:y val="0"/>
                </c:manualLayout>
              </c:layout>
              <c:showLegendKey val="0"/>
              <c:showVal val="1"/>
              <c:showCatName val="0"/>
              <c:showSerName val="0"/>
              <c:showPercent val="0"/>
              <c:showBubbleSize val="0"/>
            </c:dLbl>
            <c:dLbl>
              <c:idx val="1"/>
              <c:layout>
                <c:manualLayout>
                  <c:x val="6.9686839415404114E-3"/>
                  <c:y val="8.1352579517342226E-3"/>
                </c:manualLayout>
              </c:layout>
              <c:showLegendKey val="0"/>
              <c:showVal val="1"/>
              <c:showCatName val="0"/>
              <c:showSerName val="0"/>
              <c:showPercent val="0"/>
              <c:showBubbleSize val="0"/>
            </c:dLbl>
            <c:dLbl>
              <c:idx val="2"/>
              <c:layout>
                <c:manualLayout>
                  <c:x val="1.3937367883080627E-3"/>
                  <c:y val="1.8982055030216424E-2"/>
                </c:manualLayout>
              </c:layout>
              <c:showLegendKey val="0"/>
              <c:showVal val="1"/>
              <c:showCatName val="0"/>
              <c:showSerName val="0"/>
              <c:showPercent val="0"/>
              <c:showBubbleSize val="0"/>
            </c:dLbl>
            <c:dLbl>
              <c:idx val="7"/>
              <c:layout>
                <c:manualLayout>
                  <c:x val="0"/>
                  <c:y val="1.0847010602312617E-2"/>
                </c:manualLayout>
              </c:layout>
              <c:showLegendKey val="0"/>
              <c:showVal val="1"/>
              <c:showCatName val="0"/>
              <c:showSerName val="0"/>
              <c:showPercent val="0"/>
              <c:showBubbleSize val="0"/>
            </c:dLbl>
            <c:dLbl>
              <c:idx val="8"/>
              <c:layout>
                <c:manualLayout>
                  <c:x val="2.7874735766162863E-3"/>
                  <c:y val="-2.7117526505780741E-3"/>
                </c:manualLayout>
              </c:layout>
              <c:showLegendKey val="0"/>
              <c:showVal val="1"/>
              <c:showCatName val="0"/>
              <c:showSerName val="0"/>
              <c:showPercent val="0"/>
              <c:showBubbleSize val="0"/>
            </c:dLbl>
            <c:dLbl>
              <c:idx val="9"/>
              <c:layout>
                <c:manualLayout>
                  <c:x val="1.3937367883080627E-3"/>
                  <c:y val="8.1352579517342226E-3"/>
                </c:manualLayout>
              </c:layout>
              <c:showLegendKey val="0"/>
              <c:showVal val="1"/>
              <c:showCatName val="0"/>
              <c:showSerName val="0"/>
              <c:showPercent val="0"/>
              <c:showBubbleSize val="0"/>
            </c:dLbl>
            <c:dLbl>
              <c:idx val="10"/>
              <c:layout>
                <c:manualLayout>
                  <c:x val="1.3937367883080627E-3"/>
                  <c:y val="5.4235053011561481E-3"/>
                </c:manualLayout>
              </c:layout>
              <c:showLegendKey val="0"/>
              <c:showVal val="1"/>
              <c:showCatName val="0"/>
              <c:showSerName val="0"/>
              <c:showPercent val="0"/>
              <c:showBubbleSize val="0"/>
            </c:dLbl>
            <c:dLbl>
              <c:idx val="11"/>
              <c:layout>
                <c:manualLayout>
                  <c:x val="0"/>
                  <c:y val="1.8982268554046517E-2"/>
                </c:manualLayout>
              </c:layout>
              <c:showLegendKey val="0"/>
              <c:showVal val="1"/>
              <c:showCatName val="0"/>
              <c:showSerName val="0"/>
              <c:showPercent val="0"/>
              <c:showBubbleSize val="0"/>
            </c:dLbl>
            <c:dLbl>
              <c:idx val="12"/>
              <c:layout>
                <c:manualLayout>
                  <c:x val="1.3937367883080627E-3"/>
                  <c:y val="5.4235053011561481E-3"/>
                </c:manualLayout>
              </c:layout>
              <c:showLegendKey val="0"/>
              <c:showVal val="1"/>
              <c:showCatName val="0"/>
              <c:showSerName val="0"/>
              <c:showPercent val="0"/>
              <c:showBubbleSize val="0"/>
            </c:dLbl>
            <c:dLbl>
              <c:idx val="13"/>
              <c:layout>
                <c:manualLayout>
                  <c:x val="1.2543631094772583E-2"/>
                  <c:y val="2.7117526505780741E-3"/>
                </c:manualLayout>
              </c:layout>
              <c:showLegendKey val="0"/>
              <c:showVal val="1"/>
              <c:showCatName val="0"/>
              <c:showSerName val="0"/>
              <c:showPercent val="0"/>
              <c:showBubbleSize val="0"/>
            </c:dLbl>
            <c:dLbl>
              <c:idx val="14"/>
              <c:layout>
                <c:manualLayout>
                  <c:x val="9.7561575181565746E-3"/>
                  <c:y val="8.1352579517342226E-3"/>
                </c:manualLayout>
              </c:layout>
              <c:showLegendKey val="0"/>
              <c:showVal val="1"/>
              <c:showCatName val="0"/>
              <c:showSerName val="0"/>
              <c:showPercent val="0"/>
              <c:showBubbleSize val="0"/>
            </c:dLbl>
            <c:dLbl>
              <c:idx val="15"/>
              <c:layout>
                <c:manualLayout>
                  <c:x val="1.3937367883080627E-3"/>
                  <c:y val="8.1352579517342746E-3"/>
                </c:manualLayout>
              </c:layout>
              <c:showLegendKey val="0"/>
              <c:showVal val="1"/>
              <c:showCatName val="0"/>
              <c:showSerName val="0"/>
              <c:showPercent val="0"/>
              <c:showBubbleSize val="0"/>
            </c:dLbl>
            <c:dLbl>
              <c:idx val="16"/>
              <c:layout>
                <c:manualLayout>
                  <c:x val="4.1812103649242734E-3"/>
                  <c:y val="1.0847010602312617E-2"/>
                </c:manualLayout>
              </c:layout>
              <c:showLegendKey val="0"/>
              <c:showVal val="1"/>
              <c:showCatName val="0"/>
              <c:showSerName val="0"/>
              <c:showPercent val="0"/>
              <c:showBubbleSize val="0"/>
            </c:dLbl>
            <c:dLbl>
              <c:idx val="17"/>
              <c:layout>
                <c:manualLayout>
                  <c:x val="-2.7874735766162425E-3"/>
                  <c:y val="1.6270515903468483E-2"/>
                </c:manualLayout>
              </c:layout>
              <c:showLegendKey val="0"/>
              <c:showVal val="1"/>
              <c:showCatName val="0"/>
              <c:showSerName val="0"/>
              <c:showPercent val="0"/>
              <c:showBubbleSize val="0"/>
            </c:dLbl>
            <c:dLbl>
              <c:idx val="18"/>
              <c:layout>
                <c:manualLayout>
                  <c:x val="4.1812103649242734E-3"/>
                  <c:y val="2.7117526505780741E-3"/>
                </c:manualLayout>
              </c:layout>
              <c:showLegendKey val="0"/>
              <c:showVal val="1"/>
              <c:showCatName val="0"/>
              <c:showSerName val="0"/>
              <c:showPercent val="0"/>
              <c:showBubbleSize val="0"/>
            </c:dLbl>
            <c:dLbl>
              <c:idx val="19"/>
              <c:layout>
                <c:manualLayout>
                  <c:x val="4.1812103649242734E-3"/>
                  <c:y val="0"/>
                </c:manualLayout>
              </c:layout>
              <c:showLegendKey val="0"/>
              <c:showVal val="1"/>
              <c:showCatName val="0"/>
              <c:showSerName val="0"/>
              <c:showPercent val="0"/>
              <c:showBubbleSize val="0"/>
            </c:dLbl>
            <c:dLbl>
              <c:idx val="20"/>
              <c:layout>
                <c:manualLayout>
                  <c:x val="-2.7874735766161545E-3"/>
                  <c:y val="8.1352579517342226E-3"/>
                </c:manualLayout>
              </c:layout>
              <c:showLegendKey val="0"/>
              <c:showVal val="1"/>
              <c:showCatName val="0"/>
              <c:showSerName val="0"/>
              <c:showPercent val="0"/>
              <c:showBubbleSize val="0"/>
            </c:dLbl>
            <c:dLbl>
              <c:idx val="21"/>
              <c:layout>
                <c:manualLayout>
                  <c:x val="4.1812103649242734E-3"/>
                  <c:y val="1.0847010602312617E-2"/>
                </c:manualLayout>
              </c:layout>
              <c:showLegendKey val="0"/>
              <c:showVal val="1"/>
              <c:showCatName val="0"/>
              <c:showSerName val="0"/>
              <c:showPercent val="0"/>
              <c:showBubbleSize val="0"/>
            </c:dLbl>
            <c:dLbl>
              <c:idx val="22"/>
              <c:layout>
                <c:manualLayout>
                  <c:x val="6.9686839415404114E-3"/>
                  <c:y val="0"/>
                </c:manualLayout>
              </c:layout>
              <c:showLegendKey val="0"/>
              <c:showVal val="1"/>
              <c:showCatName val="0"/>
              <c:showSerName val="0"/>
              <c:showPercent val="0"/>
              <c:showBubbleSize val="0"/>
            </c:dLbl>
            <c:dLbl>
              <c:idx val="23"/>
              <c:layout>
                <c:manualLayout>
                  <c:x val="1.3937367883080627E-3"/>
                  <c:y val="8.1352579517342226E-3"/>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sr-Latn-RS"/>
              </a:p>
            </c:txPr>
            <c:showLegendKey val="0"/>
            <c:showVal val="1"/>
            <c:showCatName val="0"/>
            <c:showSerName val="0"/>
            <c:showPercent val="0"/>
            <c:showBubbleSize val="0"/>
            <c:showLeaderLines val="0"/>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BDV!$N$5:$N$28</c:f>
              <c:numCache>
                <c:formatCode>0.00%</c:formatCode>
                <c:ptCount val="24"/>
                <c:pt idx="0">
                  <c:v>0.19526735311285037</c:v>
                </c:pt>
                <c:pt idx="1">
                  <c:v>2.6853382403394722E-2</c:v>
                </c:pt>
                <c:pt idx="2">
                  <c:v>3.270347218200026E-3</c:v>
                </c:pt>
                <c:pt idx="3">
                  <c:v>1.548291087635504E-2</c:v>
                </c:pt>
                <c:pt idx="4">
                  <c:v>6.8057975147143984E-2</c:v>
                </c:pt>
                <c:pt idx="5">
                  <c:v>3.7257007409521585E-2</c:v>
                </c:pt>
                <c:pt idx="6">
                  <c:v>5.3154281080551334E-2</c:v>
                </c:pt>
                <c:pt idx="7">
                  <c:v>1.5870540587504065E-2</c:v>
                </c:pt>
                <c:pt idx="8">
                  <c:v>2.625188802402546E-2</c:v>
                </c:pt>
                <c:pt idx="9">
                  <c:v>3.931991035506005E-2</c:v>
                </c:pt>
                <c:pt idx="10">
                  <c:v>3.1990589954598303E-2</c:v>
                </c:pt>
                <c:pt idx="11">
                  <c:v>1.8383450439090981E-2</c:v>
                </c:pt>
                <c:pt idx="12">
                  <c:v>2.9352925713216411E-2</c:v>
                </c:pt>
                <c:pt idx="13">
                  <c:v>4.5205644245035523E-2</c:v>
                </c:pt>
                <c:pt idx="14">
                  <c:v>2.1328545141039278E-2</c:v>
                </c:pt>
                <c:pt idx="15">
                  <c:v>0.12007610017777502</c:v>
                </c:pt>
                <c:pt idx="16">
                  <c:v>2.6198421856969079E-2</c:v>
                </c:pt>
                <c:pt idx="17">
                  <c:v>3.9979326415406052E-2</c:v>
                </c:pt>
                <c:pt idx="18">
                  <c:v>4.7669543443488491E-2</c:v>
                </c:pt>
                <c:pt idx="19">
                  <c:v>1.3219509804358461E-2</c:v>
                </c:pt>
                <c:pt idx="20">
                  <c:v>5.2468131936680498E-2</c:v>
                </c:pt>
                <c:pt idx="21">
                  <c:v>4.0268934820287934E-2</c:v>
                </c:pt>
                <c:pt idx="22">
                  <c:v>9.5392553054032565E-3</c:v>
                </c:pt>
                <c:pt idx="23">
                  <c:v>2.3534024532059647E-2</c:v>
                </c:pt>
              </c:numCache>
            </c:numRef>
          </c:val>
        </c:ser>
        <c:dLbls>
          <c:showLegendKey val="0"/>
          <c:showVal val="1"/>
          <c:showCatName val="0"/>
          <c:showSerName val="0"/>
          <c:showPercent val="0"/>
          <c:showBubbleSize val="0"/>
        </c:dLbls>
        <c:gapWidth val="0"/>
        <c:axId val="227991936"/>
        <c:axId val="227993472"/>
      </c:barChart>
      <c:catAx>
        <c:axId val="227991936"/>
        <c:scaling>
          <c:orientation val="minMax"/>
        </c:scaling>
        <c:delete val="0"/>
        <c:axPos val="b"/>
        <c:numFmt formatCode="General" sourceLinked="1"/>
        <c:majorTickMark val="none"/>
        <c:minorTickMark val="none"/>
        <c:tickLblPos val="nextTo"/>
        <c:txPr>
          <a:bodyPr/>
          <a:lstStyle/>
          <a:p>
            <a:pPr>
              <a:defRPr lang="hr-HR"/>
            </a:pPr>
            <a:endParaRPr lang="sr-Latn-RS"/>
          </a:p>
        </c:txPr>
        <c:crossAx val="227993472"/>
        <c:crosses val="autoZero"/>
        <c:auto val="1"/>
        <c:lblAlgn val="ctr"/>
        <c:lblOffset val="100"/>
        <c:noMultiLvlLbl val="0"/>
      </c:catAx>
      <c:valAx>
        <c:axId val="227993472"/>
        <c:scaling>
          <c:orientation val="minMax"/>
        </c:scaling>
        <c:delete val="0"/>
        <c:axPos val="l"/>
        <c:majorGridlines/>
        <c:numFmt formatCode="0.00%" sourceLinked="1"/>
        <c:majorTickMark val="out"/>
        <c:minorTickMark val="none"/>
        <c:tickLblPos val="nextTo"/>
        <c:txPr>
          <a:bodyPr/>
          <a:lstStyle/>
          <a:p>
            <a:pPr>
              <a:defRPr lang="hr-HR"/>
            </a:pPr>
            <a:endParaRPr lang="sr-Latn-RS"/>
          </a:p>
        </c:txPr>
        <c:crossAx val="227991936"/>
        <c:crosses val="autoZero"/>
        <c:crossBetween val="between"/>
      </c:valAx>
    </c:plotArea>
    <c:legend>
      <c:legendPos val="b"/>
      <c:overlay val="0"/>
      <c:txPr>
        <a:bodyPr/>
        <a:lstStyle/>
        <a:p>
          <a:pPr>
            <a:defRPr lang="hr-HR"/>
          </a:pPr>
          <a:endParaRPr lang="sr-Latn-R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CIJENE'!$A$425</c:f>
              <c:strCache>
                <c:ptCount val="1"/>
                <c:pt idx="0">
                  <c:v>EU 28</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CIJENE'!$B$425:$J$425</c:f>
              <c:numCache>
                <c:formatCode>0.00%</c:formatCode>
                <c:ptCount val="9"/>
                <c:pt idx="0">
                  <c:v>2.5999999999999999E-2</c:v>
                </c:pt>
                <c:pt idx="1">
                  <c:v>2.1999999999999999E-2</c:v>
                </c:pt>
                <c:pt idx="2">
                  <c:v>3.4000000000000002E-2</c:v>
                </c:pt>
                <c:pt idx="3">
                  <c:v>3.2000000000000042E-2</c:v>
                </c:pt>
                <c:pt idx="4">
                  <c:v>4.0000000000000114E-3</c:v>
                </c:pt>
                <c:pt idx="5">
                  <c:v>-4.5000000000000012E-2</c:v>
                </c:pt>
                <c:pt idx="6">
                  <c:v>2.1000000000000012E-2</c:v>
                </c:pt>
                <c:pt idx="7">
                  <c:v>1.6000000000000021E-2</c:v>
                </c:pt>
                <c:pt idx="8">
                  <c:v>-4.0000000000000114E-3</c:v>
                </c:pt>
              </c:numCache>
            </c:numRef>
          </c:val>
          <c:smooth val="0"/>
        </c:ser>
        <c:ser>
          <c:idx val="1"/>
          <c:order val="1"/>
          <c:tx>
            <c:strRef>
              <c:f>'BDP I CIJENE'!$A$426</c:f>
              <c:strCache>
                <c:ptCount val="1"/>
                <c:pt idx="0">
                  <c:v>Hrvatska</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CIJENE'!$B$426:$J$426</c:f>
              <c:numCache>
                <c:formatCode>0.00%</c:formatCode>
                <c:ptCount val="9"/>
                <c:pt idx="0">
                  <c:v>4.1000000000000002E-2</c:v>
                </c:pt>
                <c:pt idx="1">
                  <c:v>4.3000000000000003E-2</c:v>
                </c:pt>
                <c:pt idx="2">
                  <c:v>4.9000000000000113E-2</c:v>
                </c:pt>
                <c:pt idx="3">
                  <c:v>5.1000000000000004E-2</c:v>
                </c:pt>
                <c:pt idx="4">
                  <c:v>2.1000000000000012E-2</c:v>
                </c:pt>
                <c:pt idx="5">
                  <c:v>-6.9000000000000034E-2</c:v>
                </c:pt>
                <c:pt idx="6">
                  <c:v>-2.3E-2</c:v>
                </c:pt>
                <c:pt idx="7">
                  <c:v>0</c:v>
                </c:pt>
                <c:pt idx="8">
                  <c:v>-2.0000000000000011E-2</c:v>
                </c:pt>
              </c:numCache>
            </c:numRef>
          </c:val>
          <c:smooth val="0"/>
        </c:ser>
        <c:dLbls>
          <c:showLegendKey val="0"/>
          <c:showVal val="0"/>
          <c:showCatName val="0"/>
          <c:showSerName val="0"/>
          <c:showPercent val="0"/>
          <c:showBubbleSize val="0"/>
        </c:dLbls>
        <c:marker val="1"/>
        <c:smooth val="0"/>
        <c:axId val="193524480"/>
        <c:axId val="193526016"/>
      </c:lineChart>
      <c:catAx>
        <c:axId val="193524480"/>
        <c:scaling>
          <c:orientation val="minMax"/>
        </c:scaling>
        <c:delete val="0"/>
        <c:axPos val="b"/>
        <c:majorTickMark val="none"/>
        <c:minorTickMark val="none"/>
        <c:tickLblPos val="nextTo"/>
        <c:crossAx val="193526016"/>
        <c:crosses val="autoZero"/>
        <c:auto val="1"/>
        <c:lblAlgn val="ctr"/>
        <c:lblOffset val="100"/>
        <c:noMultiLvlLbl val="0"/>
      </c:catAx>
      <c:valAx>
        <c:axId val="193526016"/>
        <c:scaling>
          <c:orientation val="minMax"/>
        </c:scaling>
        <c:delete val="0"/>
        <c:axPos val="l"/>
        <c:majorGridlines/>
        <c:numFmt formatCode="0.00%" sourceLinked="1"/>
        <c:majorTickMark val="none"/>
        <c:minorTickMark val="none"/>
        <c:tickLblPos val="nextTo"/>
        <c:crossAx val="19352448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List1!$A$2</c:f>
              <c:strCache>
                <c:ptCount val="1"/>
                <c:pt idx="0">
                  <c:v>Obujam industrijske proizvodnje - referentna godina 2008.</c:v>
                </c:pt>
              </c:strCache>
            </c:strRef>
          </c:tx>
          <c:marker>
            <c:symbol val="none"/>
          </c:marker>
          <c:cat>
            <c:numRef>
              <c:f>List1!$B$2:$S$2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List1!$B$1:$S$1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82.552698126807499</c:v>
                </c:pt>
                <c:pt idx="12">
                  <c:v>80.901644164273961</c:v>
                </c:pt>
                <c:pt idx="13">
                  <c:v>80.658939231779158</c:v>
                </c:pt>
                <c:pt idx="14">
                  <c:v>79.045760447144232</c:v>
                </c:pt>
                <c:pt idx="15">
                  <c:v>78.887668926249944</c:v>
                </c:pt>
                <c:pt idx="16">
                  <c:v>78.098792236985673</c:v>
                </c:pt>
                <c:pt idx="17">
                  <c:v>78.020693444750464</c:v>
                </c:pt>
              </c:numCache>
            </c:numRef>
          </c:val>
          <c:smooth val="0"/>
        </c:ser>
        <c:dLbls>
          <c:showLegendKey val="0"/>
          <c:showVal val="0"/>
          <c:showCatName val="0"/>
          <c:showSerName val="0"/>
          <c:showPercent val="0"/>
          <c:showBubbleSize val="0"/>
        </c:dLbls>
        <c:marker val="1"/>
        <c:smooth val="0"/>
        <c:axId val="245739904"/>
        <c:axId val="245741440"/>
      </c:lineChart>
      <c:catAx>
        <c:axId val="24573990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741440"/>
        <c:crosses val="autoZero"/>
        <c:auto val="1"/>
        <c:lblAlgn val="ctr"/>
        <c:lblOffset val="100"/>
        <c:noMultiLvlLbl val="0"/>
      </c:catAx>
      <c:valAx>
        <c:axId val="245741440"/>
        <c:scaling>
          <c:orientation val="minMax"/>
        </c:scaling>
        <c:delete val="0"/>
        <c:axPos val="l"/>
        <c:majorGridlines/>
        <c:numFmt formatCode="0.000"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7399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List1!$A$5</c:f>
              <c:strCache>
                <c:ptCount val="1"/>
                <c:pt idx="0">
                  <c:v>Obujam industrijske proizvodnje - referentna godina 2008.</c:v>
                </c:pt>
              </c:strCache>
            </c:strRef>
          </c:tx>
          <c:marker>
            <c:symbol val="none"/>
          </c:marker>
          <c:cat>
            <c:numRef>
              <c:f>List1!$C$5:$S$5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List1!$C$4:$S$4</c:f>
              <c:numCache>
                <c:formatCode>0.00%</c:formatCode>
                <c:ptCount val="17"/>
                <c:pt idx="0">
                  <c:v>0.10299999999999998</c:v>
                </c:pt>
                <c:pt idx="1">
                  <c:v>5.9000000000000434E-2</c:v>
                </c:pt>
                <c:pt idx="2">
                  <c:v>3.9000000000000201E-2</c:v>
                </c:pt>
                <c:pt idx="3">
                  <c:v>5.9000000000000434E-2</c:v>
                </c:pt>
                <c:pt idx="4">
                  <c:v>1.0000000000000021E-2</c:v>
                </c:pt>
                <c:pt idx="5">
                  <c:v>-0.10599999999999998</c:v>
                </c:pt>
                <c:pt idx="6">
                  <c:v>-2.0999999999999911E-2</c:v>
                </c:pt>
                <c:pt idx="7">
                  <c:v>-2.0000000000000052E-3</c:v>
                </c:pt>
                <c:pt idx="8">
                  <c:v>-5.3000000000000012E-2</c:v>
                </c:pt>
                <c:pt idx="9">
                  <c:v>0</c:v>
                </c:pt>
                <c:pt idx="10">
                  <c:v>-2.0000000000000052E-3</c:v>
                </c:pt>
                <c:pt idx="11">
                  <c:v>-2.0000000000000032E-2</c:v>
                </c:pt>
                <c:pt idx="12">
                  <c:v>-2.9999999999998908E-3</c:v>
                </c:pt>
                <c:pt idx="13">
                  <c:v>-1.9999999999999907E-2</c:v>
                </c:pt>
                <c:pt idx="14">
                  <c:v>-2.0000000000000052E-3</c:v>
                </c:pt>
                <c:pt idx="15">
                  <c:v>-1.0000000000000005E-2</c:v>
                </c:pt>
                <c:pt idx="16">
                  <c:v>-1.0000000000000041E-3</c:v>
                </c:pt>
              </c:numCache>
            </c:numRef>
          </c:val>
          <c:smooth val="0"/>
        </c:ser>
        <c:dLbls>
          <c:showLegendKey val="0"/>
          <c:showVal val="0"/>
          <c:showCatName val="0"/>
          <c:showSerName val="0"/>
          <c:showPercent val="0"/>
          <c:showBubbleSize val="0"/>
        </c:dLbls>
        <c:marker val="1"/>
        <c:smooth val="0"/>
        <c:axId val="245752960"/>
        <c:axId val="245754496"/>
      </c:lineChart>
      <c:catAx>
        <c:axId val="245752960"/>
        <c:scaling>
          <c:orientation val="minMax"/>
        </c:scaling>
        <c:delete val="0"/>
        <c:axPos val="b"/>
        <c:numFmt formatCode="General" sourceLinked="1"/>
        <c:majorTickMark val="out"/>
        <c:minorTickMark val="none"/>
        <c:tickLblPos val="nextTo"/>
        <c:crossAx val="245754496"/>
        <c:crosses val="autoZero"/>
        <c:auto val="1"/>
        <c:lblAlgn val="ctr"/>
        <c:lblOffset val="100"/>
        <c:noMultiLvlLbl val="0"/>
      </c:catAx>
      <c:valAx>
        <c:axId val="245754496"/>
        <c:scaling>
          <c:orientation val="minMax"/>
        </c:scaling>
        <c:delete val="0"/>
        <c:axPos val="l"/>
        <c:majorGridlines/>
        <c:numFmt formatCode="0.00%" sourceLinked="1"/>
        <c:majorTickMark val="out"/>
        <c:minorTickMark val="none"/>
        <c:tickLblPos val="nextTo"/>
        <c:crossAx val="2457529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83.545315739555988</c:v>
                </c:pt>
                <c:pt idx="12">
                  <c:v>84.380768896949718</c:v>
                </c:pt>
                <c:pt idx="13">
                  <c:v>86.068384274890619</c:v>
                </c:pt>
                <c:pt idx="14">
                  <c:v>88.650435803136034</c:v>
                </c:pt>
                <c:pt idx="15">
                  <c:v>92.196453235262837</c:v>
                </c:pt>
                <c:pt idx="16">
                  <c:v>95.884311364673351</c:v>
                </c:pt>
                <c:pt idx="17">
                  <c:v>100.67852693290575</c:v>
                </c:pt>
              </c:numCache>
            </c:numRef>
          </c:val>
          <c:smooth val="0"/>
        </c:ser>
        <c:dLbls>
          <c:showLegendKey val="0"/>
          <c:showVal val="0"/>
          <c:showCatName val="0"/>
          <c:showSerName val="0"/>
          <c:showPercent val="0"/>
          <c:showBubbleSize val="0"/>
        </c:dLbls>
        <c:marker val="1"/>
        <c:smooth val="0"/>
        <c:axId val="245794688"/>
        <c:axId val="245796224"/>
      </c:lineChart>
      <c:catAx>
        <c:axId val="245794688"/>
        <c:scaling>
          <c:orientation val="minMax"/>
        </c:scaling>
        <c:delete val="0"/>
        <c:axPos val="b"/>
        <c:numFmt formatCode="General" sourceLinked="1"/>
        <c:majorTickMark val="out"/>
        <c:minorTickMark val="none"/>
        <c:tickLblPos val="nextTo"/>
        <c:crossAx val="245796224"/>
        <c:crosses val="autoZero"/>
        <c:auto val="1"/>
        <c:lblAlgn val="ctr"/>
        <c:lblOffset val="100"/>
        <c:noMultiLvlLbl val="0"/>
      </c:catAx>
      <c:valAx>
        <c:axId val="245796224"/>
        <c:scaling>
          <c:orientation val="minMax"/>
        </c:scaling>
        <c:delete val="0"/>
        <c:axPos val="l"/>
        <c:majorGridlines/>
        <c:numFmt formatCode="0.000" sourceLinked="1"/>
        <c:majorTickMark val="out"/>
        <c:minorTickMark val="none"/>
        <c:tickLblPos val="nextTo"/>
        <c:crossAx val="2457946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c:v>
                </c:pt>
                <c:pt idx="11">
                  <c:v>1</c:v>
                </c:pt>
                <c:pt idx="12">
                  <c:v>2</c:v>
                </c:pt>
                <c:pt idx="13">
                  <c:v>3</c:v>
                </c:pt>
                <c:pt idx="14">
                  <c:v>4</c:v>
                </c:pt>
                <c:pt idx="15">
                  <c:v>4</c:v>
                </c:pt>
                <c:pt idx="16">
                  <c:v>5</c:v>
                </c:pt>
              </c:numCache>
            </c:numRef>
          </c:val>
          <c:smooth val="0"/>
        </c:ser>
        <c:dLbls>
          <c:showLegendKey val="0"/>
          <c:showVal val="0"/>
          <c:showCatName val="0"/>
          <c:showSerName val="0"/>
          <c:showPercent val="0"/>
          <c:showBubbleSize val="0"/>
        </c:dLbls>
        <c:marker val="1"/>
        <c:smooth val="0"/>
        <c:axId val="245815936"/>
        <c:axId val="245895552"/>
      </c:lineChart>
      <c:catAx>
        <c:axId val="2458159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895552"/>
        <c:crosses val="autoZero"/>
        <c:auto val="1"/>
        <c:lblAlgn val="ctr"/>
        <c:lblOffset val="100"/>
        <c:noMultiLvlLbl val="0"/>
      </c:catAx>
      <c:valAx>
        <c:axId val="245895552"/>
        <c:scaling>
          <c:orientation val="minMax"/>
        </c:scaling>
        <c:delete val="0"/>
        <c:axPos val="l"/>
        <c:majorGridlines/>
        <c:numFmt formatCode="General" sourceLinked="1"/>
        <c:majorTickMark val="out"/>
        <c:minorTickMark val="none"/>
        <c:tickLblPos val="nextTo"/>
        <c:crossAx val="24581593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83.710752008347427</c:v>
                </c:pt>
                <c:pt idx="12">
                  <c:v>84.715281032447379</c:v>
                </c:pt>
                <c:pt idx="13">
                  <c:v>86.748447777226119</c:v>
                </c:pt>
                <c:pt idx="14">
                  <c:v>89.8713918972051</c:v>
                </c:pt>
                <c:pt idx="15">
                  <c:v>94.185218708272174</c:v>
                </c:pt>
                <c:pt idx="16">
                  <c:v>98.706109206269247</c:v>
                </c:pt>
                <c:pt idx="17">
                  <c:v>104.62847575864383</c:v>
                </c:pt>
              </c:numCache>
            </c:numRef>
          </c:val>
          <c:smooth val="0"/>
        </c:ser>
        <c:dLbls>
          <c:showLegendKey val="0"/>
          <c:showVal val="0"/>
          <c:showCatName val="0"/>
          <c:showSerName val="0"/>
          <c:showPercent val="0"/>
          <c:showBubbleSize val="0"/>
        </c:dLbls>
        <c:marker val="1"/>
        <c:smooth val="0"/>
        <c:axId val="245915008"/>
        <c:axId val="245924992"/>
      </c:lineChart>
      <c:catAx>
        <c:axId val="24591500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924992"/>
        <c:crosses val="autoZero"/>
        <c:auto val="1"/>
        <c:lblAlgn val="ctr"/>
        <c:lblOffset val="100"/>
        <c:noMultiLvlLbl val="0"/>
      </c:catAx>
      <c:valAx>
        <c:axId val="245924992"/>
        <c:scaling>
          <c:orientation val="minMax"/>
        </c:scaling>
        <c:delete val="0"/>
        <c:axPos val="l"/>
        <c:majorGridlines/>
        <c:numFmt formatCode="0.000"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91500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1.2</c:v>
                </c:pt>
                <c:pt idx="11">
                  <c:v>1.2</c:v>
                </c:pt>
                <c:pt idx="12">
                  <c:v>2.4</c:v>
                </c:pt>
                <c:pt idx="13">
                  <c:v>3.5999999999999988</c:v>
                </c:pt>
                <c:pt idx="14">
                  <c:v>4.8</c:v>
                </c:pt>
                <c:pt idx="15">
                  <c:v>4.8</c:v>
                </c:pt>
                <c:pt idx="16">
                  <c:v>6</c:v>
                </c:pt>
              </c:numCache>
            </c:numRef>
          </c:val>
          <c:smooth val="0"/>
        </c:ser>
        <c:dLbls>
          <c:showLegendKey val="0"/>
          <c:showVal val="0"/>
          <c:showCatName val="0"/>
          <c:showSerName val="0"/>
          <c:showPercent val="0"/>
          <c:showBubbleSize val="0"/>
        </c:dLbls>
        <c:marker val="1"/>
        <c:smooth val="0"/>
        <c:axId val="245965184"/>
        <c:axId val="245966720"/>
      </c:lineChart>
      <c:catAx>
        <c:axId val="2459651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245966720"/>
        <c:crosses val="autoZero"/>
        <c:auto val="1"/>
        <c:lblAlgn val="ctr"/>
        <c:lblOffset val="100"/>
        <c:noMultiLvlLbl val="0"/>
      </c:catAx>
      <c:valAx>
        <c:axId val="245966720"/>
        <c:scaling>
          <c:orientation val="minMax"/>
        </c:scaling>
        <c:delete val="0"/>
        <c:axPos val="l"/>
        <c:majorGridlines/>
        <c:numFmt formatCode="General" sourceLinked="1"/>
        <c:majorTickMark val="out"/>
        <c:minorTickMark val="none"/>
        <c:tickLblPos val="nextTo"/>
        <c:crossAx val="2459651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'INDUSTRIJA I CIJENE'!$M$97</c:f>
              <c:strCache>
                <c:ptCount val="1"/>
                <c:pt idx="0">
                  <c:v>C</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CIJENE'!$N$97:$V$97</c:f>
              <c:numCache>
                <c:formatCode>0.00%</c:formatCode>
                <c:ptCount val="9"/>
                <c:pt idx="0">
                  <c:v>0.1767264355694812</c:v>
                </c:pt>
                <c:pt idx="1">
                  <c:v>0.17577315860609541</c:v>
                </c:pt>
                <c:pt idx="2">
                  <c:v>0.16825436260608059</c:v>
                </c:pt>
                <c:pt idx="3">
                  <c:v>0.16875906838313576</c:v>
                </c:pt>
                <c:pt idx="4">
                  <c:v>0.16258815540286894</c:v>
                </c:pt>
                <c:pt idx="5">
                  <c:v>0.14908361710131593</c:v>
                </c:pt>
                <c:pt idx="6">
                  <c:v>0.15440484880178446</c:v>
                </c:pt>
                <c:pt idx="7">
                  <c:v>0.15969200231216779</c:v>
                </c:pt>
                <c:pt idx="8">
                  <c:v>0.16027479636277495</c:v>
                </c:pt>
              </c:numCache>
            </c:numRef>
          </c:val>
          <c:smooth val="0"/>
        </c:ser>
        <c:ser>
          <c:idx val="1"/>
          <c:order val="1"/>
          <c:tx>
            <c:strRef>
              <c:f>'INDUSTRIJA I CIJENE'!$M$98</c:f>
              <c:strCache>
                <c:ptCount val="1"/>
                <c:pt idx="0">
                  <c:v>G, H, I</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CIJENE'!$N$98:$V$98</c:f>
              <c:numCache>
                <c:formatCode>0.00%</c:formatCode>
                <c:ptCount val="9"/>
                <c:pt idx="0">
                  <c:v>0.2277994810214482</c:v>
                </c:pt>
                <c:pt idx="1">
                  <c:v>0.23017776094601017</c:v>
                </c:pt>
                <c:pt idx="2">
                  <c:v>0.22772031049494276</c:v>
                </c:pt>
                <c:pt idx="3">
                  <c:v>0.22954521556901544</c:v>
                </c:pt>
                <c:pt idx="4">
                  <c:v>0.21551044222818921</c:v>
                </c:pt>
                <c:pt idx="5">
                  <c:v>0.20520843132655103</c:v>
                </c:pt>
                <c:pt idx="6">
                  <c:v>0.19951918712119243</c:v>
                </c:pt>
                <c:pt idx="7">
                  <c:v>0.20443746432687668</c:v>
                </c:pt>
                <c:pt idx="8">
                  <c:v>0.20534285766350202</c:v>
                </c:pt>
              </c:numCache>
            </c:numRef>
          </c:val>
          <c:smooth val="0"/>
        </c:ser>
        <c:ser>
          <c:idx val="2"/>
          <c:order val="2"/>
          <c:tx>
            <c:strRef>
              <c:f>'INDUSTRIJA I CIJENE'!$M$99</c:f>
              <c:strCache>
                <c:ptCount val="1"/>
                <c:pt idx="0">
                  <c:v>L</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CIJENE'!$N$99:$V$99</c:f>
              <c:numCache>
                <c:formatCode>0.00%</c:formatCode>
                <c:ptCount val="9"/>
                <c:pt idx="0">
                  <c:v>8.8963920860358064E-2</c:v>
                </c:pt>
                <c:pt idx="1">
                  <c:v>8.7163196150283548E-2</c:v>
                </c:pt>
                <c:pt idx="2">
                  <c:v>9.1342417820546459E-2</c:v>
                </c:pt>
                <c:pt idx="3">
                  <c:v>9.1806015366528396E-2</c:v>
                </c:pt>
                <c:pt idx="4">
                  <c:v>0.10203526050451422</c:v>
                </c:pt>
                <c:pt idx="5">
                  <c:v>0.10602479031661813</c:v>
                </c:pt>
                <c:pt idx="6">
                  <c:v>0.10835357904178802</c:v>
                </c:pt>
                <c:pt idx="7">
                  <c:v>0.10773375214038995</c:v>
                </c:pt>
                <c:pt idx="8">
                  <c:v>0.11021375075168414</c:v>
                </c:pt>
              </c:numCache>
            </c:numRef>
          </c:val>
          <c:smooth val="0"/>
        </c:ser>
        <c:ser>
          <c:idx val="3"/>
          <c:order val="3"/>
          <c:tx>
            <c:strRef>
              <c:f>'INDUSTRIJA I CIJENE'!$M$100</c:f>
              <c:strCache>
                <c:ptCount val="1"/>
                <c:pt idx="0">
                  <c:v>O, P, Q</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CIJENE'!$N$100:$V$100</c:f>
              <c:numCache>
                <c:formatCode>0.00%</c:formatCode>
                <c:ptCount val="9"/>
                <c:pt idx="0">
                  <c:v>0.14491903284658864</c:v>
                </c:pt>
                <c:pt idx="1">
                  <c:v>0.14139916818029463</c:v>
                </c:pt>
                <c:pt idx="2">
                  <c:v>0.13889445409271894</c:v>
                </c:pt>
                <c:pt idx="3">
                  <c:v>0.13403505081791461</c:v>
                </c:pt>
                <c:pt idx="4">
                  <c:v>0.13945115304922767</c:v>
                </c:pt>
                <c:pt idx="5">
                  <c:v>0.15006223812513031</c:v>
                </c:pt>
                <c:pt idx="6">
                  <c:v>0.15696143691873449</c:v>
                </c:pt>
                <c:pt idx="7">
                  <c:v>0.15874314257981362</c:v>
                </c:pt>
                <c:pt idx="8">
                  <c:v>0.16243234870711223</c:v>
                </c:pt>
              </c:numCache>
            </c:numRef>
          </c:val>
          <c:smooth val="0"/>
        </c:ser>
        <c:dLbls>
          <c:showLegendKey val="0"/>
          <c:showVal val="0"/>
          <c:showCatName val="0"/>
          <c:showSerName val="0"/>
          <c:showPercent val="0"/>
          <c:showBubbleSize val="0"/>
        </c:dLbls>
        <c:marker val="1"/>
        <c:smooth val="0"/>
        <c:axId val="193556864"/>
        <c:axId val="193558400"/>
      </c:lineChart>
      <c:catAx>
        <c:axId val="193556864"/>
        <c:scaling>
          <c:orientation val="minMax"/>
        </c:scaling>
        <c:delete val="0"/>
        <c:axPos val="b"/>
        <c:numFmt formatCode="General" sourceLinked="1"/>
        <c:majorTickMark val="none"/>
        <c:minorTickMark val="none"/>
        <c:tickLblPos val="nextTo"/>
        <c:crossAx val="193558400"/>
        <c:crosses val="autoZero"/>
        <c:auto val="1"/>
        <c:lblAlgn val="ctr"/>
        <c:lblOffset val="100"/>
        <c:noMultiLvlLbl val="0"/>
      </c:catAx>
      <c:valAx>
        <c:axId val="193558400"/>
        <c:scaling>
          <c:orientation val="minMax"/>
          <c:min val="0.05"/>
        </c:scaling>
        <c:delete val="0"/>
        <c:axPos val="l"/>
        <c:majorGridlines/>
        <c:numFmt formatCode="0.00%" sourceLinked="1"/>
        <c:majorTickMark val="none"/>
        <c:minorTickMark val="none"/>
        <c:tickLblPos val="nextTo"/>
        <c:crossAx val="19355686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'BDP i Dodana vrijednost'!$V$398:$V$401</c:f>
              <c:strCache>
                <c:ptCount val="1"/>
                <c:pt idx="0">
                  <c:v>Udio BDV-a prerađivačke industrije u ukupnom BDV-u u 2010.</c:v>
                </c:pt>
              </c:strCache>
            </c:strRef>
          </c:tx>
          <c:invertIfNegative val="0"/>
          <c:dPt>
            <c:idx val="13"/>
            <c:invertIfNegative val="0"/>
            <c:bubble3D val="0"/>
            <c:spPr>
              <a:solidFill>
                <a:srgbClr val="C0504D">
                  <a:lumMod val="75000"/>
                </a:srgbClr>
              </a:solidFill>
            </c:spPr>
          </c:dPt>
          <c:dLbls>
            <c:dLbl>
              <c:idx val="1"/>
              <c:layout>
                <c:manualLayout>
                  <c:x val="0"/>
                  <c:y val="-9.1168091168091228E-2"/>
                </c:manualLayout>
              </c:layout>
              <c:showLegendKey val="0"/>
              <c:showVal val="1"/>
              <c:showCatName val="0"/>
              <c:showSerName val="0"/>
              <c:showPercent val="0"/>
              <c:showBubbleSize val="0"/>
            </c:dLbl>
            <c:dLbl>
              <c:idx val="2"/>
              <c:layout>
                <c:manualLayout>
                  <c:x val="-2.0199560982316022E-17"/>
                  <c:y val="-3.4188034188034171E-2"/>
                </c:manualLayout>
              </c:layout>
              <c:showLegendKey val="0"/>
              <c:showVal val="1"/>
              <c:showCatName val="0"/>
              <c:showSerName val="0"/>
              <c:showPercent val="0"/>
              <c:showBubbleSize val="0"/>
            </c:dLbl>
            <c:dLbl>
              <c:idx val="3"/>
              <c:layout>
                <c:manualLayout>
                  <c:x val="0"/>
                  <c:y val="1.1396011396011443E-2"/>
                </c:manualLayout>
              </c:layout>
              <c:showLegendKey val="0"/>
              <c:showVal val="1"/>
              <c:showCatName val="0"/>
              <c:showSerName val="0"/>
              <c:showPercent val="0"/>
              <c:showBubbleSize val="0"/>
            </c:dLbl>
            <c:dLbl>
              <c:idx val="4"/>
              <c:layout>
                <c:manualLayout>
                  <c:x val="0"/>
                  <c:y val="-5.6980056980056967E-2"/>
                </c:manualLayout>
              </c:layout>
              <c:showLegendKey val="0"/>
              <c:showVal val="1"/>
              <c:showCatName val="0"/>
              <c:showSerName val="0"/>
              <c:showPercent val="0"/>
              <c:showBubbleSize val="0"/>
            </c:dLbl>
            <c:dLbl>
              <c:idx val="6"/>
              <c:layout>
                <c:manualLayout>
                  <c:x val="0"/>
                  <c:y val="-7.2174738841405503E-2"/>
                </c:manualLayout>
              </c:layout>
              <c:showLegendKey val="0"/>
              <c:showVal val="1"/>
              <c:showCatName val="0"/>
              <c:showSerName val="0"/>
              <c:showPercent val="0"/>
              <c:showBubbleSize val="0"/>
            </c:dLbl>
            <c:dLbl>
              <c:idx val="8"/>
              <c:layout>
                <c:manualLayout>
                  <c:x val="0"/>
                  <c:y val="-4.9382716049384087E-2"/>
                </c:manualLayout>
              </c:layout>
              <c:showLegendKey val="0"/>
              <c:showVal val="1"/>
              <c:showCatName val="0"/>
              <c:showSerName val="0"/>
              <c:showPercent val="0"/>
              <c:showBubbleSize val="0"/>
            </c:dLbl>
            <c:dLbl>
              <c:idx val="10"/>
              <c:layout>
                <c:manualLayout>
                  <c:x val="0"/>
                  <c:y val="-4.1785375118708452E-2"/>
                </c:manualLayout>
              </c:layout>
              <c:showLegendKey val="0"/>
              <c:showVal val="1"/>
              <c:showCatName val="0"/>
              <c:showSerName val="0"/>
              <c:showPercent val="0"/>
              <c:showBubbleSize val="0"/>
            </c:dLbl>
            <c:dLbl>
              <c:idx val="12"/>
              <c:layout>
                <c:manualLayout>
                  <c:x val="0"/>
                  <c:y val="-4.1785375118708487E-2"/>
                </c:manualLayout>
              </c:layout>
              <c:showLegendKey val="0"/>
              <c:showVal val="1"/>
              <c:showCatName val="0"/>
              <c:showSerName val="0"/>
              <c:showPercent val="0"/>
              <c:showBubbleSize val="0"/>
            </c:dLbl>
            <c:dLbl>
              <c:idx val="14"/>
              <c:layout>
                <c:manualLayout>
                  <c:x val="2.2036139268401052E-3"/>
                  <c:y val="-6.0778727445394122E-2"/>
                </c:manualLayout>
              </c:layout>
              <c:showLegendKey val="0"/>
              <c:showVal val="1"/>
              <c:showCatName val="0"/>
              <c:showSerName val="0"/>
              <c:showPercent val="0"/>
              <c:showBubbleSize val="0"/>
            </c:dLbl>
            <c:dLbl>
              <c:idx val="15"/>
              <c:layout>
                <c:manualLayout>
                  <c:x val="8.079824392926494E-17"/>
                  <c:y val="0"/>
                </c:manualLayout>
              </c:layout>
              <c:showLegendKey val="0"/>
              <c:showVal val="1"/>
              <c:showCatName val="0"/>
              <c:showSerName val="0"/>
              <c:showPercent val="0"/>
              <c:showBubbleSize val="0"/>
            </c:dLbl>
            <c:dLbl>
              <c:idx val="16"/>
              <c:layout>
                <c:manualLayout>
                  <c:x val="-1.735129076252014E-7"/>
                  <c:y val="-4.5584045584045566E-2"/>
                </c:manualLayout>
              </c:layout>
              <c:showLegendKey val="0"/>
              <c:showVal val="1"/>
              <c:showCatName val="0"/>
              <c:showSerName val="0"/>
              <c:showPercent val="0"/>
              <c:showBubbleSize val="0"/>
            </c:dLbl>
            <c:dLbl>
              <c:idx val="18"/>
              <c:layout>
                <c:manualLayout>
                  <c:x val="0"/>
                  <c:y val="-5.3181386514719847E-2"/>
                </c:manualLayout>
              </c:layout>
              <c:showLegendKey val="0"/>
              <c:showVal val="1"/>
              <c:showCatName val="0"/>
              <c:showSerName val="0"/>
              <c:showPercent val="0"/>
              <c:showBubbleSize val="0"/>
            </c:dLbl>
            <c:dLbl>
              <c:idx val="20"/>
              <c:layout>
                <c:manualLayout>
                  <c:x val="0"/>
                  <c:y val="-6.0778727445394122E-2"/>
                </c:manualLayout>
              </c:layout>
              <c:showLegendKey val="0"/>
              <c:showVal val="1"/>
              <c:showCatName val="0"/>
              <c:showSerName val="0"/>
              <c:showPercent val="0"/>
              <c:showBubbleSize val="0"/>
            </c:dLbl>
            <c:dLbl>
              <c:idx val="21"/>
              <c:layout>
                <c:manualLayout>
                  <c:x val="0"/>
                  <c:y val="-1.8993352326685663E-2"/>
                </c:manualLayout>
              </c:layout>
              <c:showLegendKey val="0"/>
              <c:showVal val="1"/>
              <c:showCatName val="0"/>
              <c:showSerName val="0"/>
              <c:showPercent val="0"/>
              <c:showBubbleSize val="0"/>
            </c:dLbl>
            <c:dLbl>
              <c:idx val="23"/>
              <c:layout>
                <c:manualLayout>
                  <c:x val="0"/>
                  <c:y val="-1.8993352326685663E-2"/>
                </c:manualLayout>
              </c:layout>
              <c:showLegendKey val="0"/>
              <c:showVal val="1"/>
              <c:showCatName val="0"/>
              <c:showSerName val="0"/>
              <c:showPercent val="0"/>
              <c:showBubbleSize val="0"/>
            </c:dLbl>
            <c:dLbl>
              <c:idx val="24"/>
              <c:layout>
                <c:manualLayout>
                  <c:x val="6.6108417805201694E-3"/>
                  <c:y val="3.7986704653371612E-3"/>
                </c:manualLayout>
              </c:layout>
              <c:showLegendKey val="0"/>
              <c:showVal val="1"/>
              <c:showCatName val="0"/>
              <c:showSerName val="0"/>
              <c:showPercent val="0"/>
              <c:showBubbleSize val="0"/>
            </c:dLbl>
            <c:dLbl>
              <c:idx val="26"/>
              <c:layout>
                <c:manualLayout>
                  <c:x val="0"/>
                  <c:y val="1.5194681861348529E-2"/>
                </c:manualLayout>
              </c:layout>
              <c:showLegendKey val="0"/>
              <c:showVal val="1"/>
              <c:showCatName val="0"/>
              <c:showSerName val="0"/>
              <c:showPercent val="0"/>
              <c:showBubbleSize val="0"/>
            </c:dLbl>
            <c:txPr>
              <a:bodyPr/>
              <a:lstStyle/>
              <a:p>
                <a:pPr>
                  <a:defRPr b="1"/>
                </a:pPr>
                <a:endParaRPr lang="sr-Latn-RS"/>
              </a:p>
            </c:txPr>
            <c:showLegendKey val="0"/>
            <c:showVal val="1"/>
            <c:showCatName val="0"/>
            <c:showSerName val="0"/>
            <c:showPercent val="0"/>
            <c:showBubbleSize val="0"/>
            <c:showLeaderLines val="0"/>
          </c:dLbls>
          <c:cat>
            <c:strRef>
              <c:f>'BDP i Dodana vrijednost'!$M$402:$M$426</c:f>
              <c:strCache>
                <c:ptCount val="25"/>
                <c:pt idx="0">
                  <c:v>Rumunjska</c:v>
                </c:pt>
                <c:pt idx="1">
                  <c:v>Češka</c:v>
                </c:pt>
                <c:pt idx="2">
                  <c:v>Mađarska</c:v>
                </c:pt>
                <c:pt idx="3">
                  <c:v>Irska</c:v>
                </c:pt>
                <c:pt idx="4">
                  <c:v>Njemačka</c:v>
                </c:pt>
                <c:pt idx="5">
                  <c:v>Slovačka</c:v>
                </c:pt>
                <c:pt idx="6">
                  <c:v>Slovenija</c:v>
                </c:pt>
                <c:pt idx="7">
                  <c:v>Litva</c:v>
                </c:pt>
                <c:pt idx="8">
                  <c:v>Austrija</c:v>
                </c:pt>
                <c:pt idx="9">
                  <c:v>Finska</c:v>
                </c:pt>
                <c:pt idx="10">
                  <c:v>Švedska</c:v>
                </c:pt>
                <c:pt idx="11">
                  <c:v>Italija</c:v>
                </c:pt>
                <c:pt idx="12">
                  <c:v>Estonija</c:v>
                </c:pt>
                <c:pt idx="13">
                  <c:v>Hrvatska</c:v>
                </c:pt>
                <c:pt idx="14">
                  <c:v>Bugarska</c:v>
                </c:pt>
                <c:pt idx="15">
                  <c:v>Belgija</c:v>
                </c:pt>
                <c:pt idx="16">
                  <c:v>Portugal</c:v>
                </c:pt>
                <c:pt idx="17">
                  <c:v>Latvija</c:v>
                </c:pt>
                <c:pt idx="18">
                  <c:v>Španjolska</c:v>
                </c:pt>
                <c:pt idx="19">
                  <c:v>Nizozemska</c:v>
                </c:pt>
                <c:pt idx="20">
                  <c:v>Danska</c:v>
                </c:pt>
                <c:pt idx="21">
                  <c:v>U.K.</c:v>
                </c:pt>
                <c:pt idx="22">
                  <c:v>Grčka</c:v>
                </c:pt>
                <c:pt idx="23">
                  <c:v>Cipar</c:v>
                </c:pt>
                <c:pt idx="24">
                  <c:v>Luksemburg</c:v>
                </c:pt>
              </c:strCache>
            </c:strRef>
          </c:cat>
          <c:val>
            <c:numRef>
              <c:f>'BDP i Dodana vrijednost'!$V$402:$V$426</c:f>
              <c:numCache>
                <c:formatCode>0.00%</c:formatCode>
                <c:ptCount val="25"/>
                <c:pt idx="0">
                  <c:v>0.24262205656701771</c:v>
                </c:pt>
                <c:pt idx="1">
                  <c:v>0.22931248064416496</c:v>
                </c:pt>
                <c:pt idx="2">
                  <c:v>0.22009038614520637</c:v>
                </c:pt>
                <c:pt idx="3">
                  <c:v>0.21655006566533241</c:v>
                </c:pt>
                <c:pt idx="4">
                  <c:v>0.20863312597832021</c:v>
                </c:pt>
                <c:pt idx="5">
                  <c:v>0.20442120871083991</c:v>
                </c:pt>
                <c:pt idx="6">
                  <c:v>0.19218852871693567</c:v>
                </c:pt>
                <c:pt idx="7">
                  <c:v>0.18952075027037496</c:v>
                </c:pt>
                <c:pt idx="8">
                  <c:v>0.18369757826343769</c:v>
                </c:pt>
                <c:pt idx="9">
                  <c:v>0.17436645419965049</c:v>
                </c:pt>
                <c:pt idx="10">
                  <c:v>0.16958505255778394</c:v>
                </c:pt>
                <c:pt idx="11">
                  <c:v>0.16132357821451457</c:v>
                </c:pt>
                <c:pt idx="12">
                  <c:v>0.15959014948808894</c:v>
                </c:pt>
                <c:pt idx="13">
                  <c:v>0.159285120444526</c:v>
                </c:pt>
                <c:pt idx="14">
                  <c:v>0.14534162691139391</c:v>
                </c:pt>
                <c:pt idx="15">
                  <c:v>0.13764525701399191</c:v>
                </c:pt>
                <c:pt idx="16">
                  <c:v>0.13354885792878438</c:v>
                </c:pt>
                <c:pt idx="17">
                  <c:v>0.13318866384746644</c:v>
                </c:pt>
                <c:pt idx="18">
                  <c:v>0.12956855031108688</c:v>
                </c:pt>
                <c:pt idx="19">
                  <c:v>0.1236962537249917</c:v>
                </c:pt>
                <c:pt idx="20">
                  <c:v>0.11390837540932285</c:v>
                </c:pt>
                <c:pt idx="21">
                  <c:v>0.10826209089789618</c:v>
                </c:pt>
                <c:pt idx="22">
                  <c:v>9.9435208833403524E-2</c:v>
                </c:pt>
                <c:pt idx="23">
                  <c:v>6.3195394255542534E-2</c:v>
                </c:pt>
                <c:pt idx="24">
                  <c:v>5.6221088510656755E-2</c:v>
                </c:pt>
              </c:numCache>
            </c:numRef>
          </c:val>
        </c:ser>
        <c:dLbls>
          <c:showLegendKey val="0"/>
          <c:showVal val="1"/>
          <c:showCatName val="0"/>
          <c:showSerName val="0"/>
          <c:showPercent val="0"/>
          <c:showBubbleSize val="0"/>
        </c:dLbls>
        <c:gapWidth val="75"/>
        <c:axId val="193581824"/>
        <c:axId val="194183168"/>
      </c:barChart>
      <c:catAx>
        <c:axId val="193581824"/>
        <c:scaling>
          <c:orientation val="minMax"/>
        </c:scaling>
        <c:delete val="0"/>
        <c:axPos val="b"/>
        <c:majorTickMark val="none"/>
        <c:minorTickMark val="none"/>
        <c:tickLblPos val="nextTo"/>
        <c:crossAx val="194183168"/>
        <c:crosses val="autoZero"/>
        <c:auto val="1"/>
        <c:lblAlgn val="ctr"/>
        <c:lblOffset val="100"/>
        <c:noMultiLvlLbl val="0"/>
      </c:catAx>
      <c:valAx>
        <c:axId val="194183168"/>
        <c:scaling>
          <c:orientation val="minMax"/>
        </c:scaling>
        <c:delete val="0"/>
        <c:axPos val="l"/>
        <c:numFmt formatCode="0.00%" sourceLinked="1"/>
        <c:majorTickMark val="none"/>
        <c:minorTickMark val="none"/>
        <c:tickLblPos val="nextTo"/>
        <c:crossAx val="1935818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CIJENE'!$BA$26</c:f>
              <c:strCache>
                <c:ptCount val="1"/>
                <c:pt idx="0">
                  <c:v>Konačna potrošnja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CIJENE'!$BB$78:$BJ$78</c:f>
              <c:numCache>
                <c:formatCode>0.00%</c:formatCode>
                <c:ptCount val="9"/>
                <c:pt idx="0">
                  <c:v>0.80468337290734848</c:v>
                </c:pt>
                <c:pt idx="1">
                  <c:v>0.79117113753071511</c:v>
                </c:pt>
                <c:pt idx="2">
                  <c:v>0.78131888099003921</c:v>
                </c:pt>
                <c:pt idx="3">
                  <c:v>0.78430755535132357</c:v>
                </c:pt>
                <c:pt idx="4">
                  <c:v>0.7733807965470616</c:v>
                </c:pt>
                <c:pt idx="5">
                  <c:v>0.78502308247498864</c:v>
                </c:pt>
                <c:pt idx="6">
                  <c:v>0.79225663441302163</c:v>
                </c:pt>
                <c:pt idx="7">
                  <c:v>0.79567749609924165</c:v>
                </c:pt>
                <c:pt idx="8">
                  <c:v>0.79340518093729728</c:v>
                </c:pt>
              </c:numCache>
            </c:numRef>
          </c:val>
          <c:smooth val="0"/>
        </c:ser>
        <c:ser>
          <c:idx val="4"/>
          <c:order val="1"/>
          <c:tx>
            <c:strRef>
              <c:f>'BDP I CIJENE'!$BA$33</c:f>
              <c:strCache>
                <c:ptCount val="1"/>
                <c:pt idx="0">
                  <c:v>Bruto investicije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CIJENE'!$BB$85:$BJ$85</c:f>
              <c:numCache>
                <c:formatCode>0.00%</c:formatCode>
                <c:ptCount val="9"/>
                <c:pt idx="0">
                  <c:v>0.27059939050817172</c:v>
                </c:pt>
                <c:pt idx="1">
                  <c:v>0.2724074487389897</c:v>
                </c:pt>
                <c:pt idx="2">
                  <c:v>0.29234565402902896</c:v>
                </c:pt>
                <c:pt idx="3">
                  <c:v>0.29379237995345325</c:v>
                </c:pt>
                <c:pt idx="4">
                  <c:v>0.31010495095103885</c:v>
                </c:pt>
                <c:pt idx="5">
                  <c:v>0.25701781424150821</c:v>
                </c:pt>
                <c:pt idx="6">
                  <c:v>0.21436843874921169</c:v>
                </c:pt>
                <c:pt idx="7">
                  <c:v>0.20604347221578534</c:v>
                </c:pt>
                <c:pt idx="8">
                  <c:v>0.19619772098081867</c:v>
                </c:pt>
              </c:numCache>
            </c:numRef>
          </c:val>
          <c:smooth val="0"/>
        </c:ser>
        <c:ser>
          <c:idx val="5"/>
          <c:order val="2"/>
          <c:tx>
            <c:strRef>
              <c:f>'BDP I CIJENE'!$BA$36</c:f>
              <c:strCache>
                <c:ptCount val="1"/>
                <c:pt idx="0">
                  <c:v>Izvoz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CIJENE'!$BB$88:$BJ$88</c:f>
              <c:numCache>
                <c:formatCode>0.00%</c:formatCode>
                <c:ptCount val="9"/>
                <c:pt idx="0">
                  <c:v>0.43090872215164433</c:v>
                </c:pt>
                <c:pt idx="1">
                  <c:v>0.42723329575819019</c:v>
                </c:pt>
                <c:pt idx="2">
                  <c:v>0.42767478487959026</c:v>
                </c:pt>
                <c:pt idx="3">
                  <c:v>0.42273439115053701</c:v>
                </c:pt>
                <c:pt idx="4">
                  <c:v>0.42123098607200182</c:v>
                </c:pt>
                <c:pt idx="5">
                  <c:v>0.37896024789558413</c:v>
                </c:pt>
                <c:pt idx="6">
                  <c:v>0.39264454988107861</c:v>
                </c:pt>
                <c:pt idx="7">
                  <c:v>0.4056047334352938</c:v>
                </c:pt>
                <c:pt idx="8">
                  <c:v>0.43302291378289359</c:v>
                </c:pt>
              </c:numCache>
            </c:numRef>
          </c:val>
          <c:smooth val="0"/>
        </c:ser>
        <c:ser>
          <c:idx val="6"/>
          <c:order val="3"/>
          <c:tx>
            <c:strRef>
              <c:f>'BDP I CIJENE'!$BA$39</c:f>
              <c:strCache>
                <c:ptCount val="1"/>
                <c:pt idx="0">
                  <c:v>Uvoz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CIJENE'!$BB$91:$BJ$91</c:f>
              <c:numCache>
                <c:formatCode>0.00%</c:formatCode>
                <c:ptCount val="9"/>
                <c:pt idx="0">
                  <c:v>0.50619148556716242</c:v>
                </c:pt>
                <c:pt idx="1">
                  <c:v>0.49081188202789461</c:v>
                </c:pt>
                <c:pt idx="2">
                  <c:v>0.50133931989864833</c:v>
                </c:pt>
                <c:pt idx="3">
                  <c:v>0.50083432645530468</c:v>
                </c:pt>
                <c:pt idx="4">
                  <c:v>0.50471673357010183</c:v>
                </c:pt>
                <c:pt idx="5">
                  <c:v>0.42100114461207144</c:v>
                </c:pt>
                <c:pt idx="6">
                  <c:v>0.39926962304329988</c:v>
                </c:pt>
                <c:pt idx="7">
                  <c:v>0.40732570175032751</c:v>
                </c:pt>
                <c:pt idx="8">
                  <c:v>0.42262581570100882</c:v>
                </c:pt>
              </c:numCache>
            </c:numRef>
          </c:val>
          <c:smooth val="0"/>
        </c:ser>
        <c:ser>
          <c:idx val="7"/>
          <c:order val="4"/>
          <c:tx>
            <c:strRef>
              <c:f>'BDP I CIJENE'!$BA$42</c:f>
              <c:strCache>
                <c:ptCount val="1"/>
                <c:pt idx="0">
                  <c:v>Neto izvoz</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CIJENE'!$BB$94:$BJ$94</c:f>
              <c:numCache>
                <c:formatCode>0.00%</c:formatCode>
                <c:ptCount val="9"/>
                <c:pt idx="0">
                  <c:v>-7.5282763415526532E-2</c:v>
                </c:pt>
                <c:pt idx="1">
                  <c:v>-6.3578586269691484E-2</c:v>
                </c:pt>
                <c:pt idx="2">
                  <c:v>-7.3664535019082031E-2</c:v>
                </c:pt>
                <c:pt idx="3">
                  <c:v>-7.8099935304767484E-2</c:v>
                </c:pt>
                <c:pt idx="4">
                  <c:v>-8.3485747498100116E-2</c:v>
                </c:pt>
                <c:pt idx="5">
                  <c:v>-4.2040896716496176E-2</c:v>
                </c:pt>
                <c:pt idx="6">
                  <c:v>-6.6250731622271514E-3</c:v>
                </c:pt>
                <c:pt idx="7">
                  <c:v>-1.7209683150268041E-3</c:v>
                </c:pt>
                <c:pt idx="8">
                  <c:v>1.0397098081866719E-2</c:v>
                </c:pt>
              </c:numCache>
            </c:numRef>
          </c:val>
          <c:smooth val="0"/>
        </c:ser>
        <c:dLbls>
          <c:showLegendKey val="0"/>
          <c:showVal val="0"/>
          <c:showCatName val="0"/>
          <c:showSerName val="0"/>
          <c:showPercent val="0"/>
          <c:showBubbleSize val="0"/>
        </c:dLbls>
        <c:marker val="1"/>
        <c:smooth val="0"/>
        <c:axId val="194205952"/>
        <c:axId val="194207744"/>
      </c:lineChart>
      <c:catAx>
        <c:axId val="194205952"/>
        <c:scaling>
          <c:orientation val="minMax"/>
        </c:scaling>
        <c:delete val="0"/>
        <c:axPos val="b"/>
        <c:numFmt formatCode="General" sourceLinked="1"/>
        <c:majorTickMark val="none"/>
        <c:minorTickMark val="none"/>
        <c:tickLblPos val="nextTo"/>
        <c:spPr>
          <a:noFill/>
        </c:spPr>
        <c:crossAx val="194207744"/>
        <c:crosses val="autoZero"/>
        <c:auto val="1"/>
        <c:lblAlgn val="ctr"/>
        <c:lblOffset val="100"/>
        <c:noMultiLvlLbl val="0"/>
      </c:catAx>
      <c:valAx>
        <c:axId val="194207744"/>
        <c:scaling>
          <c:orientation val="minMax"/>
        </c:scaling>
        <c:delete val="0"/>
        <c:axPos val="l"/>
        <c:majorGridlines/>
        <c:numFmt formatCode="0.00%" sourceLinked="1"/>
        <c:majorTickMark val="none"/>
        <c:minorTickMark val="none"/>
        <c:tickLblPos val="nextTo"/>
        <c:crossAx val="1942059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'BDP I CIJENE'!$BA$98</c:f>
              <c:strCache>
                <c:ptCount val="1"/>
                <c:pt idx="0">
                  <c:v>Kućanstva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CIJENE'!$BB$98:$BJ$98</c:f>
              <c:numCache>
                <c:formatCode>0.00%</c:formatCode>
                <c:ptCount val="9"/>
                <c:pt idx="0">
                  <c:v>0.75246508209490004</c:v>
                </c:pt>
                <c:pt idx="1">
                  <c:v>0.75133385250418405</c:v>
                </c:pt>
                <c:pt idx="2">
                  <c:v>0.74796691040311791</c:v>
                </c:pt>
                <c:pt idx="3">
                  <c:v>0.74922223477200689</c:v>
                </c:pt>
                <c:pt idx="4">
                  <c:v>0.7455127471238977</c:v>
                </c:pt>
                <c:pt idx="5">
                  <c:v>0.72941751945657862</c:v>
                </c:pt>
                <c:pt idx="6">
                  <c:v>0.73242270390920949</c:v>
                </c:pt>
                <c:pt idx="7">
                  <c:v>0.73634016114940293</c:v>
                </c:pt>
                <c:pt idx="8">
                  <c:v>0.73499906536232784</c:v>
                </c:pt>
              </c:numCache>
            </c:numRef>
          </c:val>
          <c:smooth val="0"/>
        </c:ser>
        <c:ser>
          <c:idx val="1"/>
          <c:order val="1"/>
          <c:tx>
            <c:strRef>
              <c:f>'BDP I CIJENE'!$BA$99</c:f>
              <c:strCache>
                <c:ptCount val="1"/>
                <c:pt idx="0">
                  <c:v>NPUSK</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CIJENE'!$BB$99:$BJ$99</c:f>
              <c:numCache>
                <c:formatCode>0.00%</c:formatCode>
                <c:ptCount val="9"/>
                <c:pt idx="0">
                  <c:v>1.1136021901555883E-2</c:v>
                </c:pt>
                <c:pt idx="1">
                  <c:v>9.9935501747748668E-3</c:v>
                </c:pt>
                <c:pt idx="2">
                  <c:v>1.0086489762436921E-2</c:v>
                </c:pt>
                <c:pt idx="3">
                  <c:v>1.1555507897230704E-2</c:v>
                </c:pt>
                <c:pt idx="4">
                  <c:v>1.2032812480371058E-2</c:v>
                </c:pt>
                <c:pt idx="5">
                  <c:v>1.2133687695718785E-2</c:v>
                </c:pt>
                <c:pt idx="6">
                  <c:v>1.2284066080887789E-2</c:v>
                </c:pt>
                <c:pt idx="7">
                  <c:v>1.273662751189205E-2</c:v>
                </c:pt>
                <c:pt idx="8">
                  <c:v>1.279674746090099E-2</c:v>
                </c:pt>
              </c:numCache>
            </c:numRef>
          </c:val>
          <c:smooth val="0"/>
        </c:ser>
        <c:ser>
          <c:idx val="2"/>
          <c:order val="2"/>
          <c:tx>
            <c:strRef>
              <c:f>'BDP I CIJENE'!$BA$100</c:f>
              <c:strCache>
                <c:ptCount val="1"/>
                <c:pt idx="0">
                  <c:v>Potrošnja opće države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CIJENE'!$BB$100:$BJ$100</c:f>
              <c:numCache>
                <c:formatCode>0.00%</c:formatCode>
                <c:ptCount val="9"/>
                <c:pt idx="0">
                  <c:v>0.23639889600355418</c:v>
                </c:pt>
                <c:pt idx="1">
                  <c:v>0.23867259732106522</c:v>
                </c:pt>
                <c:pt idx="2">
                  <c:v>0.2419465998344682</c:v>
                </c:pt>
                <c:pt idx="3">
                  <c:v>0.23922225733076274</c:v>
                </c:pt>
                <c:pt idx="4">
                  <c:v>0.24245443641650011</c:v>
                </c:pt>
                <c:pt idx="5">
                  <c:v>0.25844879284770911</c:v>
                </c:pt>
                <c:pt idx="6">
                  <c:v>0.25529323000990273</c:v>
                </c:pt>
                <c:pt idx="7">
                  <c:v>0.25092321133870532</c:v>
                </c:pt>
                <c:pt idx="8">
                  <c:v>0.25220418717677112</c:v>
                </c:pt>
              </c:numCache>
            </c:numRef>
          </c:val>
          <c:smooth val="0"/>
        </c:ser>
        <c:dLbls>
          <c:showLegendKey val="0"/>
          <c:showVal val="0"/>
          <c:showCatName val="0"/>
          <c:showSerName val="0"/>
          <c:showPercent val="0"/>
          <c:showBubbleSize val="0"/>
        </c:dLbls>
        <c:marker val="1"/>
        <c:smooth val="0"/>
        <c:axId val="194237568"/>
        <c:axId val="194239104"/>
      </c:lineChart>
      <c:catAx>
        <c:axId val="194237568"/>
        <c:scaling>
          <c:orientation val="minMax"/>
        </c:scaling>
        <c:delete val="0"/>
        <c:axPos val="b"/>
        <c:numFmt formatCode="General" sourceLinked="1"/>
        <c:majorTickMark val="none"/>
        <c:minorTickMark val="none"/>
        <c:tickLblPos val="nextTo"/>
        <c:spPr>
          <a:noFill/>
        </c:spPr>
        <c:txPr>
          <a:bodyPr/>
          <a:lstStyle/>
          <a:p>
            <a:pPr>
              <a:defRPr b="1">
                <a:latin typeface="Times New Roman" pitchFamily="18" charset="0"/>
                <a:cs typeface="Times New Roman" pitchFamily="18" charset="0"/>
              </a:defRPr>
            </a:pPr>
            <a:endParaRPr lang="sr-Latn-RS"/>
          </a:p>
        </c:txPr>
        <c:crossAx val="194239104"/>
        <c:crosses val="autoZero"/>
        <c:auto val="1"/>
        <c:lblAlgn val="ctr"/>
        <c:lblOffset val="100"/>
        <c:noMultiLvlLbl val="0"/>
      </c:catAx>
      <c:valAx>
        <c:axId val="194239104"/>
        <c:scaling>
          <c:orientation val="minMax"/>
        </c:scaling>
        <c:delete val="0"/>
        <c:axPos val="l"/>
        <c:majorGridlines/>
        <c:numFmt formatCode="0.00%" sourceLinked="1"/>
        <c:majorTickMark val="none"/>
        <c:minorTickMark val="none"/>
        <c:tickLblPos val="nextTo"/>
        <c:txPr>
          <a:bodyPr/>
          <a:lstStyle/>
          <a:p>
            <a:pPr>
              <a:defRPr b="1">
                <a:latin typeface="Times New Roman" pitchFamily="18" charset="0"/>
                <a:cs typeface="Times New Roman" pitchFamily="18" charset="0"/>
              </a:defRPr>
            </a:pPr>
            <a:endParaRPr lang="sr-Latn-RS"/>
          </a:p>
        </c:txPr>
        <c:crossAx val="194237568"/>
        <c:crosses val="autoZero"/>
        <c:crossBetween val="between"/>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'INDUSTRIJA PREMA NKD-U'!$BP$13:$BP$16</c:f>
              <c:strCache>
                <c:ptCount val="1"/>
                <c:pt idx="0">
                  <c:v>INDEKS POTROŠAČKIH CIJENA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NKD-U'!$BP$20:$BP$24</c:f>
              <c:numCache>
                <c:formatCode>General</c:formatCode>
                <c:ptCount val="5"/>
                <c:pt idx="0">
                  <c:v>100</c:v>
                </c:pt>
                <c:pt idx="1">
                  <c:v>102.4</c:v>
                </c:pt>
                <c:pt idx="2">
                  <c:v>103.5</c:v>
                </c:pt>
                <c:pt idx="3">
                  <c:v>105.8</c:v>
                </c:pt>
                <c:pt idx="4">
                  <c:v>109.39</c:v>
                </c:pt>
              </c:numCache>
            </c:numRef>
          </c:val>
          <c:smooth val="0"/>
        </c:ser>
        <c:ser>
          <c:idx val="1"/>
          <c:order val="1"/>
          <c:tx>
            <c:strRef>
              <c:f>'INDUSTRIJA PREMA NKD-U'!$BR$13:$BR$15</c:f>
              <c:strCache>
                <c:ptCount val="1"/>
                <c:pt idx="0">
                  <c:v>INDEKS NOMINALNIH NETO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NKD-U'!$BR$20:$BR$24</c:f>
              <c:numCache>
                <c:formatCode>#,##0.00</c:formatCode>
                <c:ptCount val="5"/>
                <c:pt idx="0" formatCode="General">
                  <c:v>100</c:v>
                </c:pt>
                <c:pt idx="1">
                  <c:v>102.6</c:v>
                </c:pt>
                <c:pt idx="2">
                  <c:v>103.2</c:v>
                </c:pt>
                <c:pt idx="3">
                  <c:v>105.1</c:v>
                </c:pt>
                <c:pt idx="4">
                  <c:v>105.84</c:v>
                </c:pt>
              </c:numCache>
            </c:numRef>
          </c:val>
          <c:smooth val="0"/>
        </c:ser>
        <c:ser>
          <c:idx val="2"/>
          <c:order val="2"/>
          <c:tx>
            <c:strRef>
              <c:f>'INDUSTRIJA PREMA NKD-U'!$BQ$13:$BQ$15</c:f>
              <c:strCache>
                <c:ptCount val="1"/>
                <c:pt idx="0">
                  <c:v>INDEKS NOMINALNIH BRUTO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NKD-U'!$BQ$20:$BQ$24</c:f>
              <c:numCache>
                <c:formatCode>#,##0.00</c:formatCode>
                <c:ptCount val="5"/>
                <c:pt idx="0" formatCode="General">
                  <c:v>100</c:v>
                </c:pt>
                <c:pt idx="1">
                  <c:v>102.2</c:v>
                </c:pt>
                <c:pt idx="2">
                  <c:v>101.8</c:v>
                </c:pt>
                <c:pt idx="3">
                  <c:v>103.3</c:v>
                </c:pt>
                <c:pt idx="4">
                  <c:v>103.89</c:v>
                </c:pt>
              </c:numCache>
            </c:numRef>
          </c:val>
          <c:smooth val="0"/>
        </c:ser>
        <c:dLbls>
          <c:showLegendKey val="0"/>
          <c:showVal val="0"/>
          <c:showCatName val="0"/>
          <c:showSerName val="0"/>
          <c:showPercent val="0"/>
          <c:showBubbleSize val="0"/>
        </c:dLbls>
        <c:marker val="1"/>
        <c:smooth val="0"/>
        <c:axId val="194801664"/>
        <c:axId val="194803200"/>
      </c:lineChart>
      <c:catAx>
        <c:axId val="194801664"/>
        <c:scaling>
          <c:orientation val="minMax"/>
        </c:scaling>
        <c:delete val="0"/>
        <c:axPos val="b"/>
        <c:numFmt formatCode="General" sourceLinked="1"/>
        <c:majorTickMark val="out"/>
        <c:minorTickMark val="none"/>
        <c:tickLblPos val="nextTo"/>
        <c:crossAx val="194803200"/>
        <c:crosses val="autoZero"/>
        <c:auto val="1"/>
        <c:lblAlgn val="ctr"/>
        <c:lblOffset val="100"/>
        <c:noMultiLvlLbl val="0"/>
      </c:catAx>
      <c:valAx>
        <c:axId val="194803200"/>
        <c:scaling>
          <c:orientation val="minMax"/>
          <c:min val="100"/>
        </c:scaling>
        <c:delete val="0"/>
        <c:axPos val="l"/>
        <c:majorGridlines/>
        <c:numFmt formatCode="General" sourceLinked="1"/>
        <c:majorTickMark val="out"/>
        <c:minorTickMark val="none"/>
        <c:tickLblPos val="nextTo"/>
        <c:crossAx val="194801664"/>
        <c:crosses val="autoZero"/>
        <c:crossBetween val="between"/>
        <c:majorUnit val="1"/>
      </c:valAx>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a:latin typeface="Times New Roman" pitchFamily="18" charset="0"/>
                <a:cs typeface="Times New Roman" pitchFamily="18" charset="0"/>
              </a:rPr>
              <a:t>(2008. = 100)</a:t>
            </a:r>
          </a:p>
        </c:rich>
      </c:tx>
      <c:overlay val="0"/>
    </c:title>
    <c:autoTitleDeleted val="0"/>
    <c:plotArea>
      <c:layout/>
      <c:lineChart>
        <c:grouping val="standard"/>
        <c:varyColors val="0"/>
        <c:ser>
          <c:idx val="0"/>
          <c:order val="0"/>
          <c:tx>
            <c:strRef>
              <c:f>'INDUSTRIJA I CIJENE'!$BK$26</c:f>
              <c:strCache>
                <c:ptCount val="1"/>
                <c:pt idx="0">
                  <c:v>INDEKS PROIZVOĐAČKIH CIJENA INDUSTRIJE (2008 = 100)</c:v>
                </c:pt>
              </c:strCache>
            </c:strRef>
          </c:tx>
          <c:cat>
            <c:numRef>
              <c:f>'INDUSTRIJA I CIJENE'!$BK$20:$BK$24</c:f>
              <c:numCache>
                <c:formatCode>General</c:formatCode>
                <c:ptCount val="5"/>
                <c:pt idx="0">
                  <c:v>2008</c:v>
                </c:pt>
                <c:pt idx="1">
                  <c:v>2009</c:v>
                </c:pt>
                <c:pt idx="2">
                  <c:v>2010</c:v>
                </c:pt>
                <c:pt idx="3">
                  <c:v>2011</c:v>
                </c:pt>
                <c:pt idx="4">
                  <c:v>2012</c:v>
                </c:pt>
              </c:numCache>
            </c:numRef>
          </c:cat>
          <c:val>
            <c:numRef>
              <c:f>'INDUSTRIJA I CIJENE'!$BK$31:$BK$35</c:f>
              <c:numCache>
                <c:formatCode>0.0</c:formatCode>
                <c:ptCount val="5"/>
                <c:pt idx="0">
                  <c:v>100</c:v>
                </c:pt>
                <c:pt idx="1">
                  <c:v>99.6</c:v>
                </c:pt>
                <c:pt idx="2">
                  <c:v>103.88279999999995</c:v>
                </c:pt>
                <c:pt idx="3">
                  <c:v>110.42741639999998</c:v>
                </c:pt>
                <c:pt idx="4">
                  <c:v>118.15733554799813</c:v>
                </c:pt>
              </c:numCache>
            </c:numRef>
          </c:val>
          <c:smooth val="0"/>
        </c:ser>
        <c:dLbls>
          <c:showLegendKey val="0"/>
          <c:showVal val="0"/>
          <c:showCatName val="0"/>
          <c:showSerName val="0"/>
          <c:showPercent val="0"/>
          <c:showBubbleSize val="0"/>
        </c:dLbls>
        <c:marker val="1"/>
        <c:smooth val="0"/>
        <c:axId val="194823296"/>
        <c:axId val="194824832"/>
      </c:lineChart>
      <c:catAx>
        <c:axId val="194823296"/>
        <c:scaling>
          <c:orientation val="minMax"/>
        </c:scaling>
        <c:delete val="0"/>
        <c:axPos val="b"/>
        <c:numFmt formatCode="General" sourceLinked="1"/>
        <c:majorTickMark val="out"/>
        <c:minorTickMark val="none"/>
        <c:tickLblPos val="nextTo"/>
        <c:crossAx val="194824832"/>
        <c:crosses val="autoZero"/>
        <c:auto val="1"/>
        <c:lblAlgn val="ctr"/>
        <c:lblOffset val="100"/>
        <c:noMultiLvlLbl val="0"/>
      </c:catAx>
      <c:valAx>
        <c:axId val="194824832"/>
        <c:scaling>
          <c:orientation val="minMax"/>
          <c:min val="95"/>
        </c:scaling>
        <c:delete val="0"/>
        <c:axPos val="l"/>
        <c:majorGridlines/>
        <c:numFmt formatCode="0.0" sourceLinked="1"/>
        <c:majorTickMark val="out"/>
        <c:minorTickMark val="none"/>
        <c:tickLblPos val="nextTo"/>
        <c:crossAx val="19482329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HRV!$A$45</c:f>
              <c:strCache>
                <c:ptCount val="1"/>
                <c:pt idx="0">
                  <c:v>1. Krediti središnjoj državi i fondovima socijalne sigurnosti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HRV!$B$45:$J$45</c:f>
              <c:numCache>
                <c:formatCode>#,##0.0</c:formatCode>
                <c:ptCount val="9"/>
                <c:pt idx="0">
                  <c:v>62282.767734109984</c:v>
                </c:pt>
                <c:pt idx="1">
                  <c:v>64479.598281009996</c:v>
                </c:pt>
                <c:pt idx="2">
                  <c:v>76965.074599850006</c:v>
                </c:pt>
                <c:pt idx="3">
                  <c:v>103541.07695424999</c:v>
                </c:pt>
                <c:pt idx="4">
                  <c:v>58764.031524979997</c:v>
                </c:pt>
                <c:pt idx="5">
                  <c:v>85414.111578269978</c:v>
                </c:pt>
                <c:pt idx="6">
                  <c:v>60203.338323819997</c:v>
                </c:pt>
                <c:pt idx="7">
                  <c:v>84722.981573999918</c:v>
                </c:pt>
                <c:pt idx="8">
                  <c:v>134344.35378580992</c:v>
                </c:pt>
              </c:numCache>
            </c:numRef>
          </c:val>
          <c:smooth val="0"/>
        </c:ser>
        <c:ser>
          <c:idx val="3"/>
          <c:order val="1"/>
          <c:tx>
            <c:strRef>
              <c:f>HRV!$A$48</c:f>
              <c:strCache>
                <c:ptCount val="1"/>
                <c:pt idx="0">
                  <c:v>2. Krediti lokalnoj državi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HRV!$B$48:$J$48</c:f>
              <c:numCache>
                <c:formatCode>#,##0.0</c:formatCode>
                <c:ptCount val="9"/>
                <c:pt idx="0">
                  <c:v>18642.853656829557</c:v>
                </c:pt>
                <c:pt idx="1">
                  <c:v>19545.162018869996</c:v>
                </c:pt>
                <c:pt idx="2">
                  <c:v>18848.142448630002</c:v>
                </c:pt>
                <c:pt idx="3">
                  <c:v>21581.55200177</c:v>
                </c:pt>
                <c:pt idx="4">
                  <c:v>20980.996085040129</c:v>
                </c:pt>
                <c:pt idx="5">
                  <c:v>19722.947153700523</c:v>
                </c:pt>
                <c:pt idx="6">
                  <c:v>24446.576919100004</c:v>
                </c:pt>
                <c:pt idx="7">
                  <c:v>38306.038854800012</c:v>
                </c:pt>
                <c:pt idx="8">
                  <c:v>38992.192917870001</c:v>
                </c:pt>
              </c:numCache>
            </c:numRef>
          </c:val>
          <c:smooth val="0"/>
        </c:ser>
        <c:ser>
          <c:idx val="0"/>
          <c:order val="2"/>
          <c:tx>
            <c:strRef>
              <c:f>HRV!$A$49</c:f>
              <c:strCache>
                <c:ptCount val="1"/>
                <c:pt idx="0">
                  <c:v>3. Krediti nefinancijskim trgovačkim društvima</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HRV!$B$49:$J$49</c:f>
              <c:numCache>
                <c:formatCode>#,##0.0</c:formatCode>
                <c:ptCount val="9"/>
                <c:pt idx="0">
                  <c:v>485992.70702553989</c:v>
                </c:pt>
                <c:pt idx="1">
                  <c:v>542030.63584208</c:v>
                </c:pt>
                <c:pt idx="2">
                  <c:v>676472.99999071937</c:v>
                </c:pt>
                <c:pt idx="3">
                  <c:v>843331.36727296992</c:v>
                </c:pt>
                <c:pt idx="4">
                  <c:v>987233.79066785006</c:v>
                </c:pt>
                <c:pt idx="5">
                  <c:v>1030257.6210862504</c:v>
                </c:pt>
                <c:pt idx="6">
                  <c:v>1055260.4107405799</c:v>
                </c:pt>
                <c:pt idx="7">
                  <c:v>1084634.5210726501</c:v>
                </c:pt>
                <c:pt idx="8">
                  <c:v>1082931.4288289396</c:v>
                </c:pt>
              </c:numCache>
            </c:numRef>
          </c:val>
          <c:smooth val="0"/>
        </c:ser>
        <c:ser>
          <c:idx val="1"/>
          <c:order val="3"/>
          <c:tx>
            <c:strRef>
              <c:f>HRV!$A$50</c:f>
              <c:strCache>
                <c:ptCount val="1"/>
                <c:pt idx="0">
                  <c:v>4. Krediti stanovništvu</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HRV!$B$50:$J$50</c:f>
              <c:numCache>
                <c:formatCode>#,##0.0</c:formatCode>
                <c:ptCount val="9"/>
                <c:pt idx="0">
                  <c:v>709363.86399638245</c:v>
                </c:pt>
                <c:pt idx="1">
                  <c:v>854704.28763822897</c:v>
                </c:pt>
                <c:pt idx="2">
                  <c:v>1054470.0576742298</c:v>
                </c:pt>
                <c:pt idx="3">
                  <c:v>1281915.8659523802</c:v>
                </c:pt>
                <c:pt idx="4">
                  <c:v>1467411.1438639201</c:v>
                </c:pt>
                <c:pt idx="5">
                  <c:v>1524333.2079120411</c:v>
                </c:pt>
                <c:pt idx="6">
                  <c:v>1521079.50747331</c:v>
                </c:pt>
                <c:pt idx="7">
                  <c:v>1563203.7701367701</c:v>
                </c:pt>
                <c:pt idx="8">
                  <c:v>1564823.0083187302</c:v>
                </c:pt>
              </c:numCache>
            </c:numRef>
          </c:val>
          <c:smooth val="0"/>
        </c:ser>
        <c:dLbls>
          <c:showLegendKey val="0"/>
          <c:showVal val="0"/>
          <c:showCatName val="0"/>
          <c:showSerName val="0"/>
          <c:showPercent val="0"/>
          <c:showBubbleSize val="0"/>
        </c:dLbls>
        <c:marker val="1"/>
        <c:smooth val="0"/>
        <c:axId val="194950272"/>
        <c:axId val="194951808"/>
      </c:lineChart>
      <c:catAx>
        <c:axId val="194950272"/>
        <c:scaling>
          <c:orientation val="minMax"/>
        </c:scaling>
        <c:delete val="0"/>
        <c:axPos val="b"/>
        <c:majorTickMark val="none"/>
        <c:minorTickMark val="none"/>
        <c:tickLblPos val="nextTo"/>
        <c:crossAx val="194951808"/>
        <c:crosses val="autoZero"/>
        <c:auto val="1"/>
        <c:lblAlgn val="ctr"/>
        <c:lblOffset val="100"/>
        <c:noMultiLvlLbl val="0"/>
      </c:catAx>
      <c:valAx>
        <c:axId val="194951808"/>
        <c:scaling>
          <c:orientation val="minMax"/>
        </c:scaling>
        <c:delete val="0"/>
        <c:axPos val="l"/>
        <c:majorGridlines/>
        <c:numFmt formatCode="#,##0.0" sourceLinked="1"/>
        <c:majorTickMark val="none"/>
        <c:minorTickMark val="none"/>
        <c:tickLblPos val="nextTo"/>
        <c:crossAx val="19495027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88023-E195-4CA9-8A3F-33EBB4DBAA01}" type="doc">
      <dgm:prSet loTypeId="urn:microsoft.com/office/officeart/2005/8/layout/hierarchy2" loCatId="hierarchy" qsTypeId="urn:microsoft.com/office/officeart/2005/8/quickstyle/3d5" qsCatId="3D" csTypeId="urn:microsoft.com/office/officeart/2005/8/colors/accent1_2" csCatId="accent1" phldr="1"/>
      <dgm:spPr/>
      <dgm:t>
        <a:bodyPr/>
        <a:lstStyle/>
        <a:p>
          <a:endParaRPr lang="hr-HR"/>
        </a:p>
      </dgm:t>
    </dgm:pt>
    <dgm:pt modelId="{85C4F998-0A9E-479A-BB5D-E29339EFE72F}">
      <dgm:prSet phldrT="[Text]" custT="1"/>
      <dgm:spPr>
        <a:xfrm>
          <a:off x="0" y="1922459"/>
          <a:ext cx="340467" cy="226134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vert="vert270"/>
        <a:lstStyle/>
        <a:p>
          <a:r>
            <a:rPr lang="hr-HR" sz="1100" b="1">
              <a:solidFill>
                <a:sysClr val="window" lastClr="FFFFFF"/>
              </a:solidFill>
              <a:latin typeface="Calibri"/>
              <a:ea typeface="+mn-ea"/>
              <a:cs typeface="+mn-cs"/>
            </a:rPr>
            <a:t>FAZE IZRADE STRATEGIJE</a:t>
          </a:r>
        </a:p>
      </dgm:t>
    </dgm:pt>
    <dgm:pt modelId="{BA3D2103-FC6A-4663-BE78-9893D79A6BA3}" type="parTrans" cxnId="{9168B18B-2C9C-4A6D-AB6A-3B0BEB353EE4}">
      <dgm:prSet/>
      <dgm:spPr/>
      <dgm:t>
        <a:bodyPr/>
        <a:lstStyle/>
        <a:p>
          <a:endParaRPr lang="hr-HR"/>
        </a:p>
      </dgm:t>
    </dgm:pt>
    <dgm:pt modelId="{8CE6007E-2091-4A11-BC19-3C5CDEB01E09}" type="sibTrans" cxnId="{9168B18B-2C9C-4A6D-AB6A-3B0BEB353EE4}">
      <dgm:prSet/>
      <dgm:spPr/>
      <dgm:t>
        <a:bodyPr/>
        <a:lstStyle/>
        <a:p>
          <a:endParaRPr lang="hr-HR"/>
        </a:p>
      </dgm:t>
    </dgm:pt>
    <dgm:pt modelId="{67FB07F8-4CC0-4350-81C8-5A51008745AF}">
      <dgm:prSet phldrT="[Text]" custT="1"/>
      <dgm:spPr>
        <a:xfrm>
          <a:off x="967481"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UVOD</a:t>
          </a:r>
        </a:p>
      </dgm:t>
    </dgm:pt>
    <dgm:pt modelId="{0E64FFF5-3B3B-4AB7-B48D-991EFAAE4135}" type="parTrans" cxnId="{7BACA937-0C6D-4F1A-B4B0-006E0B81C303}">
      <dgm:prSet custT="1"/>
      <dgm:spPr>
        <a:xfrm rot="16972702">
          <a:off x="-752630" y="1673569"/>
          <a:ext cx="281320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9138220-02D8-456B-B6E9-4F57179D0287}" type="sibTrans" cxnId="{7BACA937-0C6D-4F1A-B4B0-006E0B81C303}">
      <dgm:prSet/>
      <dgm:spPr/>
      <dgm:t>
        <a:bodyPr/>
        <a:lstStyle/>
        <a:p>
          <a:endParaRPr lang="hr-HR"/>
        </a:p>
      </dgm:t>
    </dgm:pt>
    <dgm:pt modelId="{4FC09707-0D08-4948-A5F8-45C9A6736791}">
      <dgm:prSet phldrT="[Text]" custT="1"/>
      <dgm:spPr>
        <a:xfrm>
          <a:off x="2682496"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F2897B6B-4103-4D21-A1A9-A8A8619EE1C6}" type="parTrans" cxnId="{D6F4BC6D-A204-477A-8534-991B73A7B16F}">
      <dgm:prSet custT="1"/>
      <dgm:spPr>
        <a:xfrm>
          <a:off x="2192491" y="302347"/>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8CCE2E4-EC40-448E-B2BA-1CA23BFF5102}" type="sibTrans" cxnId="{D6F4BC6D-A204-477A-8534-991B73A7B16F}">
      <dgm:prSet/>
      <dgm:spPr/>
      <dgm:t>
        <a:bodyPr/>
        <a:lstStyle/>
        <a:p>
          <a:endParaRPr lang="hr-HR"/>
        </a:p>
      </dgm:t>
    </dgm:pt>
    <dgm:pt modelId="{8FFD71D4-5610-4787-810B-3927CE2B465F}">
      <dgm:prSet phldrT="[Text]" custT="1"/>
      <dgm:spPr>
        <a:xfrm>
          <a:off x="96748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STRATEŠKA ANALIZA INDUSTRIJSKIH DJELATNOSTI</a:t>
          </a:r>
        </a:p>
      </dgm:t>
    </dgm:pt>
    <dgm:pt modelId="{3DCB375A-87B5-433F-84E1-6546C8918353}" type="parTrans" cxnId="{7D2968F9-714F-4E77-8BAA-AB0410C23173}">
      <dgm:prSet custT="1"/>
      <dgm:spPr>
        <a:xfrm rot="18893743">
          <a:off x="209799" y="2730141"/>
          <a:ext cx="88834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4FDE9B9-178C-49B0-B90C-83030C1228E1}" type="sibTrans" cxnId="{7D2968F9-714F-4E77-8BAA-AB0410C23173}">
      <dgm:prSet/>
      <dgm:spPr/>
      <dgm:t>
        <a:bodyPr/>
        <a:lstStyle/>
        <a:p>
          <a:endParaRPr lang="hr-HR"/>
        </a:p>
      </dgm:t>
    </dgm:pt>
    <dgm:pt modelId="{FF11FF6C-DC54-4DB7-A9F6-310B968A3807}">
      <dgm:prSet phldrT="[Text]" custT="1"/>
      <dgm:spPr>
        <a:xfrm>
          <a:off x="2682496"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Kvalitativna analiza</a:t>
          </a:r>
        </a:p>
      </dgm:t>
    </dgm:pt>
    <dgm:pt modelId="{A92E9F93-76E8-4F8E-9637-5A17256F6449}" type="parTrans" cxnId="{AE403B37-9E8A-495E-AC60-CAE0C35FB074}">
      <dgm:prSet custT="1"/>
      <dgm:spPr>
        <a:xfrm rot="18289469">
          <a:off x="2008466"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D7FF5A3-19FD-4679-922E-BD3490D3C94F}" type="sibTrans" cxnId="{AE403B37-9E8A-495E-AC60-CAE0C35FB074}">
      <dgm:prSet/>
      <dgm:spPr/>
      <dgm:t>
        <a:bodyPr/>
        <a:lstStyle/>
        <a:p>
          <a:endParaRPr lang="hr-HR"/>
        </a:p>
      </dgm:t>
    </dgm:pt>
    <dgm:pt modelId="{E6CB07F1-82A3-4E5E-98C7-BDB05E59D1B3}">
      <dgm:prSet custT="1"/>
      <dgm:spPr>
        <a:xfrm>
          <a:off x="967481"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UTVRĐIVANJE KLJUČNIH PODDJELATNOSTI</a:t>
          </a:r>
        </a:p>
      </dgm:t>
    </dgm:pt>
    <dgm:pt modelId="{22676B6B-82AE-4F6C-820A-403658440B78}" type="parTrans" cxnId="{1A198444-C85A-41B6-B6E5-EDBA28F3DF6E}">
      <dgm:prSet custT="1"/>
      <dgm:spPr>
        <a:xfrm rot="3660631">
          <a:off x="7100" y="3610617"/>
          <a:ext cx="1293748"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FDA157F8-C5D7-46B5-A7CA-F9F3A920DFCA}" type="sibTrans" cxnId="{1A198444-C85A-41B6-B6E5-EDBA28F3DF6E}">
      <dgm:prSet/>
      <dgm:spPr/>
      <dgm:t>
        <a:bodyPr/>
        <a:lstStyle/>
        <a:p>
          <a:endParaRPr lang="hr-HR"/>
        </a:p>
      </dgm:t>
    </dgm:pt>
    <dgm:pt modelId="{3A30BE26-9E78-4F39-87FB-2D544BF8D3A4}">
      <dgm:prSet custT="1"/>
      <dgm:spPr>
        <a:xfrm>
          <a:off x="967481"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STRATEGIJA RAZVOJA HRVATSKE INDUSTRIJE DO 2020.</a:t>
          </a:r>
        </a:p>
      </dgm:t>
    </dgm:pt>
    <dgm:pt modelId="{2E7F5A1F-59BF-487C-B865-9EA478D0F0F0}" type="parTrans" cxnId="{930DCE01-CEAB-4153-8424-5DA52792D9F6}">
      <dgm:prSet custT="1"/>
      <dgm:spPr>
        <a:xfrm rot="4268684">
          <a:off x="-316098" y="3962808"/>
          <a:ext cx="1940146"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4C0984AD-37DF-480C-AAB8-AD39F591A90D}" type="sibTrans" cxnId="{930DCE01-CEAB-4153-8424-5DA52792D9F6}">
      <dgm:prSet/>
      <dgm:spPr/>
      <dgm:t>
        <a:bodyPr/>
        <a:lstStyle/>
        <a:p>
          <a:endParaRPr lang="hr-HR"/>
        </a:p>
      </dgm:t>
    </dgm:pt>
    <dgm:pt modelId="{52F47ACE-1294-4B3B-9E3E-F7F8F4566669}">
      <dgm:prSet custT="1"/>
      <dgm:spPr>
        <a:xfrm>
          <a:off x="967481" y="563948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MODEL IMPLEMENTACIJE</a:t>
          </a:r>
        </a:p>
      </dgm:t>
    </dgm:pt>
    <dgm:pt modelId="{8BECFF2D-CCF2-475B-8A2F-17C3ECE0F698}" type="parTrans" cxnId="{A5DB0ADB-4581-43EE-A83D-A0CC359D712A}">
      <dgm:prSet custT="1"/>
      <dgm:spPr>
        <a:xfrm rot="4666172">
          <a:off x="-825917" y="4491094"/>
          <a:ext cx="2959783"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2A2C3B-EB67-49F6-B9D1-1E2C6F987C63}" type="sibTrans" cxnId="{A5DB0ADB-4581-43EE-A83D-A0CC359D712A}">
      <dgm:prSet/>
      <dgm:spPr/>
      <dgm:t>
        <a:bodyPr/>
        <a:lstStyle/>
        <a:p>
          <a:endParaRPr lang="hr-HR"/>
        </a:p>
      </dgm:t>
    </dgm:pt>
    <dgm:pt modelId="{AAF1132C-8255-4168-AAA7-E08BA67115DB}">
      <dgm:prSet custT="1"/>
      <dgm:spPr>
        <a:xfrm>
          <a:off x="2682496"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Kvantitativna analiza</a:t>
          </a:r>
        </a:p>
      </dgm:t>
    </dgm:pt>
    <dgm:pt modelId="{2982085B-857A-407F-9A32-1D8613ECBECB}" type="parTrans" cxnId="{892A1EEF-FC9C-4B4C-8A09-79971A7B4C4D}">
      <dgm:prSet custT="1"/>
      <dgm:spPr>
        <a:xfrm rot="3310531">
          <a:off x="2008466" y="2767681"/>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11DC5D43-A398-443E-8EEB-4C19B6D6EF3C}" type="sibTrans" cxnId="{892A1EEF-FC9C-4B4C-8A09-79971A7B4C4D}">
      <dgm:prSet/>
      <dgm:spPr/>
      <dgm:t>
        <a:bodyPr/>
        <a:lstStyle/>
        <a:p>
          <a:endParaRPr lang="hr-HR"/>
        </a:p>
      </dgm:t>
    </dgm:pt>
    <dgm:pt modelId="{C4DD29DD-9A3D-4D54-ADAF-125D96BC1E7F}">
      <dgm:prSet custT="1"/>
      <dgm:spPr>
        <a:xfrm>
          <a:off x="2682496"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Izrada modela vrednovanja</a:t>
          </a:r>
        </a:p>
      </dgm:t>
    </dgm:pt>
    <dgm:pt modelId="{1C379EF7-DE00-45AD-BD05-89DC562F26C0}" type="parTrans" cxnId="{A2B94DAD-DC19-4FB3-9C88-0078C3669001}">
      <dgm:prSet custT="1"/>
      <dgm:spPr>
        <a:xfrm>
          <a:off x="2192491" y="4176444"/>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FF6046E-B979-4D75-A82B-671F513102D1}" type="sibTrans" cxnId="{A2B94DAD-DC19-4FB3-9C88-0078C3669001}">
      <dgm:prSet/>
      <dgm:spPr/>
      <dgm:t>
        <a:bodyPr/>
        <a:lstStyle/>
        <a:p>
          <a:endParaRPr lang="hr-HR"/>
        </a:p>
      </dgm:t>
    </dgm:pt>
    <dgm:pt modelId="{ACD80297-B41A-4B5D-9D8A-A69AC2F9CDFF}">
      <dgm:prSet custT="1"/>
      <dgm:spPr>
        <a:xfrm>
          <a:off x="2682496"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Odrednice industrijskog rasta; strateški ciljevi; prioritetna područja; mjere realizacije ciljeva</a:t>
          </a:r>
        </a:p>
      </dgm:t>
    </dgm:pt>
    <dgm:pt modelId="{24E6DD3E-140F-4371-8311-F5D8941196A0}" type="parTrans" cxnId="{90B7BCFF-8EF6-4DAD-88A5-4CE3C0AD2F83}">
      <dgm:prSet custT="1"/>
      <dgm:spPr>
        <a:xfrm>
          <a:off x="2192491" y="4880825"/>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FEDA8BF-3C88-430E-83EB-58BC46330D83}" type="sibTrans" cxnId="{90B7BCFF-8EF6-4DAD-88A5-4CE3C0AD2F83}">
      <dgm:prSet/>
      <dgm:spPr/>
      <dgm:t>
        <a:bodyPr/>
        <a:lstStyle/>
        <a:p>
          <a:endParaRPr lang="hr-HR"/>
        </a:p>
      </dgm:t>
    </dgm:pt>
    <dgm:pt modelId="{550CD72D-CE3A-400A-85DF-3AF87A183AFB}">
      <dgm:prSet custT="1"/>
      <dgm:spPr>
        <a:xfrm>
          <a:off x="2682496" y="528729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Definiranje pretpostavki za uspješnu implementaciju</a:t>
          </a:r>
        </a:p>
      </dgm:t>
    </dgm:pt>
    <dgm:pt modelId="{574BEE98-FE62-44A0-9620-4F3E9A17AABC}" type="parTrans" cxnId="{381C70CE-F119-45B1-A94A-9AD077716B36}">
      <dgm:prSet custT="1"/>
      <dgm:spPr>
        <a:xfrm rot="19457599">
          <a:off x="2135773" y="576130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95AF022D-8EF7-4D57-8F06-DB019F18C0D5}" type="sibTrans" cxnId="{381C70CE-F119-45B1-A94A-9AD077716B36}">
      <dgm:prSet/>
      <dgm:spPr/>
      <dgm:t>
        <a:bodyPr/>
        <a:lstStyle/>
        <a:p>
          <a:endParaRPr lang="hr-HR"/>
        </a:p>
      </dgm:t>
    </dgm:pt>
    <dgm:pt modelId="{C9973C09-B367-4445-A10F-1F9FBA689306}">
      <dgm:prSet custT="1"/>
      <dgm:spPr>
        <a:xfrm>
          <a:off x="2682496" y="599167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Metodologija vrednovanja uspješnosti implementacije </a:t>
          </a:r>
        </a:p>
      </dgm:t>
    </dgm:pt>
    <dgm:pt modelId="{BB046D69-9FDA-492E-8E7E-315888947E3D}" type="parTrans" cxnId="{2DB799A0-7992-4D4C-8B79-3896D04D5A5D}">
      <dgm:prSet custT="1"/>
      <dgm:spPr>
        <a:xfrm rot="2142401">
          <a:off x="2135773" y="611349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09A9A5-A085-45F0-8A7D-D4BE753B57B4}" type="sibTrans" cxnId="{2DB799A0-7992-4D4C-8B79-3896D04D5A5D}">
      <dgm:prSet/>
      <dgm:spPr/>
      <dgm:t>
        <a:bodyPr/>
        <a:lstStyle/>
        <a:p>
          <a:endParaRPr lang="hr-HR"/>
        </a:p>
      </dgm:t>
    </dgm:pt>
    <dgm:pt modelId="{7042F62E-6F07-4495-9DC6-B28B0330ED44}">
      <dgm:prSet custT="1"/>
      <dgm:spPr>
        <a:xfrm>
          <a:off x="4397511" y="708817"/>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Anketno istraživanje </a:t>
          </a:r>
        </a:p>
      </dgm:t>
    </dgm:pt>
    <dgm:pt modelId="{481ED3B2-77C3-41F3-A768-70A2306AAB95}" type="parTrans" cxnId="{DE259144-BB43-4817-9755-5D75D096E6AF}">
      <dgm:prSet custT="1"/>
      <dgm:spPr>
        <a:xfrm rot="18289469">
          <a:off x="3723482" y="1358918"/>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244928C-574F-43D9-8232-EF95CC5AA741}" type="sibTrans" cxnId="{DE259144-BB43-4817-9755-5D75D096E6AF}">
      <dgm:prSet/>
      <dgm:spPr/>
      <dgm:t>
        <a:bodyPr/>
        <a:lstStyle/>
        <a:p>
          <a:endParaRPr lang="hr-HR"/>
        </a:p>
      </dgm:t>
    </dgm:pt>
    <dgm:pt modelId="{9E846F2D-C706-4DB9-B3D3-D3F92295F106}">
      <dgm:prSet custT="1"/>
      <dgm:spPr>
        <a:xfrm>
          <a:off x="4397511"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Dubinski intervjui</a:t>
          </a:r>
        </a:p>
      </dgm:t>
    </dgm:pt>
    <dgm:pt modelId="{B0DDA855-349A-4582-9ADA-CE212B2AA1F6}" type="parTrans" cxnId="{0663861D-D1FC-4AAA-ACE5-A336BD0107C4}">
      <dgm:prSet custT="1"/>
      <dgm:spPr>
        <a:xfrm>
          <a:off x="3907507" y="1711109"/>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5E988D6B-44D2-4D96-80B7-8F5B505833DB}" type="sibTrans" cxnId="{0663861D-D1FC-4AAA-ACE5-A336BD0107C4}">
      <dgm:prSet/>
      <dgm:spPr/>
      <dgm:t>
        <a:bodyPr/>
        <a:lstStyle/>
        <a:p>
          <a:endParaRPr lang="hr-HR"/>
        </a:p>
      </dgm:t>
    </dgm:pt>
    <dgm:pt modelId="{A53DDA78-A4CA-42A6-88F0-B2EE63D5BBC3}">
      <dgm:prSet custT="1"/>
      <dgm:spPr>
        <a:xfrm>
          <a:off x="439751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Radionice </a:t>
          </a:r>
        </a:p>
      </dgm:t>
    </dgm:pt>
    <dgm:pt modelId="{64F76D5A-A41E-41FE-B05D-3D827631A0F2}" type="parTrans" cxnId="{562EA8FE-A142-4B44-8C0B-FC2EEEDF3653}">
      <dgm:prSet custT="1"/>
      <dgm:spPr>
        <a:xfrm rot="3310531">
          <a:off x="3723482"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39737B5-A5F4-4024-BA5E-9DB4AE519BD2}" type="sibTrans" cxnId="{562EA8FE-A142-4B44-8C0B-FC2EEEDF3653}">
      <dgm:prSet/>
      <dgm:spPr/>
      <dgm:t>
        <a:bodyPr/>
        <a:lstStyle/>
        <a:p>
          <a:endParaRPr lang="hr-HR"/>
        </a:p>
      </dgm:t>
    </dgm:pt>
    <dgm:pt modelId="{D95506E0-434A-4681-95AD-6BB444C66BA6}">
      <dgm:prSet custT="1"/>
      <dgm:spPr>
        <a:xfrm>
          <a:off x="4397511"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E0825042-5088-4DC5-89E9-FD7159A698FA}" type="parTrans" cxnId="{64E223CF-386C-469D-98A1-F22D68E4C0A0}">
      <dgm:prSet custT="1"/>
      <dgm:spPr>
        <a:xfrm>
          <a:off x="3907507" y="3119872"/>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806AC0EC-54E9-43CC-B3D1-A9C6C2E78730}" type="sibTrans" cxnId="{64E223CF-386C-469D-98A1-F22D68E4C0A0}">
      <dgm:prSet/>
      <dgm:spPr/>
      <dgm:t>
        <a:bodyPr/>
        <a:lstStyle/>
        <a:p>
          <a:endParaRPr lang="hr-HR"/>
        </a:p>
      </dgm:t>
    </dgm:pt>
    <dgm:pt modelId="{471A05EB-2ADA-41DD-9A30-AA5394F83258}">
      <dgm:prSet custT="1"/>
      <dgm:spPr>
        <a:xfrm>
          <a:off x="4397511" y="352634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Izračun kvantitativnih pokazatelja </a:t>
          </a:r>
        </a:p>
      </dgm:t>
    </dgm:pt>
    <dgm:pt modelId="{EECD7A6E-DCDE-49D2-AF39-E47816458F77}" type="parTrans" cxnId="{845F5398-0D12-4A38-840A-80A908216B63}">
      <dgm:prSet custT="1"/>
      <dgm:spPr>
        <a:xfrm rot="19457599">
          <a:off x="3850788" y="4000348"/>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0D2F729-590B-4868-8E36-3B8FE9492D3E}" type="sibTrans" cxnId="{845F5398-0D12-4A38-840A-80A908216B63}">
      <dgm:prSet/>
      <dgm:spPr/>
      <dgm:t>
        <a:bodyPr/>
        <a:lstStyle/>
        <a:p>
          <a:endParaRPr lang="hr-HR"/>
        </a:p>
      </dgm:t>
    </dgm:pt>
    <dgm:pt modelId="{128218E5-56EA-4817-9795-F4E5466A0E89}">
      <dgm:prSet custT="1"/>
      <dgm:spPr>
        <a:xfrm>
          <a:off x="4397511" y="4230723"/>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Rangiranje i razvrstavanje poddjelatnosti u skupine </a:t>
          </a:r>
        </a:p>
      </dgm:t>
    </dgm:pt>
    <dgm:pt modelId="{62499365-830A-4E9B-8BA9-9BE729B000C9}" type="parTrans" cxnId="{4A8A1478-AA61-4DF2-87E0-4CCACC3DA2CA}">
      <dgm:prSet custT="1"/>
      <dgm:spPr>
        <a:xfrm rot="2142401">
          <a:off x="3850788" y="4352539"/>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9C7E320-A910-4BA7-912C-290A3B2EE94E}" type="sibTrans" cxnId="{4A8A1478-AA61-4DF2-87E0-4CCACC3DA2CA}">
      <dgm:prSet/>
      <dgm:spPr/>
      <dgm:t>
        <a:bodyPr/>
        <a:lstStyle/>
        <a:p>
          <a:endParaRPr lang="hr-HR"/>
        </a:p>
      </dgm:t>
    </dgm:pt>
    <dgm:pt modelId="{A8927322-660E-447D-818A-4B7C1FFF229B}" type="pres">
      <dgm:prSet presAssocID="{44188023-E195-4CA9-8A3F-33EBB4DBAA01}" presName="diagram" presStyleCnt="0">
        <dgm:presLayoutVars>
          <dgm:chPref val="1"/>
          <dgm:dir/>
          <dgm:animOne val="branch"/>
          <dgm:animLvl val="lvl"/>
          <dgm:resizeHandles val="exact"/>
        </dgm:presLayoutVars>
      </dgm:prSet>
      <dgm:spPr/>
      <dgm:t>
        <a:bodyPr/>
        <a:lstStyle/>
        <a:p>
          <a:endParaRPr lang="hr-HR"/>
        </a:p>
      </dgm:t>
    </dgm:pt>
    <dgm:pt modelId="{1106D936-2CE7-4407-B143-667D19C03C21}" type="pres">
      <dgm:prSet presAssocID="{85C4F998-0A9E-479A-BB5D-E29339EFE72F}" presName="root1" presStyleCnt="0"/>
      <dgm:spPr/>
    </dgm:pt>
    <dgm:pt modelId="{F5A32BB2-0B87-4433-B363-A3DE68A0D9A0}" type="pres">
      <dgm:prSet presAssocID="{85C4F998-0A9E-479A-BB5D-E29339EFE72F}" presName="LevelOneTextNode" presStyleLbl="node0" presStyleIdx="0" presStyleCnt="1" custScaleX="27793" custScaleY="369196" custLinFactNeighborX="-52167" custLinFactNeighborY="-12258">
        <dgm:presLayoutVars>
          <dgm:chPref val="3"/>
        </dgm:presLayoutVars>
      </dgm:prSet>
      <dgm:spPr>
        <a:prstGeom prst="roundRect">
          <a:avLst>
            <a:gd name="adj" fmla="val 10000"/>
          </a:avLst>
        </a:prstGeom>
      </dgm:spPr>
      <dgm:t>
        <a:bodyPr/>
        <a:lstStyle/>
        <a:p>
          <a:endParaRPr lang="hr-HR"/>
        </a:p>
      </dgm:t>
    </dgm:pt>
    <dgm:pt modelId="{1E12197F-4692-4F7D-9E77-265CA3E7A2F1}" type="pres">
      <dgm:prSet presAssocID="{85C4F998-0A9E-479A-BB5D-E29339EFE72F}" presName="level2hierChild" presStyleCnt="0"/>
      <dgm:spPr/>
    </dgm:pt>
    <dgm:pt modelId="{6CC47B52-E5A5-4AF4-997E-C8D29BBA853E}" type="pres">
      <dgm:prSet presAssocID="{0E64FFF5-3B3B-4AB7-B48D-991EFAAE4135}" presName="conn2-1" presStyleLbl="parChTrans1D2" presStyleIdx="0" presStyleCnt="5"/>
      <dgm:spPr>
        <a:custGeom>
          <a:avLst/>
          <a:gdLst/>
          <a:ahLst/>
          <a:cxnLst/>
          <a:rect l="0" t="0" r="0" b="0"/>
          <a:pathLst>
            <a:path>
              <a:moveTo>
                <a:pt x="0" y="8341"/>
              </a:moveTo>
              <a:lnTo>
                <a:pt x="2813209" y="8341"/>
              </a:lnTo>
            </a:path>
          </a:pathLst>
        </a:custGeom>
      </dgm:spPr>
      <dgm:t>
        <a:bodyPr/>
        <a:lstStyle/>
        <a:p>
          <a:endParaRPr lang="hr-HR"/>
        </a:p>
      </dgm:t>
    </dgm:pt>
    <dgm:pt modelId="{C6B2986F-726A-49D4-B25C-699C527B9B87}" type="pres">
      <dgm:prSet presAssocID="{0E64FFF5-3B3B-4AB7-B48D-991EFAAE4135}" presName="connTx" presStyleLbl="parChTrans1D2" presStyleIdx="0" presStyleCnt="5"/>
      <dgm:spPr/>
      <dgm:t>
        <a:bodyPr/>
        <a:lstStyle/>
        <a:p>
          <a:endParaRPr lang="hr-HR"/>
        </a:p>
      </dgm:t>
    </dgm:pt>
    <dgm:pt modelId="{C06254C9-840F-407A-8AB1-0A7ADE58BA12}" type="pres">
      <dgm:prSet presAssocID="{67FB07F8-4CC0-4350-81C8-5A51008745AF}" presName="root2" presStyleCnt="0"/>
      <dgm:spPr/>
    </dgm:pt>
    <dgm:pt modelId="{66105139-1556-4C9E-9C7A-2FA358840B22}" type="pres">
      <dgm:prSet presAssocID="{67FB07F8-4CC0-4350-81C8-5A51008745AF}" presName="LevelTwoTextNode" presStyleLbl="node2" presStyleIdx="0" presStyleCnt="5">
        <dgm:presLayoutVars>
          <dgm:chPref val="3"/>
        </dgm:presLayoutVars>
      </dgm:prSet>
      <dgm:spPr>
        <a:prstGeom prst="roundRect">
          <a:avLst>
            <a:gd name="adj" fmla="val 10000"/>
          </a:avLst>
        </a:prstGeom>
      </dgm:spPr>
      <dgm:t>
        <a:bodyPr/>
        <a:lstStyle/>
        <a:p>
          <a:endParaRPr lang="hr-HR"/>
        </a:p>
      </dgm:t>
    </dgm:pt>
    <dgm:pt modelId="{988C840A-16BA-4D26-9D67-5CAFD97ECC9C}" type="pres">
      <dgm:prSet presAssocID="{67FB07F8-4CC0-4350-81C8-5A51008745AF}" presName="level3hierChild" presStyleCnt="0"/>
      <dgm:spPr/>
    </dgm:pt>
    <dgm:pt modelId="{EE623411-9377-4F37-A783-3C02DA7BBC68}" type="pres">
      <dgm:prSet presAssocID="{F2897B6B-4103-4D21-A1A9-A8A8619EE1C6}" presName="conn2-1" presStyleLbl="parChTrans1D3" presStyleIdx="0" presStyleCnt="7"/>
      <dgm:spPr>
        <a:custGeom>
          <a:avLst/>
          <a:gdLst/>
          <a:ahLst/>
          <a:cxnLst/>
          <a:rect l="0" t="0" r="0" b="0"/>
          <a:pathLst>
            <a:path>
              <a:moveTo>
                <a:pt x="0" y="8341"/>
              </a:moveTo>
              <a:lnTo>
                <a:pt x="490004" y="8341"/>
              </a:lnTo>
            </a:path>
          </a:pathLst>
        </a:custGeom>
      </dgm:spPr>
      <dgm:t>
        <a:bodyPr/>
        <a:lstStyle/>
        <a:p>
          <a:endParaRPr lang="hr-HR"/>
        </a:p>
      </dgm:t>
    </dgm:pt>
    <dgm:pt modelId="{50AA2475-4900-4C52-A3F8-743D1D482646}" type="pres">
      <dgm:prSet presAssocID="{F2897B6B-4103-4D21-A1A9-A8A8619EE1C6}" presName="connTx" presStyleLbl="parChTrans1D3" presStyleIdx="0" presStyleCnt="7"/>
      <dgm:spPr/>
      <dgm:t>
        <a:bodyPr/>
        <a:lstStyle/>
        <a:p>
          <a:endParaRPr lang="hr-HR"/>
        </a:p>
      </dgm:t>
    </dgm:pt>
    <dgm:pt modelId="{162B55AC-D954-4B35-9FEE-348D1750C268}" type="pres">
      <dgm:prSet presAssocID="{4FC09707-0D08-4948-A5F8-45C9A6736791}" presName="root2" presStyleCnt="0"/>
      <dgm:spPr/>
    </dgm:pt>
    <dgm:pt modelId="{DDE7013C-38C9-4DDA-85AD-F2D40A3833D4}" type="pres">
      <dgm:prSet presAssocID="{4FC09707-0D08-4948-A5F8-45C9A6736791}" presName="LevelTwoTextNode" presStyleLbl="node3" presStyleIdx="0" presStyleCnt="7">
        <dgm:presLayoutVars>
          <dgm:chPref val="3"/>
        </dgm:presLayoutVars>
      </dgm:prSet>
      <dgm:spPr>
        <a:prstGeom prst="roundRect">
          <a:avLst>
            <a:gd name="adj" fmla="val 10000"/>
          </a:avLst>
        </a:prstGeom>
      </dgm:spPr>
      <dgm:t>
        <a:bodyPr/>
        <a:lstStyle/>
        <a:p>
          <a:endParaRPr lang="hr-HR"/>
        </a:p>
      </dgm:t>
    </dgm:pt>
    <dgm:pt modelId="{8A5D9907-8C8E-4D29-A4FB-B2AA588C3532}" type="pres">
      <dgm:prSet presAssocID="{4FC09707-0D08-4948-A5F8-45C9A6736791}" presName="level3hierChild" presStyleCnt="0"/>
      <dgm:spPr/>
    </dgm:pt>
    <dgm:pt modelId="{5261646A-D605-485E-AD64-96612127880E}" type="pres">
      <dgm:prSet presAssocID="{3DCB375A-87B5-433F-84E1-6546C8918353}" presName="conn2-1" presStyleLbl="parChTrans1D2" presStyleIdx="1" presStyleCnt="5"/>
      <dgm:spPr>
        <a:custGeom>
          <a:avLst/>
          <a:gdLst/>
          <a:ahLst/>
          <a:cxnLst/>
          <a:rect l="0" t="0" r="0" b="0"/>
          <a:pathLst>
            <a:path>
              <a:moveTo>
                <a:pt x="0" y="8341"/>
              </a:moveTo>
              <a:lnTo>
                <a:pt x="888349" y="8341"/>
              </a:lnTo>
            </a:path>
          </a:pathLst>
        </a:custGeom>
      </dgm:spPr>
      <dgm:t>
        <a:bodyPr/>
        <a:lstStyle/>
        <a:p>
          <a:endParaRPr lang="hr-HR"/>
        </a:p>
      </dgm:t>
    </dgm:pt>
    <dgm:pt modelId="{A255698C-DE13-4E9E-A328-061EE2E9A3EC}" type="pres">
      <dgm:prSet presAssocID="{3DCB375A-87B5-433F-84E1-6546C8918353}" presName="connTx" presStyleLbl="parChTrans1D2" presStyleIdx="1" presStyleCnt="5"/>
      <dgm:spPr/>
      <dgm:t>
        <a:bodyPr/>
        <a:lstStyle/>
        <a:p>
          <a:endParaRPr lang="hr-HR"/>
        </a:p>
      </dgm:t>
    </dgm:pt>
    <dgm:pt modelId="{D136BA28-FF69-4369-B8AB-945F38EAC5B7}" type="pres">
      <dgm:prSet presAssocID="{8FFD71D4-5610-4787-810B-3927CE2B465F}" presName="root2" presStyleCnt="0"/>
      <dgm:spPr/>
    </dgm:pt>
    <dgm:pt modelId="{BA5C5691-108F-4F8E-AD19-7C96A90DB79D}" type="pres">
      <dgm:prSet presAssocID="{8FFD71D4-5610-4787-810B-3927CE2B465F}" presName="LevelTwoTextNode" presStyleLbl="node2" presStyleIdx="1" presStyleCnt="5">
        <dgm:presLayoutVars>
          <dgm:chPref val="3"/>
        </dgm:presLayoutVars>
      </dgm:prSet>
      <dgm:spPr>
        <a:prstGeom prst="roundRect">
          <a:avLst>
            <a:gd name="adj" fmla="val 10000"/>
          </a:avLst>
        </a:prstGeom>
      </dgm:spPr>
      <dgm:t>
        <a:bodyPr/>
        <a:lstStyle/>
        <a:p>
          <a:endParaRPr lang="hr-HR"/>
        </a:p>
      </dgm:t>
    </dgm:pt>
    <dgm:pt modelId="{B88D5A0A-E191-4B12-8577-10D5C5DECE7D}" type="pres">
      <dgm:prSet presAssocID="{8FFD71D4-5610-4787-810B-3927CE2B465F}" presName="level3hierChild" presStyleCnt="0"/>
      <dgm:spPr/>
    </dgm:pt>
    <dgm:pt modelId="{A1BD3E9B-EBEB-4F20-AAC8-D4448899D10E}" type="pres">
      <dgm:prSet presAssocID="{A92E9F93-76E8-4F8E-9637-5A17256F6449}" presName="conn2-1" presStyleLbl="parChTrans1D3" presStyleIdx="1" presStyleCnt="7"/>
      <dgm:spPr>
        <a:custGeom>
          <a:avLst/>
          <a:gdLst/>
          <a:ahLst/>
          <a:cxnLst/>
          <a:rect l="0" t="0" r="0" b="0"/>
          <a:pathLst>
            <a:path>
              <a:moveTo>
                <a:pt x="0" y="8341"/>
              </a:moveTo>
              <a:lnTo>
                <a:pt x="858054" y="8341"/>
              </a:lnTo>
            </a:path>
          </a:pathLst>
        </a:custGeom>
      </dgm:spPr>
      <dgm:t>
        <a:bodyPr/>
        <a:lstStyle/>
        <a:p>
          <a:endParaRPr lang="hr-HR"/>
        </a:p>
      </dgm:t>
    </dgm:pt>
    <dgm:pt modelId="{0C051551-9339-4D3F-A57D-4BEF6183BCB0}" type="pres">
      <dgm:prSet presAssocID="{A92E9F93-76E8-4F8E-9637-5A17256F6449}" presName="connTx" presStyleLbl="parChTrans1D3" presStyleIdx="1" presStyleCnt="7"/>
      <dgm:spPr/>
      <dgm:t>
        <a:bodyPr/>
        <a:lstStyle/>
        <a:p>
          <a:endParaRPr lang="hr-HR"/>
        </a:p>
      </dgm:t>
    </dgm:pt>
    <dgm:pt modelId="{8B977048-0353-4933-9101-AA90B3AABBD8}" type="pres">
      <dgm:prSet presAssocID="{FF11FF6C-DC54-4DB7-A9F6-310B968A3807}" presName="root2" presStyleCnt="0"/>
      <dgm:spPr/>
    </dgm:pt>
    <dgm:pt modelId="{B499CFBC-B7A6-4261-B0D1-9DEE3AB761D8}" type="pres">
      <dgm:prSet presAssocID="{FF11FF6C-DC54-4DB7-A9F6-310B968A3807}" presName="LevelTwoTextNode" presStyleLbl="node3" presStyleIdx="1" presStyleCnt="7">
        <dgm:presLayoutVars>
          <dgm:chPref val="3"/>
        </dgm:presLayoutVars>
      </dgm:prSet>
      <dgm:spPr>
        <a:prstGeom prst="roundRect">
          <a:avLst>
            <a:gd name="adj" fmla="val 10000"/>
          </a:avLst>
        </a:prstGeom>
      </dgm:spPr>
      <dgm:t>
        <a:bodyPr/>
        <a:lstStyle/>
        <a:p>
          <a:endParaRPr lang="hr-HR"/>
        </a:p>
      </dgm:t>
    </dgm:pt>
    <dgm:pt modelId="{82CA5FC4-331F-4506-90DE-7212C8B7C048}" type="pres">
      <dgm:prSet presAssocID="{FF11FF6C-DC54-4DB7-A9F6-310B968A3807}" presName="level3hierChild" presStyleCnt="0"/>
      <dgm:spPr/>
    </dgm:pt>
    <dgm:pt modelId="{E9A643BC-3950-402D-A1DB-9D0390F62A69}" type="pres">
      <dgm:prSet presAssocID="{481ED3B2-77C3-41F3-A768-70A2306AAB95}" presName="conn2-1" presStyleLbl="parChTrans1D4" presStyleIdx="0" presStyleCnt="6"/>
      <dgm:spPr>
        <a:custGeom>
          <a:avLst/>
          <a:gdLst/>
          <a:ahLst/>
          <a:cxnLst/>
          <a:rect l="0" t="0" r="0" b="0"/>
          <a:pathLst>
            <a:path>
              <a:moveTo>
                <a:pt x="0" y="8341"/>
              </a:moveTo>
              <a:lnTo>
                <a:pt x="858054" y="8341"/>
              </a:lnTo>
            </a:path>
          </a:pathLst>
        </a:custGeom>
      </dgm:spPr>
      <dgm:t>
        <a:bodyPr/>
        <a:lstStyle/>
        <a:p>
          <a:endParaRPr lang="hr-HR"/>
        </a:p>
      </dgm:t>
    </dgm:pt>
    <dgm:pt modelId="{FB87E9CC-D6C8-467C-84E6-D499A1F13373}" type="pres">
      <dgm:prSet presAssocID="{481ED3B2-77C3-41F3-A768-70A2306AAB95}" presName="connTx" presStyleLbl="parChTrans1D4" presStyleIdx="0" presStyleCnt="6"/>
      <dgm:spPr/>
      <dgm:t>
        <a:bodyPr/>
        <a:lstStyle/>
        <a:p>
          <a:endParaRPr lang="hr-HR"/>
        </a:p>
      </dgm:t>
    </dgm:pt>
    <dgm:pt modelId="{4062C0F6-0C22-4503-95BB-A34F0007FF9D}" type="pres">
      <dgm:prSet presAssocID="{7042F62E-6F07-4495-9DC6-B28B0330ED44}" presName="root2" presStyleCnt="0"/>
      <dgm:spPr/>
    </dgm:pt>
    <dgm:pt modelId="{6AEA69CB-3D4F-416E-9002-168077167D30}" type="pres">
      <dgm:prSet presAssocID="{7042F62E-6F07-4495-9DC6-B28B0330ED44}" presName="LevelTwoTextNode" presStyleLbl="node4" presStyleIdx="0" presStyleCnt="6">
        <dgm:presLayoutVars>
          <dgm:chPref val="3"/>
        </dgm:presLayoutVars>
      </dgm:prSet>
      <dgm:spPr>
        <a:prstGeom prst="roundRect">
          <a:avLst>
            <a:gd name="adj" fmla="val 10000"/>
          </a:avLst>
        </a:prstGeom>
      </dgm:spPr>
      <dgm:t>
        <a:bodyPr/>
        <a:lstStyle/>
        <a:p>
          <a:endParaRPr lang="hr-HR"/>
        </a:p>
      </dgm:t>
    </dgm:pt>
    <dgm:pt modelId="{EF88ABB3-3AFE-4797-9AF3-A2240AF8CD08}" type="pres">
      <dgm:prSet presAssocID="{7042F62E-6F07-4495-9DC6-B28B0330ED44}" presName="level3hierChild" presStyleCnt="0"/>
      <dgm:spPr/>
    </dgm:pt>
    <dgm:pt modelId="{63CBE274-3C53-4962-879F-059AF89A823F}" type="pres">
      <dgm:prSet presAssocID="{B0DDA855-349A-4582-9ADA-CE212B2AA1F6}" presName="conn2-1" presStyleLbl="parChTrans1D4" presStyleIdx="1" presStyleCnt="6"/>
      <dgm:spPr>
        <a:custGeom>
          <a:avLst/>
          <a:gdLst/>
          <a:ahLst/>
          <a:cxnLst/>
          <a:rect l="0" t="0" r="0" b="0"/>
          <a:pathLst>
            <a:path>
              <a:moveTo>
                <a:pt x="0" y="8341"/>
              </a:moveTo>
              <a:lnTo>
                <a:pt x="490004" y="8341"/>
              </a:lnTo>
            </a:path>
          </a:pathLst>
        </a:custGeom>
      </dgm:spPr>
      <dgm:t>
        <a:bodyPr/>
        <a:lstStyle/>
        <a:p>
          <a:endParaRPr lang="hr-HR"/>
        </a:p>
      </dgm:t>
    </dgm:pt>
    <dgm:pt modelId="{3531558D-F456-49D2-8E23-B3E06FCB03CE}" type="pres">
      <dgm:prSet presAssocID="{B0DDA855-349A-4582-9ADA-CE212B2AA1F6}" presName="connTx" presStyleLbl="parChTrans1D4" presStyleIdx="1" presStyleCnt="6"/>
      <dgm:spPr/>
      <dgm:t>
        <a:bodyPr/>
        <a:lstStyle/>
        <a:p>
          <a:endParaRPr lang="hr-HR"/>
        </a:p>
      </dgm:t>
    </dgm:pt>
    <dgm:pt modelId="{F84C9995-2801-4EA3-8DAD-B9539E4EF41C}" type="pres">
      <dgm:prSet presAssocID="{9E846F2D-C706-4DB9-B3D3-D3F92295F106}" presName="root2" presStyleCnt="0"/>
      <dgm:spPr/>
    </dgm:pt>
    <dgm:pt modelId="{5B58FB8D-0CB0-4D19-81B3-DA720DEDB5DD}" type="pres">
      <dgm:prSet presAssocID="{9E846F2D-C706-4DB9-B3D3-D3F92295F106}" presName="LevelTwoTextNode" presStyleLbl="node4" presStyleIdx="1" presStyleCnt="6">
        <dgm:presLayoutVars>
          <dgm:chPref val="3"/>
        </dgm:presLayoutVars>
      </dgm:prSet>
      <dgm:spPr>
        <a:prstGeom prst="roundRect">
          <a:avLst>
            <a:gd name="adj" fmla="val 10000"/>
          </a:avLst>
        </a:prstGeom>
      </dgm:spPr>
      <dgm:t>
        <a:bodyPr/>
        <a:lstStyle/>
        <a:p>
          <a:endParaRPr lang="hr-HR"/>
        </a:p>
      </dgm:t>
    </dgm:pt>
    <dgm:pt modelId="{01855D31-D6D7-4438-81A0-A9EEFCE49FC4}" type="pres">
      <dgm:prSet presAssocID="{9E846F2D-C706-4DB9-B3D3-D3F92295F106}" presName="level3hierChild" presStyleCnt="0"/>
      <dgm:spPr/>
    </dgm:pt>
    <dgm:pt modelId="{802C5C9E-BEDE-4BC6-B5A3-C3D3A4F6B90C}" type="pres">
      <dgm:prSet presAssocID="{64F76D5A-A41E-41FE-B05D-3D827631A0F2}" presName="conn2-1" presStyleLbl="parChTrans1D4" presStyleIdx="2" presStyleCnt="6"/>
      <dgm:spPr>
        <a:custGeom>
          <a:avLst/>
          <a:gdLst/>
          <a:ahLst/>
          <a:cxnLst/>
          <a:rect l="0" t="0" r="0" b="0"/>
          <a:pathLst>
            <a:path>
              <a:moveTo>
                <a:pt x="0" y="8341"/>
              </a:moveTo>
              <a:lnTo>
                <a:pt x="858054" y="8341"/>
              </a:lnTo>
            </a:path>
          </a:pathLst>
        </a:custGeom>
      </dgm:spPr>
      <dgm:t>
        <a:bodyPr/>
        <a:lstStyle/>
        <a:p>
          <a:endParaRPr lang="hr-HR"/>
        </a:p>
      </dgm:t>
    </dgm:pt>
    <dgm:pt modelId="{922123AA-C59F-4600-B837-9A485262AC77}" type="pres">
      <dgm:prSet presAssocID="{64F76D5A-A41E-41FE-B05D-3D827631A0F2}" presName="connTx" presStyleLbl="parChTrans1D4" presStyleIdx="2" presStyleCnt="6"/>
      <dgm:spPr/>
      <dgm:t>
        <a:bodyPr/>
        <a:lstStyle/>
        <a:p>
          <a:endParaRPr lang="hr-HR"/>
        </a:p>
      </dgm:t>
    </dgm:pt>
    <dgm:pt modelId="{BD45CB75-17B5-4D78-9301-61B6F600AB6A}" type="pres">
      <dgm:prSet presAssocID="{A53DDA78-A4CA-42A6-88F0-B2EE63D5BBC3}" presName="root2" presStyleCnt="0"/>
      <dgm:spPr/>
    </dgm:pt>
    <dgm:pt modelId="{296D2367-B207-4179-8E28-6C64DAA3356A}" type="pres">
      <dgm:prSet presAssocID="{A53DDA78-A4CA-42A6-88F0-B2EE63D5BBC3}" presName="LevelTwoTextNode" presStyleLbl="node4" presStyleIdx="2" presStyleCnt="6">
        <dgm:presLayoutVars>
          <dgm:chPref val="3"/>
        </dgm:presLayoutVars>
      </dgm:prSet>
      <dgm:spPr>
        <a:prstGeom prst="roundRect">
          <a:avLst>
            <a:gd name="adj" fmla="val 10000"/>
          </a:avLst>
        </a:prstGeom>
      </dgm:spPr>
      <dgm:t>
        <a:bodyPr/>
        <a:lstStyle/>
        <a:p>
          <a:endParaRPr lang="hr-HR"/>
        </a:p>
      </dgm:t>
    </dgm:pt>
    <dgm:pt modelId="{ADB0A15B-A7A6-4907-B72C-81878DBA3C27}" type="pres">
      <dgm:prSet presAssocID="{A53DDA78-A4CA-42A6-88F0-B2EE63D5BBC3}" presName="level3hierChild" presStyleCnt="0"/>
      <dgm:spPr/>
    </dgm:pt>
    <dgm:pt modelId="{7089C4E5-0EFA-4B3E-B397-0BF13D86BF70}" type="pres">
      <dgm:prSet presAssocID="{2982085B-857A-407F-9A32-1D8613ECBECB}" presName="conn2-1" presStyleLbl="parChTrans1D3" presStyleIdx="2" presStyleCnt="7"/>
      <dgm:spPr>
        <a:custGeom>
          <a:avLst/>
          <a:gdLst/>
          <a:ahLst/>
          <a:cxnLst/>
          <a:rect l="0" t="0" r="0" b="0"/>
          <a:pathLst>
            <a:path>
              <a:moveTo>
                <a:pt x="0" y="8341"/>
              </a:moveTo>
              <a:lnTo>
                <a:pt x="858054" y="8341"/>
              </a:lnTo>
            </a:path>
          </a:pathLst>
        </a:custGeom>
      </dgm:spPr>
      <dgm:t>
        <a:bodyPr/>
        <a:lstStyle/>
        <a:p>
          <a:endParaRPr lang="hr-HR"/>
        </a:p>
      </dgm:t>
    </dgm:pt>
    <dgm:pt modelId="{93AC9056-0F10-49F7-830E-BCA84D2192D6}" type="pres">
      <dgm:prSet presAssocID="{2982085B-857A-407F-9A32-1D8613ECBECB}" presName="connTx" presStyleLbl="parChTrans1D3" presStyleIdx="2" presStyleCnt="7"/>
      <dgm:spPr/>
      <dgm:t>
        <a:bodyPr/>
        <a:lstStyle/>
        <a:p>
          <a:endParaRPr lang="hr-HR"/>
        </a:p>
      </dgm:t>
    </dgm:pt>
    <dgm:pt modelId="{AFE218E2-B950-496F-8310-B48119AD8F11}" type="pres">
      <dgm:prSet presAssocID="{AAF1132C-8255-4168-AAA7-E08BA67115DB}" presName="root2" presStyleCnt="0"/>
      <dgm:spPr/>
    </dgm:pt>
    <dgm:pt modelId="{99A47BA5-DFF0-4F24-BB8B-8F8F7955111D}" type="pres">
      <dgm:prSet presAssocID="{AAF1132C-8255-4168-AAA7-E08BA67115DB}" presName="LevelTwoTextNode" presStyleLbl="node3" presStyleIdx="2" presStyleCnt="7">
        <dgm:presLayoutVars>
          <dgm:chPref val="3"/>
        </dgm:presLayoutVars>
      </dgm:prSet>
      <dgm:spPr>
        <a:prstGeom prst="roundRect">
          <a:avLst>
            <a:gd name="adj" fmla="val 10000"/>
          </a:avLst>
        </a:prstGeom>
      </dgm:spPr>
      <dgm:t>
        <a:bodyPr/>
        <a:lstStyle/>
        <a:p>
          <a:endParaRPr lang="hr-HR"/>
        </a:p>
      </dgm:t>
    </dgm:pt>
    <dgm:pt modelId="{ECE402D2-59EF-40FF-9E00-6D184892D9B4}" type="pres">
      <dgm:prSet presAssocID="{AAF1132C-8255-4168-AAA7-E08BA67115DB}" presName="level3hierChild" presStyleCnt="0"/>
      <dgm:spPr/>
    </dgm:pt>
    <dgm:pt modelId="{8672F874-9488-4216-8046-3F3B2FEBC6B4}" type="pres">
      <dgm:prSet presAssocID="{E0825042-5088-4DC5-89E9-FD7159A698FA}" presName="conn2-1" presStyleLbl="parChTrans1D4" presStyleIdx="3" presStyleCnt="6"/>
      <dgm:spPr>
        <a:custGeom>
          <a:avLst/>
          <a:gdLst/>
          <a:ahLst/>
          <a:cxnLst/>
          <a:rect l="0" t="0" r="0" b="0"/>
          <a:pathLst>
            <a:path>
              <a:moveTo>
                <a:pt x="0" y="8341"/>
              </a:moveTo>
              <a:lnTo>
                <a:pt x="490004" y="8341"/>
              </a:lnTo>
            </a:path>
          </a:pathLst>
        </a:custGeom>
      </dgm:spPr>
      <dgm:t>
        <a:bodyPr/>
        <a:lstStyle/>
        <a:p>
          <a:endParaRPr lang="hr-HR"/>
        </a:p>
      </dgm:t>
    </dgm:pt>
    <dgm:pt modelId="{2A433035-5F32-4047-99BF-1942103D66FE}" type="pres">
      <dgm:prSet presAssocID="{E0825042-5088-4DC5-89E9-FD7159A698FA}" presName="connTx" presStyleLbl="parChTrans1D4" presStyleIdx="3" presStyleCnt="6"/>
      <dgm:spPr/>
      <dgm:t>
        <a:bodyPr/>
        <a:lstStyle/>
        <a:p>
          <a:endParaRPr lang="hr-HR"/>
        </a:p>
      </dgm:t>
    </dgm:pt>
    <dgm:pt modelId="{E66670AD-5498-4B3D-9CA5-96571867AC3C}" type="pres">
      <dgm:prSet presAssocID="{D95506E0-434A-4681-95AD-6BB444C66BA6}" presName="root2" presStyleCnt="0"/>
      <dgm:spPr/>
    </dgm:pt>
    <dgm:pt modelId="{F2709631-9807-4872-AA3B-C0C0AFEEBE36}" type="pres">
      <dgm:prSet presAssocID="{D95506E0-434A-4681-95AD-6BB444C66BA6}" presName="LevelTwoTextNode" presStyleLbl="node4" presStyleIdx="3" presStyleCnt="6">
        <dgm:presLayoutVars>
          <dgm:chPref val="3"/>
        </dgm:presLayoutVars>
      </dgm:prSet>
      <dgm:spPr>
        <a:prstGeom prst="roundRect">
          <a:avLst>
            <a:gd name="adj" fmla="val 10000"/>
          </a:avLst>
        </a:prstGeom>
      </dgm:spPr>
      <dgm:t>
        <a:bodyPr/>
        <a:lstStyle/>
        <a:p>
          <a:endParaRPr lang="hr-HR"/>
        </a:p>
      </dgm:t>
    </dgm:pt>
    <dgm:pt modelId="{5367CCF2-ECAB-4C04-8328-230B9BAE0BB8}" type="pres">
      <dgm:prSet presAssocID="{D95506E0-434A-4681-95AD-6BB444C66BA6}" presName="level3hierChild" presStyleCnt="0"/>
      <dgm:spPr/>
    </dgm:pt>
    <dgm:pt modelId="{C874335B-C80C-4882-BF8E-359A8D38DC37}" type="pres">
      <dgm:prSet presAssocID="{22676B6B-82AE-4F6C-820A-403658440B78}" presName="conn2-1" presStyleLbl="parChTrans1D2" presStyleIdx="2" presStyleCnt="5"/>
      <dgm:spPr>
        <a:custGeom>
          <a:avLst/>
          <a:gdLst/>
          <a:ahLst/>
          <a:cxnLst/>
          <a:rect l="0" t="0" r="0" b="0"/>
          <a:pathLst>
            <a:path>
              <a:moveTo>
                <a:pt x="0" y="8341"/>
              </a:moveTo>
              <a:lnTo>
                <a:pt x="1293748" y="8341"/>
              </a:lnTo>
            </a:path>
          </a:pathLst>
        </a:custGeom>
      </dgm:spPr>
      <dgm:t>
        <a:bodyPr/>
        <a:lstStyle/>
        <a:p>
          <a:endParaRPr lang="hr-HR"/>
        </a:p>
      </dgm:t>
    </dgm:pt>
    <dgm:pt modelId="{304D0AFD-513D-4F94-9B04-DC79F9777352}" type="pres">
      <dgm:prSet presAssocID="{22676B6B-82AE-4F6C-820A-403658440B78}" presName="connTx" presStyleLbl="parChTrans1D2" presStyleIdx="2" presStyleCnt="5"/>
      <dgm:spPr/>
      <dgm:t>
        <a:bodyPr/>
        <a:lstStyle/>
        <a:p>
          <a:endParaRPr lang="hr-HR"/>
        </a:p>
      </dgm:t>
    </dgm:pt>
    <dgm:pt modelId="{958667C6-C0C2-4A7C-96D5-937B6CFB0690}" type="pres">
      <dgm:prSet presAssocID="{E6CB07F1-82A3-4E5E-98C7-BDB05E59D1B3}" presName="root2" presStyleCnt="0"/>
      <dgm:spPr/>
    </dgm:pt>
    <dgm:pt modelId="{01A6921B-09FE-43C3-B730-8EF917C0B8C7}" type="pres">
      <dgm:prSet presAssocID="{E6CB07F1-82A3-4E5E-98C7-BDB05E59D1B3}" presName="LevelTwoTextNode" presStyleLbl="node2" presStyleIdx="2" presStyleCnt="5">
        <dgm:presLayoutVars>
          <dgm:chPref val="3"/>
        </dgm:presLayoutVars>
      </dgm:prSet>
      <dgm:spPr>
        <a:prstGeom prst="roundRect">
          <a:avLst>
            <a:gd name="adj" fmla="val 10000"/>
          </a:avLst>
        </a:prstGeom>
      </dgm:spPr>
      <dgm:t>
        <a:bodyPr/>
        <a:lstStyle/>
        <a:p>
          <a:endParaRPr lang="hr-HR"/>
        </a:p>
      </dgm:t>
    </dgm:pt>
    <dgm:pt modelId="{815A674E-F575-4808-B0B5-3497827EA590}" type="pres">
      <dgm:prSet presAssocID="{E6CB07F1-82A3-4E5E-98C7-BDB05E59D1B3}" presName="level3hierChild" presStyleCnt="0"/>
      <dgm:spPr/>
    </dgm:pt>
    <dgm:pt modelId="{921BA1B0-B029-49EC-95C3-982F5B6E8058}" type="pres">
      <dgm:prSet presAssocID="{1C379EF7-DE00-45AD-BD05-89DC562F26C0}" presName="conn2-1" presStyleLbl="parChTrans1D3" presStyleIdx="3" presStyleCnt="7"/>
      <dgm:spPr>
        <a:custGeom>
          <a:avLst/>
          <a:gdLst/>
          <a:ahLst/>
          <a:cxnLst/>
          <a:rect l="0" t="0" r="0" b="0"/>
          <a:pathLst>
            <a:path>
              <a:moveTo>
                <a:pt x="0" y="8341"/>
              </a:moveTo>
              <a:lnTo>
                <a:pt x="490004" y="8341"/>
              </a:lnTo>
            </a:path>
          </a:pathLst>
        </a:custGeom>
      </dgm:spPr>
      <dgm:t>
        <a:bodyPr/>
        <a:lstStyle/>
        <a:p>
          <a:endParaRPr lang="hr-HR"/>
        </a:p>
      </dgm:t>
    </dgm:pt>
    <dgm:pt modelId="{8F9AB7A6-F57D-4E63-B000-F6F60725FD37}" type="pres">
      <dgm:prSet presAssocID="{1C379EF7-DE00-45AD-BD05-89DC562F26C0}" presName="connTx" presStyleLbl="parChTrans1D3" presStyleIdx="3" presStyleCnt="7"/>
      <dgm:spPr/>
      <dgm:t>
        <a:bodyPr/>
        <a:lstStyle/>
        <a:p>
          <a:endParaRPr lang="hr-HR"/>
        </a:p>
      </dgm:t>
    </dgm:pt>
    <dgm:pt modelId="{8A9760B2-528F-44DD-8341-C29B9B59E6EF}" type="pres">
      <dgm:prSet presAssocID="{C4DD29DD-9A3D-4D54-ADAF-125D96BC1E7F}" presName="root2" presStyleCnt="0"/>
      <dgm:spPr/>
    </dgm:pt>
    <dgm:pt modelId="{259F8163-5BD1-4A08-B25D-97152879B66E}" type="pres">
      <dgm:prSet presAssocID="{C4DD29DD-9A3D-4D54-ADAF-125D96BC1E7F}" presName="LevelTwoTextNode" presStyleLbl="node3" presStyleIdx="3" presStyleCnt="7">
        <dgm:presLayoutVars>
          <dgm:chPref val="3"/>
        </dgm:presLayoutVars>
      </dgm:prSet>
      <dgm:spPr>
        <a:prstGeom prst="roundRect">
          <a:avLst>
            <a:gd name="adj" fmla="val 10000"/>
          </a:avLst>
        </a:prstGeom>
      </dgm:spPr>
      <dgm:t>
        <a:bodyPr/>
        <a:lstStyle/>
        <a:p>
          <a:endParaRPr lang="hr-HR"/>
        </a:p>
      </dgm:t>
    </dgm:pt>
    <dgm:pt modelId="{6F039902-9B80-4C61-AA6B-A8DF5EEBD27B}" type="pres">
      <dgm:prSet presAssocID="{C4DD29DD-9A3D-4D54-ADAF-125D96BC1E7F}" presName="level3hierChild" presStyleCnt="0"/>
      <dgm:spPr/>
    </dgm:pt>
    <dgm:pt modelId="{931B7E7D-AE46-49C8-AC15-32D87558B92C}" type="pres">
      <dgm:prSet presAssocID="{EECD7A6E-DCDE-49D2-AF39-E47816458F77}" presName="conn2-1" presStyleLbl="parChTrans1D4" presStyleIdx="4" presStyleCnt="6"/>
      <dgm:spPr>
        <a:custGeom>
          <a:avLst/>
          <a:gdLst/>
          <a:ahLst/>
          <a:cxnLst/>
          <a:rect l="0" t="0" r="0" b="0"/>
          <a:pathLst>
            <a:path>
              <a:moveTo>
                <a:pt x="0" y="8341"/>
              </a:moveTo>
              <a:lnTo>
                <a:pt x="603442" y="8341"/>
              </a:lnTo>
            </a:path>
          </a:pathLst>
        </a:custGeom>
      </dgm:spPr>
      <dgm:t>
        <a:bodyPr/>
        <a:lstStyle/>
        <a:p>
          <a:endParaRPr lang="hr-HR"/>
        </a:p>
      </dgm:t>
    </dgm:pt>
    <dgm:pt modelId="{7F5AB3F0-8F59-4F0A-AAFE-0283001E52F5}" type="pres">
      <dgm:prSet presAssocID="{EECD7A6E-DCDE-49D2-AF39-E47816458F77}" presName="connTx" presStyleLbl="parChTrans1D4" presStyleIdx="4" presStyleCnt="6"/>
      <dgm:spPr/>
      <dgm:t>
        <a:bodyPr/>
        <a:lstStyle/>
        <a:p>
          <a:endParaRPr lang="hr-HR"/>
        </a:p>
      </dgm:t>
    </dgm:pt>
    <dgm:pt modelId="{EEBF73BE-1635-4895-844D-335B508C0D6B}" type="pres">
      <dgm:prSet presAssocID="{471A05EB-2ADA-41DD-9A30-AA5394F83258}" presName="root2" presStyleCnt="0"/>
      <dgm:spPr/>
    </dgm:pt>
    <dgm:pt modelId="{CE1ADE7A-1520-4D34-8387-B0CF4CA473D2}" type="pres">
      <dgm:prSet presAssocID="{471A05EB-2ADA-41DD-9A30-AA5394F83258}" presName="LevelTwoTextNode" presStyleLbl="node4" presStyleIdx="4" presStyleCnt="6">
        <dgm:presLayoutVars>
          <dgm:chPref val="3"/>
        </dgm:presLayoutVars>
      </dgm:prSet>
      <dgm:spPr>
        <a:prstGeom prst="roundRect">
          <a:avLst>
            <a:gd name="adj" fmla="val 10000"/>
          </a:avLst>
        </a:prstGeom>
      </dgm:spPr>
      <dgm:t>
        <a:bodyPr/>
        <a:lstStyle/>
        <a:p>
          <a:endParaRPr lang="hr-HR"/>
        </a:p>
      </dgm:t>
    </dgm:pt>
    <dgm:pt modelId="{7D76C97F-418B-4FDE-8242-2733AA932159}" type="pres">
      <dgm:prSet presAssocID="{471A05EB-2ADA-41DD-9A30-AA5394F83258}" presName="level3hierChild" presStyleCnt="0"/>
      <dgm:spPr/>
    </dgm:pt>
    <dgm:pt modelId="{D04F1DA5-2C62-4BF3-86D4-977C4DC4D66C}" type="pres">
      <dgm:prSet presAssocID="{62499365-830A-4E9B-8BA9-9BE729B000C9}" presName="conn2-1" presStyleLbl="parChTrans1D4" presStyleIdx="5" presStyleCnt="6"/>
      <dgm:spPr>
        <a:custGeom>
          <a:avLst/>
          <a:gdLst/>
          <a:ahLst/>
          <a:cxnLst/>
          <a:rect l="0" t="0" r="0" b="0"/>
          <a:pathLst>
            <a:path>
              <a:moveTo>
                <a:pt x="0" y="8341"/>
              </a:moveTo>
              <a:lnTo>
                <a:pt x="603442" y="8341"/>
              </a:lnTo>
            </a:path>
          </a:pathLst>
        </a:custGeom>
      </dgm:spPr>
      <dgm:t>
        <a:bodyPr/>
        <a:lstStyle/>
        <a:p>
          <a:endParaRPr lang="hr-HR"/>
        </a:p>
      </dgm:t>
    </dgm:pt>
    <dgm:pt modelId="{2C976AC0-7691-4823-B033-5E1DA9060295}" type="pres">
      <dgm:prSet presAssocID="{62499365-830A-4E9B-8BA9-9BE729B000C9}" presName="connTx" presStyleLbl="parChTrans1D4" presStyleIdx="5" presStyleCnt="6"/>
      <dgm:spPr/>
      <dgm:t>
        <a:bodyPr/>
        <a:lstStyle/>
        <a:p>
          <a:endParaRPr lang="hr-HR"/>
        </a:p>
      </dgm:t>
    </dgm:pt>
    <dgm:pt modelId="{24200B8B-A683-42EB-9187-FE3A6D52BB84}" type="pres">
      <dgm:prSet presAssocID="{128218E5-56EA-4817-9795-F4E5466A0E89}" presName="root2" presStyleCnt="0"/>
      <dgm:spPr/>
    </dgm:pt>
    <dgm:pt modelId="{8DA41A72-F84B-49F5-AFA8-DDF075C40E4D}" type="pres">
      <dgm:prSet presAssocID="{128218E5-56EA-4817-9795-F4E5466A0E89}" presName="LevelTwoTextNode" presStyleLbl="node4" presStyleIdx="5" presStyleCnt="6">
        <dgm:presLayoutVars>
          <dgm:chPref val="3"/>
        </dgm:presLayoutVars>
      </dgm:prSet>
      <dgm:spPr>
        <a:prstGeom prst="roundRect">
          <a:avLst>
            <a:gd name="adj" fmla="val 10000"/>
          </a:avLst>
        </a:prstGeom>
      </dgm:spPr>
      <dgm:t>
        <a:bodyPr/>
        <a:lstStyle/>
        <a:p>
          <a:endParaRPr lang="hr-HR"/>
        </a:p>
      </dgm:t>
    </dgm:pt>
    <dgm:pt modelId="{7A0CDB63-7241-4A57-BD44-068A9256AEA0}" type="pres">
      <dgm:prSet presAssocID="{128218E5-56EA-4817-9795-F4E5466A0E89}" presName="level3hierChild" presStyleCnt="0"/>
      <dgm:spPr/>
    </dgm:pt>
    <dgm:pt modelId="{14CB38F4-2723-45FE-9425-1060DD3B8771}" type="pres">
      <dgm:prSet presAssocID="{2E7F5A1F-59BF-487C-B865-9EA478D0F0F0}" presName="conn2-1" presStyleLbl="parChTrans1D2" presStyleIdx="3" presStyleCnt="5"/>
      <dgm:spPr>
        <a:custGeom>
          <a:avLst/>
          <a:gdLst/>
          <a:ahLst/>
          <a:cxnLst/>
          <a:rect l="0" t="0" r="0" b="0"/>
          <a:pathLst>
            <a:path>
              <a:moveTo>
                <a:pt x="0" y="8341"/>
              </a:moveTo>
              <a:lnTo>
                <a:pt x="1940146" y="8341"/>
              </a:lnTo>
            </a:path>
          </a:pathLst>
        </a:custGeom>
      </dgm:spPr>
      <dgm:t>
        <a:bodyPr/>
        <a:lstStyle/>
        <a:p>
          <a:endParaRPr lang="hr-HR"/>
        </a:p>
      </dgm:t>
    </dgm:pt>
    <dgm:pt modelId="{A67D5E15-9C80-4887-87A0-20AABA8E3980}" type="pres">
      <dgm:prSet presAssocID="{2E7F5A1F-59BF-487C-B865-9EA478D0F0F0}" presName="connTx" presStyleLbl="parChTrans1D2" presStyleIdx="3" presStyleCnt="5"/>
      <dgm:spPr/>
      <dgm:t>
        <a:bodyPr/>
        <a:lstStyle/>
        <a:p>
          <a:endParaRPr lang="hr-HR"/>
        </a:p>
      </dgm:t>
    </dgm:pt>
    <dgm:pt modelId="{9C527A55-77EC-4383-AC81-2EF13B99E578}" type="pres">
      <dgm:prSet presAssocID="{3A30BE26-9E78-4F39-87FB-2D544BF8D3A4}" presName="root2" presStyleCnt="0"/>
      <dgm:spPr/>
    </dgm:pt>
    <dgm:pt modelId="{14ACBFEB-9126-46B8-99ED-4C7CAA6D7795}" type="pres">
      <dgm:prSet presAssocID="{3A30BE26-9E78-4F39-87FB-2D544BF8D3A4}" presName="LevelTwoTextNode" presStyleLbl="node2" presStyleIdx="3" presStyleCnt="5">
        <dgm:presLayoutVars>
          <dgm:chPref val="3"/>
        </dgm:presLayoutVars>
      </dgm:prSet>
      <dgm:spPr>
        <a:prstGeom prst="roundRect">
          <a:avLst>
            <a:gd name="adj" fmla="val 10000"/>
          </a:avLst>
        </a:prstGeom>
      </dgm:spPr>
      <dgm:t>
        <a:bodyPr/>
        <a:lstStyle/>
        <a:p>
          <a:endParaRPr lang="hr-HR"/>
        </a:p>
      </dgm:t>
    </dgm:pt>
    <dgm:pt modelId="{F65777A5-682D-404C-865B-5D8BB76FC01F}" type="pres">
      <dgm:prSet presAssocID="{3A30BE26-9E78-4F39-87FB-2D544BF8D3A4}" presName="level3hierChild" presStyleCnt="0"/>
      <dgm:spPr/>
    </dgm:pt>
    <dgm:pt modelId="{C2E93394-6A1F-4686-903E-FA10CEBF45F3}" type="pres">
      <dgm:prSet presAssocID="{24E6DD3E-140F-4371-8311-F5D8941196A0}" presName="conn2-1" presStyleLbl="parChTrans1D3" presStyleIdx="4" presStyleCnt="7"/>
      <dgm:spPr>
        <a:custGeom>
          <a:avLst/>
          <a:gdLst/>
          <a:ahLst/>
          <a:cxnLst/>
          <a:rect l="0" t="0" r="0" b="0"/>
          <a:pathLst>
            <a:path>
              <a:moveTo>
                <a:pt x="0" y="8341"/>
              </a:moveTo>
              <a:lnTo>
                <a:pt x="490004" y="8341"/>
              </a:lnTo>
            </a:path>
          </a:pathLst>
        </a:custGeom>
      </dgm:spPr>
      <dgm:t>
        <a:bodyPr/>
        <a:lstStyle/>
        <a:p>
          <a:endParaRPr lang="hr-HR"/>
        </a:p>
      </dgm:t>
    </dgm:pt>
    <dgm:pt modelId="{FE9953CB-633F-4876-A9C8-FB7710352C19}" type="pres">
      <dgm:prSet presAssocID="{24E6DD3E-140F-4371-8311-F5D8941196A0}" presName="connTx" presStyleLbl="parChTrans1D3" presStyleIdx="4" presStyleCnt="7"/>
      <dgm:spPr/>
      <dgm:t>
        <a:bodyPr/>
        <a:lstStyle/>
        <a:p>
          <a:endParaRPr lang="hr-HR"/>
        </a:p>
      </dgm:t>
    </dgm:pt>
    <dgm:pt modelId="{8852766C-4CD4-429F-AB01-172472648F9D}" type="pres">
      <dgm:prSet presAssocID="{ACD80297-B41A-4B5D-9D8A-A69AC2F9CDFF}" presName="root2" presStyleCnt="0"/>
      <dgm:spPr/>
    </dgm:pt>
    <dgm:pt modelId="{5F02DC2F-02AE-4EBA-8421-3C7AA7E8428D}" type="pres">
      <dgm:prSet presAssocID="{ACD80297-B41A-4B5D-9D8A-A69AC2F9CDFF}" presName="LevelTwoTextNode" presStyleLbl="node3" presStyleIdx="4" presStyleCnt="7">
        <dgm:presLayoutVars>
          <dgm:chPref val="3"/>
        </dgm:presLayoutVars>
      </dgm:prSet>
      <dgm:spPr>
        <a:prstGeom prst="roundRect">
          <a:avLst>
            <a:gd name="adj" fmla="val 10000"/>
          </a:avLst>
        </a:prstGeom>
      </dgm:spPr>
      <dgm:t>
        <a:bodyPr/>
        <a:lstStyle/>
        <a:p>
          <a:endParaRPr lang="hr-HR"/>
        </a:p>
      </dgm:t>
    </dgm:pt>
    <dgm:pt modelId="{7C884CDC-F51F-414E-9962-2B8BF6656669}" type="pres">
      <dgm:prSet presAssocID="{ACD80297-B41A-4B5D-9D8A-A69AC2F9CDFF}" presName="level3hierChild" presStyleCnt="0"/>
      <dgm:spPr/>
    </dgm:pt>
    <dgm:pt modelId="{090C934C-3F16-4328-B581-11A52EE728CA}" type="pres">
      <dgm:prSet presAssocID="{8BECFF2D-CCF2-475B-8A2F-17C3ECE0F698}" presName="conn2-1" presStyleLbl="parChTrans1D2" presStyleIdx="4" presStyleCnt="5"/>
      <dgm:spPr>
        <a:custGeom>
          <a:avLst/>
          <a:gdLst/>
          <a:ahLst/>
          <a:cxnLst/>
          <a:rect l="0" t="0" r="0" b="0"/>
          <a:pathLst>
            <a:path>
              <a:moveTo>
                <a:pt x="0" y="8341"/>
              </a:moveTo>
              <a:lnTo>
                <a:pt x="2959783" y="8341"/>
              </a:lnTo>
            </a:path>
          </a:pathLst>
        </a:custGeom>
      </dgm:spPr>
      <dgm:t>
        <a:bodyPr/>
        <a:lstStyle/>
        <a:p>
          <a:endParaRPr lang="hr-HR"/>
        </a:p>
      </dgm:t>
    </dgm:pt>
    <dgm:pt modelId="{0058EDCB-10E0-471D-A8F4-91C63A1F5E50}" type="pres">
      <dgm:prSet presAssocID="{8BECFF2D-CCF2-475B-8A2F-17C3ECE0F698}" presName="connTx" presStyleLbl="parChTrans1D2" presStyleIdx="4" presStyleCnt="5"/>
      <dgm:spPr/>
      <dgm:t>
        <a:bodyPr/>
        <a:lstStyle/>
        <a:p>
          <a:endParaRPr lang="hr-HR"/>
        </a:p>
      </dgm:t>
    </dgm:pt>
    <dgm:pt modelId="{A218DBF8-5A93-435F-9145-6A2529B7EE08}" type="pres">
      <dgm:prSet presAssocID="{52F47ACE-1294-4B3B-9E3E-F7F8F4566669}" presName="root2" presStyleCnt="0"/>
      <dgm:spPr/>
    </dgm:pt>
    <dgm:pt modelId="{12979CEC-A047-42E0-AFEB-29DD40CA62B3}" type="pres">
      <dgm:prSet presAssocID="{52F47ACE-1294-4B3B-9E3E-F7F8F4566669}" presName="LevelTwoTextNode" presStyleLbl="node2" presStyleIdx="4" presStyleCnt="5">
        <dgm:presLayoutVars>
          <dgm:chPref val="3"/>
        </dgm:presLayoutVars>
      </dgm:prSet>
      <dgm:spPr>
        <a:prstGeom prst="roundRect">
          <a:avLst>
            <a:gd name="adj" fmla="val 10000"/>
          </a:avLst>
        </a:prstGeom>
      </dgm:spPr>
      <dgm:t>
        <a:bodyPr/>
        <a:lstStyle/>
        <a:p>
          <a:endParaRPr lang="hr-HR"/>
        </a:p>
      </dgm:t>
    </dgm:pt>
    <dgm:pt modelId="{B17BC8B8-B62E-4EFC-8055-A6038ABE9601}" type="pres">
      <dgm:prSet presAssocID="{52F47ACE-1294-4B3B-9E3E-F7F8F4566669}" presName="level3hierChild" presStyleCnt="0"/>
      <dgm:spPr/>
    </dgm:pt>
    <dgm:pt modelId="{9E58999F-B3F3-42E6-A9AD-2083C8F44B05}" type="pres">
      <dgm:prSet presAssocID="{574BEE98-FE62-44A0-9620-4F3E9A17AABC}" presName="conn2-1" presStyleLbl="parChTrans1D3" presStyleIdx="5" presStyleCnt="7"/>
      <dgm:spPr>
        <a:custGeom>
          <a:avLst/>
          <a:gdLst/>
          <a:ahLst/>
          <a:cxnLst/>
          <a:rect l="0" t="0" r="0" b="0"/>
          <a:pathLst>
            <a:path>
              <a:moveTo>
                <a:pt x="0" y="8341"/>
              </a:moveTo>
              <a:lnTo>
                <a:pt x="603442" y="8341"/>
              </a:lnTo>
            </a:path>
          </a:pathLst>
        </a:custGeom>
      </dgm:spPr>
      <dgm:t>
        <a:bodyPr/>
        <a:lstStyle/>
        <a:p>
          <a:endParaRPr lang="hr-HR"/>
        </a:p>
      </dgm:t>
    </dgm:pt>
    <dgm:pt modelId="{3ADDDD50-ADDB-4E15-A02A-3A48A3D0129A}" type="pres">
      <dgm:prSet presAssocID="{574BEE98-FE62-44A0-9620-4F3E9A17AABC}" presName="connTx" presStyleLbl="parChTrans1D3" presStyleIdx="5" presStyleCnt="7"/>
      <dgm:spPr/>
      <dgm:t>
        <a:bodyPr/>
        <a:lstStyle/>
        <a:p>
          <a:endParaRPr lang="hr-HR"/>
        </a:p>
      </dgm:t>
    </dgm:pt>
    <dgm:pt modelId="{8E1FD1EF-DC81-4D58-AF60-DB1E39438A98}" type="pres">
      <dgm:prSet presAssocID="{550CD72D-CE3A-400A-85DF-3AF87A183AFB}" presName="root2" presStyleCnt="0"/>
      <dgm:spPr/>
    </dgm:pt>
    <dgm:pt modelId="{979019DD-F6D0-4989-9207-0F3AA8578D63}" type="pres">
      <dgm:prSet presAssocID="{550CD72D-CE3A-400A-85DF-3AF87A183AFB}" presName="LevelTwoTextNode" presStyleLbl="node3" presStyleIdx="5" presStyleCnt="7">
        <dgm:presLayoutVars>
          <dgm:chPref val="3"/>
        </dgm:presLayoutVars>
      </dgm:prSet>
      <dgm:spPr>
        <a:prstGeom prst="roundRect">
          <a:avLst>
            <a:gd name="adj" fmla="val 10000"/>
          </a:avLst>
        </a:prstGeom>
      </dgm:spPr>
      <dgm:t>
        <a:bodyPr/>
        <a:lstStyle/>
        <a:p>
          <a:endParaRPr lang="hr-HR"/>
        </a:p>
      </dgm:t>
    </dgm:pt>
    <dgm:pt modelId="{732E55ED-7DA4-4DE4-8AF3-BE658ADEDDEF}" type="pres">
      <dgm:prSet presAssocID="{550CD72D-CE3A-400A-85DF-3AF87A183AFB}" presName="level3hierChild" presStyleCnt="0"/>
      <dgm:spPr/>
    </dgm:pt>
    <dgm:pt modelId="{570056DF-C907-44E7-8215-2A524A6ABF61}" type="pres">
      <dgm:prSet presAssocID="{BB046D69-9FDA-492E-8E7E-315888947E3D}" presName="conn2-1" presStyleLbl="parChTrans1D3" presStyleIdx="6" presStyleCnt="7"/>
      <dgm:spPr>
        <a:custGeom>
          <a:avLst/>
          <a:gdLst/>
          <a:ahLst/>
          <a:cxnLst/>
          <a:rect l="0" t="0" r="0" b="0"/>
          <a:pathLst>
            <a:path>
              <a:moveTo>
                <a:pt x="0" y="8341"/>
              </a:moveTo>
              <a:lnTo>
                <a:pt x="603442" y="8341"/>
              </a:lnTo>
            </a:path>
          </a:pathLst>
        </a:custGeom>
      </dgm:spPr>
      <dgm:t>
        <a:bodyPr/>
        <a:lstStyle/>
        <a:p>
          <a:endParaRPr lang="hr-HR"/>
        </a:p>
      </dgm:t>
    </dgm:pt>
    <dgm:pt modelId="{7499AFE3-E753-44E4-BDEF-35007156F0E7}" type="pres">
      <dgm:prSet presAssocID="{BB046D69-9FDA-492E-8E7E-315888947E3D}" presName="connTx" presStyleLbl="parChTrans1D3" presStyleIdx="6" presStyleCnt="7"/>
      <dgm:spPr/>
      <dgm:t>
        <a:bodyPr/>
        <a:lstStyle/>
        <a:p>
          <a:endParaRPr lang="hr-HR"/>
        </a:p>
      </dgm:t>
    </dgm:pt>
    <dgm:pt modelId="{B46D9800-C158-4A67-884F-C80AB40A8D2E}" type="pres">
      <dgm:prSet presAssocID="{C9973C09-B367-4445-A10F-1F9FBA689306}" presName="root2" presStyleCnt="0"/>
      <dgm:spPr/>
    </dgm:pt>
    <dgm:pt modelId="{4E93D755-C230-411A-9F7B-70578142FE7A}" type="pres">
      <dgm:prSet presAssocID="{C9973C09-B367-4445-A10F-1F9FBA689306}" presName="LevelTwoTextNode" presStyleLbl="node3" presStyleIdx="6" presStyleCnt="7">
        <dgm:presLayoutVars>
          <dgm:chPref val="3"/>
        </dgm:presLayoutVars>
      </dgm:prSet>
      <dgm:spPr>
        <a:prstGeom prst="roundRect">
          <a:avLst>
            <a:gd name="adj" fmla="val 10000"/>
          </a:avLst>
        </a:prstGeom>
      </dgm:spPr>
      <dgm:t>
        <a:bodyPr/>
        <a:lstStyle/>
        <a:p>
          <a:endParaRPr lang="hr-HR"/>
        </a:p>
      </dgm:t>
    </dgm:pt>
    <dgm:pt modelId="{C15C4AD6-00EC-4D5E-B0D8-1F85422A02C2}" type="pres">
      <dgm:prSet presAssocID="{C9973C09-B367-4445-A10F-1F9FBA689306}" presName="level3hierChild" presStyleCnt="0"/>
      <dgm:spPr/>
    </dgm:pt>
  </dgm:ptLst>
  <dgm:cxnLst>
    <dgm:cxn modelId="{7218B132-CB9E-4CD1-AEF5-45B6879D6FE5}" type="presOf" srcId="{52F47ACE-1294-4B3B-9E3E-F7F8F4566669}" destId="{12979CEC-A047-42E0-AFEB-29DD40CA62B3}" srcOrd="0" destOrd="0" presId="urn:microsoft.com/office/officeart/2005/8/layout/hierarchy2"/>
    <dgm:cxn modelId="{64E223CF-386C-469D-98A1-F22D68E4C0A0}" srcId="{AAF1132C-8255-4168-AAA7-E08BA67115DB}" destId="{D95506E0-434A-4681-95AD-6BB444C66BA6}" srcOrd="0" destOrd="0" parTransId="{E0825042-5088-4DC5-89E9-FD7159A698FA}" sibTransId="{806AC0EC-54E9-43CC-B3D1-A9C6C2E78730}"/>
    <dgm:cxn modelId="{30FC3374-AF82-4155-B0D1-46EEE3A8EAFC}" type="presOf" srcId="{1C379EF7-DE00-45AD-BD05-89DC562F26C0}" destId="{8F9AB7A6-F57D-4E63-B000-F6F60725FD37}" srcOrd="1" destOrd="0" presId="urn:microsoft.com/office/officeart/2005/8/layout/hierarchy2"/>
    <dgm:cxn modelId="{845F5398-0D12-4A38-840A-80A908216B63}" srcId="{C4DD29DD-9A3D-4D54-ADAF-125D96BC1E7F}" destId="{471A05EB-2ADA-41DD-9A30-AA5394F83258}" srcOrd="0" destOrd="0" parTransId="{EECD7A6E-DCDE-49D2-AF39-E47816458F77}" sibTransId="{30D2F729-590B-4868-8E36-3B8FE9492D3E}"/>
    <dgm:cxn modelId="{4F401628-DDE6-4E03-8A88-6E3E79CE4E3D}" type="presOf" srcId="{EECD7A6E-DCDE-49D2-AF39-E47816458F77}" destId="{931B7E7D-AE46-49C8-AC15-32D87558B92C}" srcOrd="0" destOrd="0" presId="urn:microsoft.com/office/officeart/2005/8/layout/hierarchy2"/>
    <dgm:cxn modelId="{AE403B37-9E8A-495E-AC60-CAE0C35FB074}" srcId="{8FFD71D4-5610-4787-810B-3927CE2B465F}" destId="{FF11FF6C-DC54-4DB7-A9F6-310B968A3807}" srcOrd="0" destOrd="0" parTransId="{A92E9F93-76E8-4F8E-9637-5A17256F6449}" sibTransId="{CD7FF5A3-19FD-4679-922E-BD3490D3C94F}"/>
    <dgm:cxn modelId="{E07FCE32-A87E-4BEC-87B9-E15BE1814EBA}" type="presOf" srcId="{22676B6B-82AE-4F6C-820A-403658440B78}" destId="{C874335B-C80C-4882-BF8E-359A8D38DC37}" srcOrd="0" destOrd="0" presId="urn:microsoft.com/office/officeart/2005/8/layout/hierarchy2"/>
    <dgm:cxn modelId="{504CA547-93D0-4810-B258-3E8629E9145A}" type="presOf" srcId="{62499365-830A-4E9B-8BA9-9BE729B000C9}" destId="{2C976AC0-7691-4823-B033-5E1DA9060295}" srcOrd="1" destOrd="0" presId="urn:microsoft.com/office/officeart/2005/8/layout/hierarchy2"/>
    <dgm:cxn modelId="{FE6739D0-FD4F-4CD7-ACB2-54998208AFFB}" type="presOf" srcId="{E0825042-5088-4DC5-89E9-FD7159A698FA}" destId="{2A433035-5F32-4047-99BF-1942103D66FE}" srcOrd="1" destOrd="0" presId="urn:microsoft.com/office/officeart/2005/8/layout/hierarchy2"/>
    <dgm:cxn modelId="{A5DB0ADB-4581-43EE-A83D-A0CC359D712A}" srcId="{85C4F998-0A9E-479A-BB5D-E29339EFE72F}" destId="{52F47ACE-1294-4B3B-9E3E-F7F8F4566669}" srcOrd="4" destOrd="0" parTransId="{8BECFF2D-CCF2-475B-8A2F-17C3ECE0F698}" sibTransId="{C02A2C3B-EB67-49F6-B9D1-1E2C6F987C63}"/>
    <dgm:cxn modelId="{BCAC0D7D-4AAB-4EE5-9403-865A121BA2F1}" type="presOf" srcId="{2982085B-857A-407F-9A32-1D8613ECBECB}" destId="{93AC9056-0F10-49F7-830E-BCA84D2192D6}" srcOrd="1" destOrd="0" presId="urn:microsoft.com/office/officeart/2005/8/layout/hierarchy2"/>
    <dgm:cxn modelId="{CF8502A8-2641-40CB-978D-6375BE3FC0D4}" type="presOf" srcId="{1C379EF7-DE00-45AD-BD05-89DC562F26C0}" destId="{921BA1B0-B029-49EC-95C3-982F5B6E8058}" srcOrd="0" destOrd="0" presId="urn:microsoft.com/office/officeart/2005/8/layout/hierarchy2"/>
    <dgm:cxn modelId="{2E3114BC-D8F2-460F-A602-4B85A3AFA2F1}" type="presOf" srcId="{62499365-830A-4E9B-8BA9-9BE729B000C9}" destId="{D04F1DA5-2C62-4BF3-86D4-977C4DC4D66C}" srcOrd="0" destOrd="0" presId="urn:microsoft.com/office/officeart/2005/8/layout/hierarchy2"/>
    <dgm:cxn modelId="{BD7FA75B-F129-42E9-BEE5-FB3513B45FF7}" type="presOf" srcId="{85C4F998-0A9E-479A-BB5D-E29339EFE72F}" destId="{F5A32BB2-0B87-4433-B363-A3DE68A0D9A0}" srcOrd="0" destOrd="0" presId="urn:microsoft.com/office/officeart/2005/8/layout/hierarchy2"/>
    <dgm:cxn modelId="{989E7B2A-7C97-41AF-9B27-00E5DF466B7B}" type="presOf" srcId="{3DCB375A-87B5-433F-84E1-6546C8918353}" destId="{A255698C-DE13-4E9E-A328-061EE2E9A3EC}" srcOrd="1" destOrd="0" presId="urn:microsoft.com/office/officeart/2005/8/layout/hierarchy2"/>
    <dgm:cxn modelId="{088036C9-274C-4269-A8C0-594D26E33576}" type="presOf" srcId="{64F76D5A-A41E-41FE-B05D-3D827631A0F2}" destId="{802C5C9E-BEDE-4BC6-B5A3-C3D3A4F6B90C}" srcOrd="0" destOrd="0" presId="urn:microsoft.com/office/officeart/2005/8/layout/hierarchy2"/>
    <dgm:cxn modelId="{B05D2CA2-ADFE-4D44-AE0C-ACDB6FFB63DD}" type="presOf" srcId="{A53DDA78-A4CA-42A6-88F0-B2EE63D5BBC3}" destId="{296D2367-B207-4179-8E28-6C64DAA3356A}" srcOrd="0" destOrd="0" presId="urn:microsoft.com/office/officeart/2005/8/layout/hierarchy2"/>
    <dgm:cxn modelId="{DB5E8899-8C96-4E87-A6FC-79B4E7A1BA3F}" type="presOf" srcId="{67FB07F8-4CC0-4350-81C8-5A51008745AF}" destId="{66105139-1556-4C9E-9C7A-2FA358840B22}" srcOrd="0" destOrd="0" presId="urn:microsoft.com/office/officeart/2005/8/layout/hierarchy2"/>
    <dgm:cxn modelId="{F9F2C2B3-B94F-477B-B8E3-192F1954CFBB}" type="presOf" srcId="{C4DD29DD-9A3D-4D54-ADAF-125D96BC1E7F}" destId="{259F8163-5BD1-4A08-B25D-97152879B66E}" srcOrd="0" destOrd="0" presId="urn:microsoft.com/office/officeart/2005/8/layout/hierarchy2"/>
    <dgm:cxn modelId="{AF0D46A8-E219-4CB6-90AC-E3155D932B8E}" type="presOf" srcId="{24E6DD3E-140F-4371-8311-F5D8941196A0}" destId="{C2E93394-6A1F-4686-903E-FA10CEBF45F3}" srcOrd="0" destOrd="0" presId="urn:microsoft.com/office/officeart/2005/8/layout/hierarchy2"/>
    <dgm:cxn modelId="{DEE5A67F-1496-4D76-9E30-3BFF2045AA77}" type="presOf" srcId="{44188023-E195-4CA9-8A3F-33EBB4DBAA01}" destId="{A8927322-660E-447D-818A-4B7C1FFF229B}" srcOrd="0" destOrd="0" presId="urn:microsoft.com/office/officeart/2005/8/layout/hierarchy2"/>
    <dgm:cxn modelId="{DE259144-BB43-4817-9755-5D75D096E6AF}" srcId="{FF11FF6C-DC54-4DB7-A9F6-310B968A3807}" destId="{7042F62E-6F07-4495-9DC6-B28B0330ED44}" srcOrd="0" destOrd="0" parTransId="{481ED3B2-77C3-41F3-A768-70A2306AAB95}" sibTransId="{B244928C-574F-43D9-8232-EF95CC5AA741}"/>
    <dgm:cxn modelId="{226997E2-D4D5-4BB7-A01A-625F1A6DEB7E}" type="presOf" srcId="{2982085B-857A-407F-9A32-1D8613ECBECB}" destId="{7089C4E5-0EFA-4B3E-B397-0BF13D86BF70}" srcOrd="0" destOrd="0" presId="urn:microsoft.com/office/officeart/2005/8/layout/hierarchy2"/>
    <dgm:cxn modelId="{A2B94DAD-DC19-4FB3-9C88-0078C3669001}" srcId="{E6CB07F1-82A3-4E5E-98C7-BDB05E59D1B3}" destId="{C4DD29DD-9A3D-4D54-ADAF-125D96BC1E7F}" srcOrd="0" destOrd="0" parTransId="{1C379EF7-DE00-45AD-BD05-89DC562F26C0}" sibTransId="{BFF6046E-B979-4D75-A82B-671F513102D1}"/>
    <dgm:cxn modelId="{5C7658E7-E631-4EAB-982B-9EC2E9E8A736}" type="presOf" srcId="{E6CB07F1-82A3-4E5E-98C7-BDB05E59D1B3}" destId="{01A6921B-09FE-43C3-B730-8EF917C0B8C7}" srcOrd="0" destOrd="0" presId="urn:microsoft.com/office/officeart/2005/8/layout/hierarchy2"/>
    <dgm:cxn modelId="{0663861D-D1FC-4AAA-ACE5-A336BD0107C4}" srcId="{FF11FF6C-DC54-4DB7-A9F6-310B968A3807}" destId="{9E846F2D-C706-4DB9-B3D3-D3F92295F106}" srcOrd="1" destOrd="0" parTransId="{B0DDA855-349A-4582-9ADA-CE212B2AA1F6}" sibTransId="{5E988D6B-44D2-4D96-80B7-8F5B505833DB}"/>
    <dgm:cxn modelId="{EA15416D-096B-4EB1-81E0-50B12A7C098D}" type="presOf" srcId="{AAF1132C-8255-4168-AAA7-E08BA67115DB}" destId="{99A47BA5-DFF0-4F24-BB8B-8F8F7955111D}" srcOrd="0" destOrd="0" presId="urn:microsoft.com/office/officeart/2005/8/layout/hierarchy2"/>
    <dgm:cxn modelId="{2B8C1883-BF45-496F-A7C8-F1EA180D036D}" type="presOf" srcId="{ACD80297-B41A-4B5D-9D8A-A69AC2F9CDFF}" destId="{5F02DC2F-02AE-4EBA-8421-3C7AA7E8428D}" srcOrd="0" destOrd="0" presId="urn:microsoft.com/office/officeart/2005/8/layout/hierarchy2"/>
    <dgm:cxn modelId="{7E0C20BA-AB41-43CD-9406-6946F2359F10}" type="presOf" srcId="{EECD7A6E-DCDE-49D2-AF39-E47816458F77}" destId="{7F5AB3F0-8F59-4F0A-AAFE-0283001E52F5}" srcOrd="1" destOrd="0" presId="urn:microsoft.com/office/officeart/2005/8/layout/hierarchy2"/>
    <dgm:cxn modelId="{930DCE01-CEAB-4153-8424-5DA52792D9F6}" srcId="{85C4F998-0A9E-479A-BB5D-E29339EFE72F}" destId="{3A30BE26-9E78-4F39-87FB-2D544BF8D3A4}" srcOrd="3" destOrd="0" parTransId="{2E7F5A1F-59BF-487C-B865-9EA478D0F0F0}" sibTransId="{4C0984AD-37DF-480C-AAB8-AD39F591A90D}"/>
    <dgm:cxn modelId="{6EEFAA4E-DB75-42D0-8DF9-58BA95D9536E}" type="presOf" srcId="{8FFD71D4-5610-4787-810B-3927CE2B465F}" destId="{BA5C5691-108F-4F8E-AD19-7C96A90DB79D}" srcOrd="0" destOrd="0" presId="urn:microsoft.com/office/officeart/2005/8/layout/hierarchy2"/>
    <dgm:cxn modelId="{341450E0-C369-4826-96F9-F5EEA12282D3}" type="presOf" srcId="{7042F62E-6F07-4495-9DC6-B28B0330ED44}" destId="{6AEA69CB-3D4F-416E-9002-168077167D30}" srcOrd="0" destOrd="0" presId="urn:microsoft.com/office/officeart/2005/8/layout/hierarchy2"/>
    <dgm:cxn modelId="{F9412581-8899-4DC9-9787-8502ED57B09A}" type="presOf" srcId="{0E64FFF5-3B3B-4AB7-B48D-991EFAAE4135}" destId="{6CC47B52-E5A5-4AF4-997E-C8D29BBA853E}" srcOrd="0" destOrd="0" presId="urn:microsoft.com/office/officeart/2005/8/layout/hierarchy2"/>
    <dgm:cxn modelId="{D6F4BC6D-A204-477A-8534-991B73A7B16F}" srcId="{67FB07F8-4CC0-4350-81C8-5A51008745AF}" destId="{4FC09707-0D08-4948-A5F8-45C9A6736791}" srcOrd="0" destOrd="0" parTransId="{F2897B6B-4103-4D21-A1A9-A8A8619EE1C6}" sibTransId="{38CCE2E4-EC40-448E-B2BA-1CA23BFF5102}"/>
    <dgm:cxn modelId="{5D81FDCD-EECF-4194-A8E2-C082365113BB}" type="presOf" srcId="{8BECFF2D-CCF2-475B-8A2F-17C3ECE0F698}" destId="{0058EDCB-10E0-471D-A8F4-91C63A1F5E50}" srcOrd="1" destOrd="0" presId="urn:microsoft.com/office/officeart/2005/8/layout/hierarchy2"/>
    <dgm:cxn modelId="{892A1EEF-FC9C-4B4C-8A09-79971A7B4C4D}" srcId="{8FFD71D4-5610-4787-810B-3927CE2B465F}" destId="{AAF1132C-8255-4168-AAA7-E08BA67115DB}" srcOrd="1" destOrd="0" parTransId="{2982085B-857A-407F-9A32-1D8613ECBECB}" sibTransId="{11DC5D43-A398-443E-8EEB-4C19B6D6EF3C}"/>
    <dgm:cxn modelId="{1ED7045D-E6DB-4960-8A8E-C45CA15E9857}" type="presOf" srcId="{22676B6B-82AE-4F6C-820A-403658440B78}" destId="{304D0AFD-513D-4F94-9B04-DC79F9777352}" srcOrd="1" destOrd="0" presId="urn:microsoft.com/office/officeart/2005/8/layout/hierarchy2"/>
    <dgm:cxn modelId="{D4EA18D0-499B-4E3E-BC45-DACC00643872}" type="presOf" srcId="{B0DDA855-349A-4582-9ADA-CE212B2AA1F6}" destId="{63CBE274-3C53-4962-879F-059AF89A823F}" srcOrd="0" destOrd="0" presId="urn:microsoft.com/office/officeart/2005/8/layout/hierarchy2"/>
    <dgm:cxn modelId="{06E62B10-8192-4B6D-B75E-68591946186D}" type="presOf" srcId="{FF11FF6C-DC54-4DB7-A9F6-310B968A3807}" destId="{B499CFBC-B7A6-4261-B0D1-9DEE3AB761D8}" srcOrd="0" destOrd="0" presId="urn:microsoft.com/office/officeart/2005/8/layout/hierarchy2"/>
    <dgm:cxn modelId="{1A5A24A4-8810-44C2-9B14-DF07C4B879DB}" type="presOf" srcId="{481ED3B2-77C3-41F3-A768-70A2306AAB95}" destId="{E9A643BC-3950-402D-A1DB-9D0390F62A69}" srcOrd="0" destOrd="0" presId="urn:microsoft.com/office/officeart/2005/8/layout/hierarchy2"/>
    <dgm:cxn modelId="{541AF9D3-0765-412E-B242-97AD17F194E9}" type="presOf" srcId="{9E846F2D-C706-4DB9-B3D3-D3F92295F106}" destId="{5B58FB8D-0CB0-4D19-81B3-DA720DEDB5DD}" srcOrd="0" destOrd="0" presId="urn:microsoft.com/office/officeart/2005/8/layout/hierarchy2"/>
    <dgm:cxn modelId="{90B7BCFF-8EF6-4DAD-88A5-4CE3C0AD2F83}" srcId="{3A30BE26-9E78-4F39-87FB-2D544BF8D3A4}" destId="{ACD80297-B41A-4B5D-9D8A-A69AC2F9CDFF}" srcOrd="0" destOrd="0" parTransId="{24E6DD3E-140F-4371-8311-F5D8941196A0}" sibTransId="{6FEDA8BF-3C88-430E-83EB-58BC46330D83}"/>
    <dgm:cxn modelId="{1EFDACF0-289E-4B86-911D-F076C8D38F35}" type="presOf" srcId="{0E64FFF5-3B3B-4AB7-B48D-991EFAAE4135}" destId="{C6B2986F-726A-49D4-B25C-699C527B9B87}" srcOrd="1" destOrd="0" presId="urn:microsoft.com/office/officeart/2005/8/layout/hierarchy2"/>
    <dgm:cxn modelId="{7826560F-A9DA-40C9-A373-29ED80A421AF}" type="presOf" srcId="{574BEE98-FE62-44A0-9620-4F3E9A17AABC}" destId="{3ADDDD50-ADDB-4E15-A02A-3A48A3D0129A}" srcOrd="1" destOrd="0" presId="urn:microsoft.com/office/officeart/2005/8/layout/hierarchy2"/>
    <dgm:cxn modelId="{FE175A44-D738-4707-9EC3-9E6F76A30E2E}" type="presOf" srcId="{8BECFF2D-CCF2-475B-8A2F-17C3ECE0F698}" destId="{090C934C-3F16-4328-B581-11A52EE728CA}" srcOrd="0" destOrd="0" presId="urn:microsoft.com/office/officeart/2005/8/layout/hierarchy2"/>
    <dgm:cxn modelId="{BCBC4760-616B-4E37-80E6-4D39D940C116}" type="presOf" srcId="{A92E9F93-76E8-4F8E-9637-5A17256F6449}" destId="{A1BD3E9B-EBEB-4F20-AAC8-D4448899D10E}" srcOrd="0" destOrd="0" presId="urn:microsoft.com/office/officeart/2005/8/layout/hierarchy2"/>
    <dgm:cxn modelId="{8F81FD6D-A7ED-4FB1-842B-CFC98B3154F4}" type="presOf" srcId="{2E7F5A1F-59BF-487C-B865-9EA478D0F0F0}" destId="{14CB38F4-2723-45FE-9425-1060DD3B8771}" srcOrd="0" destOrd="0" presId="urn:microsoft.com/office/officeart/2005/8/layout/hierarchy2"/>
    <dgm:cxn modelId="{4A8A1478-AA61-4DF2-87E0-4CCACC3DA2CA}" srcId="{C4DD29DD-9A3D-4D54-ADAF-125D96BC1E7F}" destId="{128218E5-56EA-4817-9795-F4E5466A0E89}" srcOrd="1" destOrd="0" parTransId="{62499365-830A-4E9B-8BA9-9BE729B000C9}" sibTransId="{B9C7E320-A910-4BA7-912C-290A3B2EE94E}"/>
    <dgm:cxn modelId="{F9823357-DC60-43AD-ADB9-8897B106B25D}" type="presOf" srcId="{471A05EB-2ADA-41DD-9A30-AA5394F83258}" destId="{CE1ADE7A-1520-4D34-8387-B0CF4CA473D2}" srcOrd="0" destOrd="0" presId="urn:microsoft.com/office/officeart/2005/8/layout/hierarchy2"/>
    <dgm:cxn modelId="{0B6299BF-7822-42A5-87E5-E8587519057D}" type="presOf" srcId="{550CD72D-CE3A-400A-85DF-3AF87A183AFB}" destId="{979019DD-F6D0-4989-9207-0F3AA8578D63}" srcOrd="0" destOrd="0" presId="urn:microsoft.com/office/officeart/2005/8/layout/hierarchy2"/>
    <dgm:cxn modelId="{562EA8FE-A142-4B44-8C0B-FC2EEEDF3653}" srcId="{FF11FF6C-DC54-4DB7-A9F6-310B968A3807}" destId="{A53DDA78-A4CA-42A6-88F0-B2EE63D5BBC3}" srcOrd="2" destOrd="0" parTransId="{64F76D5A-A41E-41FE-B05D-3D827631A0F2}" sibTransId="{D39737B5-A5F4-4024-BA5E-9DB4AE519BD2}"/>
    <dgm:cxn modelId="{68B839CD-CF68-4B50-B32F-DCCF1803BC68}" type="presOf" srcId="{481ED3B2-77C3-41F3-A768-70A2306AAB95}" destId="{FB87E9CC-D6C8-467C-84E6-D499A1F13373}" srcOrd="1" destOrd="0" presId="urn:microsoft.com/office/officeart/2005/8/layout/hierarchy2"/>
    <dgm:cxn modelId="{0692B275-C4E6-4AE6-8680-D4961A32FC42}" type="presOf" srcId="{3A30BE26-9E78-4F39-87FB-2D544BF8D3A4}" destId="{14ACBFEB-9126-46B8-99ED-4C7CAA6D7795}" srcOrd="0" destOrd="0" presId="urn:microsoft.com/office/officeart/2005/8/layout/hierarchy2"/>
    <dgm:cxn modelId="{98A1FCF0-DAB8-4067-AC87-F92303E423B8}" type="presOf" srcId="{128218E5-56EA-4817-9795-F4E5466A0E89}" destId="{8DA41A72-F84B-49F5-AFA8-DDF075C40E4D}" srcOrd="0" destOrd="0" presId="urn:microsoft.com/office/officeart/2005/8/layout/hierarchy2"/>
    <dgm:cxn modelId="{381C70CE-F119-45B1-A94A-9AD077716B36}" srcId="{52F47ACE-1294-4B3B-9E3E-F7F8F4566669}" destId="{550CD72D-CE3A-400A-85DF-3AF87A183AFB}" srcOrd="0" destOrd="0" parTransId="{574BEE98-FE62-44A0-9620-4F3E9A17AABC}" sibTransId="{95AF022D-8EF7-4D57-8F06-DB019F18C0D5}"/>
    <dgm:cxn modelId="{2B4EA4E9-BBC1-441D-8B40-E4BFC682D75E}" type="presOf" srcId="{F2897B6B-4103-4D21-A1A9-A8A8619EE1C6}" destId="{EE623411-9377-4F37-A783-3C02DA7BBC68}" srcOrd="0" destOrd="0" presId="urn:microsoft.com/office/officeart/2005/8/layout/hierarchy2"/>
    <dgm:cxn modelId="{D9EF6905-279F-4356-A634-51EE58DC0E8E}" type="presOf" srcId="{574BEE98-FE62-44A0-9620-4F3E9A17AABC}" destId="{9E58999F-B3F3-42E6-A9AD-2083C8F44B05}" srcOrd="0" destOrd="0" presId="urn:microsoft.com/office/officeart/2005/8/layout/hierarchy2"/>
    <dgm:cxn modelId="{7AAA7678-2730-45C9-8CB0-A787F5108F21}" type="presOf" srcId="{E0825042-5088-4DC5-89E9-FD7159A698FA}" destId="{8672F874-9488-4216-8046-3F3B2FEBC6B4}" srcOrd="0" destOrd="0" presId="urn:microsoft.com/office/officeart/2005/8/layout/hierarchy2"/>
    <dgm:cxn modelId="{46BCD80F-7AA5-4878-8B36-97C2BEC2CCA8}" type="presOf" srcId="{2E7F5A1F-59BF-487C-B865-9EA478D0F0F0}" destId="{A67D5E15-9C80-4887-87A0-20AABA8E3980}" srcOrd="1" destOrd="0" presId="urn:microsoft.com/office/officeart/2005/8/layout/hierarchy2"/>
    <dgm:cxn modelId="{7D2968F9-714F-4E77-8BAA-AB0410C23173}" srcId="{85C4F998-0A9E-479A-BB5D-E29339EFE72F}" destId="{8FFD71D4-5610-4787-810B-3927CE2B465F}" srcOrd="1" destOrd="0" parTransId="{3DCB375A-87B5-433F-84E1-6546C8918353}" sibTransId="{D4FDE9B9-178C-49B0-B90C-83030C1228E1}"/>
    <dgm:cxn modelId="{69062264-FED0-4322-AF59-B98DDF5552AD}" type="presOf" srcId="{B0DDA855-349A-4582-9ADA-CE212B2AA1F6}" destId="{3531558D-F456-49D2-8E23-B3E06FCB03CE}" srcOrd="1" destOrd="0" presId="urn:microsoft.com/office/officeart/2005/8/layout/hierarchy2"/>
    <dgm:cxn modelId="{96F8992C-EF2C-4EF0-AB66-1E6CA9321A00}" type="presOf" srcId="{D95506E0-434A-4681-95AD-6BB444C66BA6}" destId="{F2709631-9807-4872-AA3B-C0C0AFEEBE36}" srcOrd="0" destOrd="0" presId="urn:microsoft.com/office/officeart/2005/8/layout/hierarchy2"/>
    <dgm:cxn modelId="{00866D41-F35A-4DD6-B868-D97BC43D08BF}" type="presOf" srcId="{BB046D69-9FDA-492E-8E7E-315888947E3D}" destId="{570056DF-C907-44E7-8215-2A524A6ABF61}" srcOrd="0" destOrd="0" presId="urn:microsoft.com/office/officeart/2005/8/layout/hierarchy2"/>
    <dgm:cxn modelId="{9168B18B-2C9C-4A6D-AB6A-3B0BEB353EE4}" srcId="{44188023-E195-4CA9-8A3F-33EBB4DBAA01}" destId="{85C4F998-0A9E-479A-BB5D-E29339EFE72F}" srcOrd="0" destOrd="0" parTransId="{BA3D2103-FC6A-4663-BE78-9893D79A6BA3}" sibTransId="{8CE6007E-2091-4A11-BC19-3C5CDEB01E09}"/>
    <dgm:cxn modelId="{4DE1A248-30F3-4870-A708-CA1569070013}" type="presOf" srcId="{3DCB375A-87B5-433F-84E1-6546C8918353}" destId="{5261646A-D605-485E-AD64-96612127880E}" srcOrd="0" destOrd="0" presId="urn:microsoft.com/office/officeart/2005/8/layout/hierarchy2"/>
    <dgm:cxn modelId="{D284C0AB-D753-44F8-A67F-C0F5930ABADC}" type="presOf" srcId="{24E6DD3E-140F-4371-8311-F5D8941196A0}" destId="{FE9953CB-633F-4876-A9C8-FB7710352C19}" srcOrd="1" destOrd="0" presId="urn:microsoft.com/office/officeart/2005/8/layout/hierarchy2"/>
    <dgm:cxn modelId="{CDECE7D1-5CAB-4829-95BA-D2911033927D}" type="presOf" srcId="{A92E9F93-76E8-4F8E-9637-5A17256F6449}" destId="{0C051551-9339-4D3F-A57D-4BEF6183BCB0}" srcOrd="1" destOrd="0" presId="urn:microsoft.com/office/officeart/2005/8/layout/hierarchy2"/>
    <dgm:cxn modelId="{EEA5D99E-A0F9-4FBD-A9E3-0C2008DF4339}" type="presOf" srcId="{F2897B6B-4103-4D21-A1A9-A8A8619EE1C6}" destId="{50AA2475-4900-4C52-A3F8-743D1D482646}" srcOrd="1" destOrd="0" presId="urn:microsoft.com/office/officeart/2005/8/layout/hierarchy2"/>
    <dgm:cxn modelId="{2DB799A0-7992-4D4C-8B79-3896D04D5A5D}" srcId="{52F47ACE-1294-4B3B-9E3E-F7F8F4566669}" destId="{C9973C09-B367-4445-A10F-1F9FBA689306}" srcOrd="1" destOrd="0" parTransId="{BB046D69-9FDA-492E-8E7E-315888947E3D}" sibTransId="{C009A9A5-A085-45F0-8A7D-D4BE753B57B4}"/>
    <dgm:cxn modelId="{1A198444-C85A-41B6-B6E5-EDBA28F3DF6E}" srcId="{85C4F998-0A9E-479A-BB5D-E29339EFE72F}" destId="{E6CB07F1-82A3-4E5E-98C7-BDB05E59D1B3}" srcOrd="2" destOrd="0" parTransId="{22676B6B-82AE-4F6C-820A-403658440B78}" sibTransId="{FDA157F8-C5D7-46B5-A7CA-F9F3A920DFCA}"/>
    <dgm:cxn modelId="{76A27B82-3C06-4539-8D2F-0A02830F18F3}" type="presOf" srcId="{C9973C09-B367-4445-A10F-1F9FBA689306}" destId="{4E93D755-C230-411A-9F7B-70578142FE7A}" srcOrd="0" destOrd="0" presId="urn:microsoft.com/office/officeart/2005/8/layout/hierarchy2"/>
    <dgm:cxn modelId="{04B3D671-74BB-4464-8F33-335E46ECEC63}" type="presOf" srcId="{64F76D5A-A41E-41FE-B05D-3D827631A0F2}" destId="{922123AA-C59F-4600-B837-9A485262AC77}" srcOrd="1" destOrd="0" presId="urn:microsoft.com/office/officeart/2005/8/layout/hierarchy2"/>
    <dgm:cxn modelId="{7B0FB5FB-B5E7-42F4-A6D6-63CD526469B9}" type="presOf" srcId="{4FC09707-0D08-4948-A5F8-45C9A6736791}" destId="{DDE7013C-38C9-4DDA-85AD-F2D40A3833D4}" srcOrd="0" destOrd="0" presId="urn:microsoft.com/office/officeart/2005/8/layout/hierarchy2"/>
    <dgm:cxn modelId="{7BACA937-0C6D-4F1A-B4B0-006E0B81C303}" srcId="{85C4F998-0A9E-479A-BB5D-E29339EFE72F}" destId="{67FB07F8-4CC0-4350-81C8-5A51008745AF}" srcOrd="0" destOrd="0" parTransId="{0E64FFF5-3B3B-4AB7-B48D-991EFAAE4135}" sibTransId="{69138220-02D8-456B-B6E9-4F57179D0287}"/>
    <dgm:cxn modelId="{64467663-30F8-4AAB-A6D1-EFDAF2800359}" type="presOf" srcId="{BB046D69-9FDA-492E-8E7E-315888947E3D}" destId="{7499AFE3-E753-44E4-BDEF-35007156F0E7}" srcOrd="1" destOrd="0" presId="urn:microsoft.com/office/officeart/2005/8/layout/hierarchy2"/>
    <dgm:cxn modelId="{6133A27E-468D-457D-B775-44AC8025EE71}" type="presParOf" srcId="{A8927322-660E-447D-818A-4B7C1FFF229B}" destId="{1106D936-2CE7-4407-B143-667D19C03C21}" srcOrd="0" destOrd="0" presId="urn:microsoft.com/office/officeart/2005/8/layout/hierarchy2"/>
    <dgm:cxn modelId="{95F23F0B-12E7-4330-AEAB-D725C80A4A8E}" type="presParOf" srcId="{1106D936-2CE7-4407-B143-667D19C03C21}" destId="{F5A32BB2-0B87-4433-B363-A3DE68A0D9A0}" srcOrd="0" destOrd="0" presId="urn:microsoft.com/office/officeart/2005/8/layout/hierarchy2"/>
    <dgm:cxn modelId="{CE3F7CBF-62B3-493C-991C-1EF53343CF40}" type="presParOf" srcId="{1106D936-2CE7-4407-B143-667D19C03C21}" destId="{1E12197F-4692-4F7D-9E77-265CA3E7A2F1}" srcOrd="1" destOrd="0" presId="urn:microsoft.com/office/officeart/2005/8/layout/hierarchy2"/>
    <dgm:cxn modelId="{4B28E7C8-8346-4ACD-9221-019DC3F33665}" type="presParOf" srcId="{1E12197F-4692-4F7D-9E77-265CA3E7A2F1}" destId="{6CC47B52-E5A5-4AF4-997E-C8D29BBA853E}" srcOrd="0" destOrd="0" presId="urn:microsoft.com/office/officeart/2005/8/layout/hierarchy2"/>
    <dgm:cxn modelId="{E3B508B3-1F29-46F2-981F-C73FB431722A}" type="presParOf" srcId="{6CC47B52-E5A5-4AF4-997E-C8D29BBA853E}" destId="{C6B2986F-726A-49D4-B25C-699C527B9B87}" srcOrd="0" destOrd="0" presId="urn:microsoft.com/office/officeart/2005/8/layout/hierarchy2"/>
    <dgm:cxn modelId="{271B7E96-0049-476B-9ADD-228038F02564}" type="presParOf" srcId="{1E12197F-4692-4F7D-9E77-265CA3E7A2F1}" destId="{C06254C9-840F-407A-8AB1-0A7ADE58BA12}" srcOrd="1" destOrd="0" presId="urn:microsoft.com/office/officeart/2005/8/layout/hierarchy2"/>
    <dgm:cxn modelId="{43E8C410-6810-4F4F-9BFB-01196A1852A8}" type="presParOf" srcId="{C06254C9-840F-407A-8AB1-0A7ADE58BA12}" destId="{66105139-1556-4C9E-9C7A-2FA358840B22}" srcOrd="0" destOrd="0" presId="urn:microsoft.com/office/officeart/2005/8/layout/hierarchy2"/>
    <dgm:cxn modelId="{B041BF68-6FED-43C2-BC58-62AE5C8477FE}" type="presParOf" srcId="{C06254C9-840F-407A-8AB1-0A7ADE58BA12}" destId="{988C840A-16BA-4D26-9D67-5CAFD97ECC9C}" srcOrd="1" destOrd="0" presId="urn:microsoft.com/office/officeart/2005/8/layout/hierarchy2"/>
    <dgm:cxn modelId="{CA73A482-AA94-43A1-8B3D-605D716E81F6}" type="presParOf" srcId="{988C840A-16BA-4D26-9D67-5CAFD97ECC9C}" destId="{EE623411-9377-4F37-A783-3C02DA7BBC68}" srcOrd="0" destOrd="0" presId="urn:microsoft.com/office/officeart/2005/8/layout/hierarchy2"/>
    <dgm:cxn modelId="{298DF3E1-03CC-4A15-8A7E-0BC75D285C75}" type="presParOf" srcId="{EE623411-9377-4F37-A783-3C02DA7BBC68}" destId="{50AA2475-4900-4C52-A3F8-743D1D482646}" srcOrd="0" destOrd="0" presId="urn:microsoft.com/office/officeart/2005/8/layout/hierarchy2"/>
    <dgm:cxn modelId="{4397A576-2128-4957-9E07-41939AA865CD}" type="presParOf" srcId="{988C840A-16BA-4D26-9D67-5CAFD97ECC9C}" destId="{162B55AC-D954-4B35-9FEE-348D1750C268}" srcOrd="1" destOrd="0" presId="urn:microsoft.com/office/officeart/2005/8/layout/hierarchy2"/>
    <dgm:cxn modelId="{BC397510-F805-424A-BABE-A64FE98585B4}" type="presParOf" srcId="{162B55AC-D954-4B35-9FEE-348D1750C268}" destId="{DDE7013C-38C9-4DDA-85AD-F2D40A3833D4}" srcOrd="0" destOrd="0" presId="urn:microsoft.com/office/officeart/2005/8/layout/hierarchy2"/>
    <dgm:cxn modelId="{EA83DB96-FEFE-41F3-B8BD-F5BD4D955783}" type="presParOf" srcId="{162B55AC-D954-4B35-9FEE-348D1750C268}" destId="{8A5D9907-8C8E-4D29-A4FB-B2AA588C3532}" srcOrd="1" destOrd="0" presId="urn:microsoft.com/office/officeart/2005/8/layout/hierarchy2"/>
    <dgm:cxn modelId="{519224FB-62A9-4580-BDED-4F4AE8B00DA4}" type="presParOf" srcId="{1E12197F-4692-4F7D-9E77-265CA3E7A2F1}" destId="{5261646A-D605-485E-AD64-96612127880E}" srcOrd="2" destOrd="0" presId="urn:microsoft.com/office/officeart/2005/8/layout/hierarchy2"/>
    <dgm:cxn modelId="{B3267E8F-5074-43F9-B20E-5E513CF93FFC}" type="presParOf" srcId="{5261646A-D605-485E-AD64-96612127880E}" destId="{A255698C-DE13-4E9E-A328-061EE2E9A3EC}" srcOrd="0" destOrd="0" presId="urn:microsoft.com/office/officeart/2005/8/layout/hierarchy2"/>
    <dgm:cxn modelId="{72FDD603-D763-4554-92D3-AB4DE23ECE01}" type="presParOf" srcId="{1E12197F-4692-4F7D-9E77-265CA3E7A2F1}" destId="{D136BA28-FF69-4369-B8AB-945F38EAC5B7}" srcOrd="3" destOrd="0" presId="urn:microsoft.com/office/officeart/2005/8/layout/hierarchy2"/>
    <dgm:cxn modelId="{120A0771-CA8D-4036-8EA3-0D376CA0D702}" type="presParOf" srcId="{D136BA28-FF69-4369-B8AB-945F38EAC5B7}" destId="{BA5C5691-108F-4F8E-AD19-7C96A90DB79D}" srcOrd="0" destOrd="0" presId="urn:microsoft.com/office/officeart/2005/8/layout/hierarchy2"/>
    <dgm:cxn modelId="{0CC6267C-C36A-4A3C-BEF0-1216D886EFC0}" type="presParOf" srcId="{D136BA28-FF69-4369-B8AB-945F38EAC5B7}" destId="{B88D5A0A-E191-4B12-8577-10D5C5DECE7D}" srcOrd="1" destOrd="0" presId="urn:microsoft.com/office/officeart/2005/8/layout/hierarchy2"/>
    <dgm:cxn modelId="{D57F5403-56E8-4A89-A1DF-A56CA6127A26}" type="presParOf" srcId="{B88D5A0A-E191-4B12-8577-10D5C5DECE7D}" destId="{A1BD3E9B-EBEB-4F20-AAC8-D4448899D10E}" srcOrd="0" destOrd="0" presId="urn:microsoft.com/office/officeart/2005/8/layout/hierarchy2"/>
    <dgm:cxn modelId="{BF74ED32-7183-44AB-9B13-942C2750ABFB}" type="presParOf" srcId="{A1BD3E9B-EBEB-4F20-AAC8-D4448899D10E}" destId="{0C051551-9339-4D3F-A57D-4BEF6183BCB0}" srcOrd="0" destOrd="0" presId="urn:microsoft.com/office/officeart/2005/8/layout/hierarchy2"/>
    <dgm:cxn modelId="{624F3172-2B55-4390-8847-6B406AD9536A}" type="presParOf" srcId="{B88D5A0A-E191-4B12-8577-10D5C5DECE7D}" destId="{8B977048-0353-4933-9101-AA90B3AABBD8}" srcOrd="1" destOrd="0" presId="urn:microsoft.com/office/officeart/2005/8/layout/hierarchy2"/>
    <dgm:cxn modelId="{538E7643-F0B9-4EA6-ACA0-68EA88893ABC}" type="presParOf" srcId="{8B977048-0353-4933-9101-AA90B3AABBD8}" destId="{B499CFBC-B7A6-4261-B0D1-9DEE3AB761D8}" srcOrd="0" destOrd="0" presId="urn:microsoft.com/office/officeart/2005/8/layout/hierarchy2"/>
    <dgm:cxn modelId="{C1CD882D-C5D0-473F-9552-4D44012279A2}" type="presParOf" srcId="{8B977048-0353-4933-9101-AA90B3AABBD8}" destId="{82CA5FC4-331F-4506-90DE-7212C8B7C048}" srcOrd="1" destOrd="0" presId="urn:microsoft.com/office/officeart/2005/8/layout/hierarchy2"/>
    <dgm:cxn modelId="{1B120EE6-30C8-4611-B527-55313B5820EC}" type="presParOf" srcId="{82CA5FC4-331F-4506-90DE-7212C8B7C048}" destId="{E9A643BC-3950-402D-A1DB-9D0390F62A69}" srcOrd="0" destOrd="0" presId="urn:microsoft.com/office/officeart/2005/8/layout/hierarchy2"/>
    <dgm:cxn modelId="{52633ACE-A4AA-4727-A8B5-D6660CD0A6E3}" type="presParOf" srcId="{E9A643BC-3950-402D-A1DB-9D0390F62A69}" destId="{FB87E9CC-D6C8-467C-84E6-D499A1F13373}" srcOrd="0" destOrd="0" presId="urn:microsoft.com/office/officeart/2005/8/layout/hierarchy2"/>
    <dgm:cxn modelId="{66C789C1-A514-49E9-9DD4-4B53F5865391}" type="presParOf" srcId="{82CA5FC4-331F-4506-90DE-7212C8B7C048}" destId="{4062C0F6-0C22-4503-95BB-A34F0007FF9D}" srcOrd="1" destOrd="0" presId="urn:microsoft.com/office/officeart/2005/8/layout/hierarchy2"/>
    <dgm:cxn modelId="{69032B90-71AB-4DCD-A8D3-827B6BCFA443}" type="presParOf" srcId="{4062C0F6-0C22-4503-95BB-A34F0007FF9D}" destId="{6AEA69CB-3D4F-416E-9002-168077167D30}" srcOrd="0" destOrd="0" presId="urn:microsoft.com/office/officeart/2005/8/layout/hierarchy2"/>
    <dgm:cxn modelId="{D7B95B49-6DCD-49AF-B3AC-1A8B205D5BE3}" type="presParOf" srcId="{4062C0F6-0C22-4503-95BB-A34F0007FF9D}" destId="{EF88ABB3-3AFE-4797-9AF3-A2240AF8CD08}" srcOrd="1" destOrd="0" presId="urn:microsoft.com/office/officeart/2005/8/layout/hierarchy2"/>
    <dgm:cxn modelId="{5738DCBC-C466-458E-80CE-9626BD3746FC}" type="presParOf" srcId="{82CA5FC4-331F-4506-90DE-7212C8B7C048}" destId="{63CBE274-3C53-4962-879F-059AF89A823F}" srcOrd="2" destOrd="0" presId="urn:microsoft.com/office/officeart/2005/8/layout/hierarchy2"/>
    <dgm:cxn modelId="{17122298-927C-4911-B525-F6DCFE78ED24}" type="presParOf" srcId="{63CBE274-3C53-4962-879F-059AF89A823F}" destId="{3531558D-F456-49D2-8E23-B3E06FCB03CE}" srcOrd="0" destOrd="0" presId="urn:microsoft.com/office/officeart/2005/8/layout/hierarchy2"/>
    <dgm:cxn modelId="{E1DFDD55-BBC2-476B-A9C9-8B54D4935BE3}" type="presParOf" srcId="{82CA5FC4-331F-4506-90DE-7212C8B7C048}" destId="{F84C9995-2801-4EA3-8DAD-B9539E4EF41C}" srcOrd="3" destOrd="0" presId="urn:microsoft.com/office/officeart/2005/8/layout/hierarchy2"/>
    <dgm:cxn modelId="{D5FF72A5-59B0-4EC1-BCED-55E70453AC25}" type="presParOf" srcId="{F84C9995-2801-4EA3-8DAD-B9539E4EF41C}" destId="{5B58FB8D-0CB0-4D19-81B3-DA720DEDB5DD}" srcOrd="0" destOrd="0" presId="urn:microsoft.com/office/officeart/2005/8/layout/hierarchy2"/>
    <dgm:cxn modelId="{67A38E93-4DD8-47A7-A85C-389030C15638}" type="presParOf" srcId="{F84C9995-2801-4EA3-8DAD-B9539E4EF41C}" destId="{01855D31-D6D7-4438-81A0-A9EEFCE49FC4}" srcOrd="1" destOrd="0" presId="urn:microsoft.com/office/officeart/2005/8/layout/hierarchy2"/>
    <dgm:cxn modelId="{1DBC98EE-3078-4E54-879F-65440804742E}" type="presParOf" srcId="{82CA5FC4-331F-4506-90DE-7212C8B7C048}" destId="{802C5C9E-BEDE-4BC6-B5A3-C3D3A4F6B90C}" srcOrd="4" destOrd="0" presId="urn:microsoft.com/office/officeart/2005/8/layout/hierarchy2"/>
    <dgm:cxn modelId="{4F20A75D-EE61-4004-9ADD-4923B1A9098B}" type="presParOf" srcId="{802C5C9E-BEDE-4BC6-B5A3-C3D3A4F6B90C}" destId="{922123AA-C59F-4600-B837-9A485262AC77}" srcOrd="0" destOrd="0" presId="urn:microsoft.com/office/officeart/2005/8/layout/hierarchy2"/>
    <dgm:cxn modelId="{83EF9AEA-D0AD-4FA4-860E-9256A8B695AD}" type="presParOf" srcId="{82CA5FC4-331F-4506-90DE-7212C8B7C048}" destId="{BD45CB75-17B5-4D78-9301-61B6F600AB6A}" srcOrd="5" destOrd="0" presId="urn:microsoft.com/office/officeart/2005/8/layout/hierarchy2"/>
    <dgm:cxn modelId="{4C6CA6FD-A277-46EE-85B8-C79B42AEB83B}" type="presParOf" srcId="{BD45CB75-17B5-4D78-9301-61B6F600AB6A}" destId="{296D2367-B207-4179-8E28-6C64DAA3356A}" srcOrd="0" destOrd="0" presId="urn:microsoft.com/office/officeart/2005/8/layout/hierarchy2"/>
    <dgm:cxn modelId="{2F4EB399-82CD-4AB8-A4C2-D5CE918A894A}" type="presParOf" srcId="{BD45CB75-17B5-4D78-9301-61B6F600AB6A}" destId="{ADB0A15B-A7A6-4907-B72C-81878DBA3C27}" srcOrd="1" destOrd="0" presId="urn:microsoft.com/office/officeart/2005/8/layout/hierarchy2"/>
    <dgm:cxn modelId="{4E266E4E-16CB-462E-A02F-2AE5093B1926}" type="presParOf" srcId="{B88D5A0A-E191-4B12-8577-10D5C5DECE7D}" destId="{7089C4E5-0EFA-4B3E-B397-0BF13D86BF70}" srcOrd="2" destOrd="0" presId="urn:microsoft.com/office/officeart/2005/8/layout/hierarchy2"/>
    <dgm:cxn modelId="{6E8DCF84-F37D-4441-9FB9-19EF932D38EC}" type="presParOf" srcId="{7089C4E5-0EFA-4B3E-B397-0BF13D86BF70}" destId="{93AC9056-0F10-49F7-830E-BCA84D2192D6}" srcOrd="0" destOrd="0" presId="urn:microsoft.com/office/officeart/2005/8/layout/hierarchy2"/>
    <dgm:cxn modelId="{08987DFF-E059-49A1-9830-DE1D1023E279}" type="presParOf" srcId="{B88D5A0A-E191-4B12-8577-10D5C5DECE7D}" destId="{AFE218E2-B950-496F-8310-B48119AD8F11}" srcOrd="3" destOrd="0" presId="urn:microsoft.com/office/officeart/2005/8/layout/hierarchy2"/>
    <dgm:cxn modelId="{6679BB04-1D10-4489-B502-25E1F0999F46}" type="presParOf" srcId="{AFE218E2-B950-496F-8310-B48119AD8F11}" destId="{99A47BA5-DFF0-4F24-BB8B-8F8F7955111D}" srcOrd="0" destOrd="0" presId="urn:microsoft.com/office/officeart/2005/8/layout/hierarchy2"/>
    <dgm:cxn modelId="{DF4A39C6-92BE-4548-8802-7E9149E44F60}" type="presParOf" srcId="{AFE218E2-B950-496F-8310-B48119AD8F11}" destId="{ECE402D2-59EF-40FF-9E00-6D184892D9B4}" srcOrd="1" destOrd="0" presId="urn:microsoft.com/office/officeart/2005/8/layout/hierarchy2"/>
    <dgm:cxn modelId="{68253A4A-EAC4-4801-A1D5-9874EFB5391E}" type="presParOf" srcId="{ECE402D2-59EF-40FF-9E00-6D184892D9B4}" destId="{8672F874-9488-4216-8046-3F3B2FEBC6B4}" srcOrd="0" destOrd="0" presId="urn:microsoft.com/office/officeart/2005/8/layout/hierarchy2"/>
    <dgm:cxn modelId="{1EBC79EF-979C-402B-91D6-443D19E63D0C}" type="presParOf" srcId="{8672F874-9488-4216-8046-3F3B2FEBC6B4}" destId="{2A433035-5F32-4047-99BF-1942103D66FE}" srcOrd="0" destOrd="0" presId="urn:microsoft.com/office/officeart/2005/8/layout/hierarchy2"/>
    <dgm:cxn modelId="{F1E19D1E-0118-4986-A86B-9B44222D5184}" type="presParOf" srcId="{ECE402D2-59EF-40FF-9E00-6D184892D9B4}" destId="{E66670AD-5498-4B3D-9CA5-96571867AC3C}" srcOrd="1" destOrd="0" presId="urn:microsoft.com/office/officeart/2005/8/layout/hierarchy2"/>
    <dgm:cxn modelId="{A9398009-6DC3-432F-90B6-B3754E350464}" type="presParOf" srcId="{E66670AD-5498-4B3D-9CA5-96571867AC3C}" destId="{F2709631-9807-4872-AA3B-C0C0AFEEBE36}" srcOrd="0" destOrd="0" presId="urn:microsoft.com/office/officeart/2005/8/layout/hierarchy2"/>
    <dgm:cxn modelId="{B9B17142-2903-47F2-925B-19FC452032FC}" type="presParOf" srcId="{E66670AD-5498-4B3D-9CA5-96571867AC3C}" destId="{5367CCF2-ECAB-4C04-8328-230B9BAE0BB8}" srcOrd="1" destOrd="0" presId="urn:microsoft.com/office/officeart/2005/8/layout/hierarchy2"/>
    <dgm:cxn modelId="{B7FA33E7-A8B7-4455-8B11-6849CB45390C}" type="presParOf" srcId="{1E12197F-4692-4F7D-9E77-265CA3E7A2F1}" destId="{C874335B-C80C-4882-BF8E-359A8D38DC37}" srcOrd="4" destOrd="0" presId="urn:microsoft.com/office/officeart/2005/8/layout/hierarchy2"/>
    <dgm:cxn modelId="{D9FD34CD-D736-4E7A-BEEE-DE54CC0F9F19}" type="presParOf" srcId="{C874335B-C80C-4882-BF8E-359A8D38DC37}" destId="{304D0AFD-513D-4F94-9B04-DC79F9777352}" srcOrd="0" destOrd="0" presId="urn:microsoft.com/office/officeart/2005/8/layout/hierarchy2"/>
    <dgm:cxn modelId="{45DE29C7-E0A0-4E01-97D9-18A006D12D94}" type="presParOf" srcId="{1E12197F-4692-4F7D-9E77-265CA3E7A2F1}" destId="{958667C6-C0C2-4A7C-96D5-937B6CFB0690}" srcOrd="5" destOrd="0" presId="urn:microsoft.com/office/officeart/2005/8/layout/hierarchy2"/>
    <dgm:cxn modelId="{368403CC-20D5-45F4-9448-8D662C3F5463}" type="presParOf" srcId="{958667C6-C0C2-4A7C-96D5-937B6CFB0690}" destId="{01A6921B-09FE-43C3-B730-8EF917C0B8C7}" srcOrd="0" destOrd="0" presId="urn:microsoft.com/office/officeart/2005/8/layout/hierarchy2"/>
    <dgm:cxn modelId="{46670407-9DDE-4F6D-98C9-8468A52363A2}" type="presParOf" srcId="{958667C6-C0C2-4A7C-96D5-937B6CFB0690}" destId="{815A674E-F575-4808-B0B5-3497827EA590}" srcOrd="1" destOrd="0" presId="urn:microsoft.com/office/officeart/2005/8/layout/hierarchy2"/>
    <dgm:cxn modelId="{5CA70967-1DF0-46D8-B8C6-E50F19704C19}" type="presParOf" srcId="{815A674E-F575-4808-B0B5-3497827EA590}" destId="{921BA1B0-B029-49EC-95C3-982F5B6E8058}" srcOrd="0" destOrd="0" presId="urn:microsoft.com/office/officeart/2005/8/layout/hierarchy2"/>
    <dgm:cxn modelId="{1BC02589-7FC6-4B96-8FD9-D47EDFF89870}" type="presParOf" srcId="{921BA1B0-B029-49EC-95C3-982F5B6E8058}" destId="{8F9AB7A6-F57D-4E63-B000-F6F60725FD37}" srcOrd="0" destOrd="0" presId="urn:microsoft.com/office/officeart/2005/8/layout/hierarchy2"/>
    <dgm:cxn modelId="{0339F36C-61C7-4A84-BA5C-F87AA1537D3C}" type="presParOf" srcId="{815A674E-F575-4808-B0B5-3497827EA590}" destId="{8A9760B2-528F-44DD-8341-C29B9B59E6EF}" srcOrd="1" destOrd="0" presId="urn:microsoft.com/office/officeart/2005/8/layout/hierarchy2"/>
    <dgm:cxn modelId="{C6E16F65-D993-4C95-A2F1-14FCA58D9C03}" type="presParOf" srcId="{8A9760B2-528F-44DD-8341-C29B9B59E6EF}" destId="{259F8163-5BD1-4A08-B25D-97152879B66E}" srcOrd="0" destOrd="0" presId="urn:microsoft.com/office/officeart/2005/8/layout/hierarchy2"/>
    <dgm:cxn modelId="{7542796E-93E0-481D-A8C1-2B6D64481674}" type="presParOf" srcId="{8A9760B2-528F-44DD-8341-C29B9B59E6EF}" destId="{6F039902-9B80-4C61-AA6B-A8DF5EEBD27B}" srcOrd="1" destOrd="0" presId="urn:microsoft.com/office/officeart/2005/8/layout/hierarchy2"/>
    <dgm:cxn modelId="{81746A0E-041A-4F5A-BC94-6E1973153920}" type="presParOf" srcId="{6F039902-9B80-4C61-AA6B-A8DF5EEBD27B}" destId="{931B7E7D-AE46-49C8-AC15-32D87558B92C}" srcOrd="0" destOrd="0" presId="urn:microsoft.com/office/officeart/2005/8/layout/hierarchy2"/>
    <dgm:cxn modelId="{FE78F147-F9BD-4414-A0AA-347E29CAAD47}" type="presParOf" srcId="{931B7E7D-AE46-49C8-AC15-32D87558B92C}" destId="{7F5AB3F0-8F59-4F0A-AAFE-0283001E52F5}" srcOrd="0" destOrd="0" presId="urn:microsoft.com/office/officeart/2005/8/layout/hierarchy2"/>
    <dgm:cxn modelId="{2C9DB56A-418C-4B13-AD10-7C3A0E472E6D}" type="presParOf" srcId="{6F039902-9B80-4C61-AA6B-A8DF5EEBD27B}" destId="{EEBF73BE-1635-4895-844D-335B508C0D6B}" srcOrd="1" destOrd="0" presId="urn:microsoft.com/office/officeart/2005/8/layout/hierarchy2"/>
    <dgm:cxn modelId="{2B282D45-E3A8-416D-98CE-93C989906470}" type="presParOf" srcId="{EEBF73BE-1635-4895-844D-335B508C0D6B}" destId="{CE1ADE7A-1520-4D34-8387-B0CF4CA473D2}" srcOrd="0" destOrd="0" presId="urn:microsoft.com/office/officeart/2005/8/layout/hierarchy2"/>
    <dgm:cxn modelId="{CE2E8F13-03AE-4B94-8800-3AA760F2523D}" type="presParOf" srcId="{EEBF73BE-1635-4895-844D-335B508C0D6B}" destId="{7D76C97F-418B-4FDE-8242-2733AA932159}" srcOrd="1" destOrd="0" presId="urn:microsoft.com/office/officeart/2005/8/layout/hierarchy2"/>
    <dgm:cxn modelId="{CB026C30-B60D-4EF7-83D4-ABA097A098D8}" type="presParOf" srcId="{6F039902-9B80-4C61-AA6B-A8DF5EEBD27B}" destId="{D04F1DA5-2C62-4BF3-86D4-977C4DC4D66C}" srcOrd="2" destOrd="0" presId="urn:microsoft.com/office/officeart/2005/8/layout/hierarchy2"/>
    <dgm:cxn modelId="{962BBC57-3442-4611-8ECA-5209C87B592B}" type="presParOf" srcId="{D04F1DA5-2C62-4BF3-86D4-977C4DC4D66C}" destId="{2C976AC0-7691-4823-B033-5E1DA9060295}" srcOrd="0" destOrd="0" presId="urn:microsoft.com/office/officeart/2005/8/layout/hierarchy2"/>
    <dgm:cxn modelId="{594D8F91-9716-4863-BB95-13B582E29D0B}" type="presParOf" srcId="{6F039902-9B80-4C61-AA6B-A8DF5EEBD27B}" destId="{24200B8B-A683-42EB-9187-FE3A6D52BB84}" srcOrd="3" destOrd="0" presId="urn:microsoft.com/office/officeart/2005/8/layout/hierarchy2"/>
    <dgm:cxn modelId="{DD1EE18B-834C-4FB5-ACDD-72E402B3E77F}" type="presParOf" srcId="{24200B8B-A683-42EB-9187-FE3A6D52BB84}" destId="{8DA41A72-F84B-49F5-AFA8-DDF075C40E4D}" srcOrd="0" destOrd="0" presId="urn:microsoft.com/office/officeart/2005/8/layout/hierarchy2"/>
    <dgm:cxn modelId="{7DD68CD5-FA68-4246-B478-2918EE0C3422}" type="presParOf" srcId="{24200B8B-A683-42EB-9187-FE3A6D52BB84}" destId="{7A0CDB63-7241-4A57-BD44-068A9256AEA0}" srcOrd="1" destOrd="0" presId="urn:microsoft.com/office/officeart/2005/8/layout/hierarchy2"/>
    <dgm:cxn modelId="{CA24D668-0BB4-4B5C-A68C-F3BCF407499C}" type="presParOf" srcId="{1E12197F-4692-4F7D-9E77-265CA3E7A2F1}" destId="{14CB38F4-2723-45FE-9425-1060DD3B8771}" srcOrd="6" destOrd="0" presId="urn:microsoft.com/office/officeart/2005/8/layout/hierarchy2"/>
    <dgm:cxn modelId="{5D372E62-E474-494B-BF76-C2AFA7FB7136}" type="presParOf" srcId="{14CB38F4-2723-45FE-9425-1060DD3B8771}" destId="{A67D5E15-9C80-4887-87A0-20AABA8E3980}" srcOrd="0" destOrd="0" presId="urn:microsoft.com/office/officeart/2005/8/layout/hierarchy2"/>
    <dgm:cxn modelId="{5F599E18-9F52-4D83-B169-4633CA69B345}" type="presParOf" srcId="{1E12197F-4692-4F7D-9E77-265CA3E7A2F1}" destId="{9C527A55-77EC-4383-AC81-2EF13B99E578}" srcOrd="7" destOrd="0" presId="urn:microsoft.com/office/officeart/2005/8/layout/hierarchy2"/>
    <dgm:cxn modelId="{1A240847-B5D0-40A6-8B77-A1317506D1B8}" type="presParOf" srcId="{9C527A55-77EC-4383-AC81-2EF13B99E578}" destId="{14ACBFEB-9126-46B8-99ED-4C7CAA6D7795}" srcOrd="0" destOrd="0" presId="urn:microsoft.com/office/officeart/2005/8/layout/hierarchy2"/>
    <dgm:cxn modelId="{EF3B005F-9547-4206-AC59-93C95E17C9B5}" type="presParOf" srcId="{9C527A55-77EC-4383-AC81-2EF13B99E578}" destId="{F65777A5-682D-404C-865B-5D8BB76FC01F}" srcOrd="1" destOrd="0" presId="urn:microsoft.com/office/officeart/2005/8/layout/hierarchy2"/>
    <dgm:cxn modelId="{6154B4BE-451E-4627-8A76-B86CA9A66A64}" type="presParOf" srcId="{F65777A5-682D-404C-865B-5D8BB76FC01F}" destId="{C2E93394-6A1F-4686-903E-FA10CEBF45F3}" srcOrd="0" destOrd="0" presId="urn:microsoft.com/office/officeart/2005/8/layout/hierarchy2"/>
    <dgm:cxn modelId="{C137F26D-E4E8-40A1-A186-404FD7B51BB7}" type="presParOf" srcId="{C2E93394-6A1F-4686-903E-FA10CEBF45F3}" destId="{FE9953CB-633F-4876-A9C8-FB7710352C19}" srcOrd="0" destOrd="0" presId="urn:microsoft.com/office/officeart/2005/8/layout/hierarchy2"/>
    <dgm:cxn modelId="{A62B5997-2149-4143-95FF-7542ED5E25FF}" type="presParOf" srcId="{F65777A5-682D-404C-865B-5D8BB76FC01F}" destId="{8852766C-4CD4-429F-AB01-172472648F9D}" srcOrd="1" destOrd="0" presId="urn:microsoft.com/office/officeart/2005/8/layout/hierarchy2"/>
    <dgm:cxn modelId="{F6D90EDC-3D55-4C1B-ABBC-8D819863D702}" type="presParOf" srcId="{8852766C-4CD4-429F-AB01-172472648F9D}" destId="{5F02DC2F-02AE-4EBA-8421-3C7AA7E8428D}" srcOrd="0" destOrd="0" presId="urn:microsoft.com/office/officeart/2005/8/layout/hierarchy2"/>
    <dgm:cxn modelId="{5C21488C-AB20-476B-B056-CE0B18F6BE46}" type="presParOf" srcId="{8852766C-4CD4-429F-AB01-172472648F9D}" destId="{7C884CDC-F51F-414E-9962-2B8BF6656669}" srcOrd="1" destOrd="0" presId="urn:microsoft.com/office/officeart/2005/8/layout/hierarchy2"/>
    <dgm:cxn modelId="{0A3CC1D8-E31D-4812-8075-5662D59E62D0}" type="presParOf" srcId="{1E12197F-4692-4F7D-9E77-265CA3E7A2F1}" destId="{090C934C-3F16-4328-B581-11A52EE728CA}" srcOrd="8" destOrd="0" presId="urn:microsoft.com/office/officeart/2005/8/layout/hierarchy2"/>
    <dgm:cxn modelId="{F71F13E3-1513-436A-8C95-D817256905FD}" type="presParOf" srcId="{090C934C-3F16-4328-B581-11A52EE728CA}" destId="{0058EDCB-10E0-471D-A8F4-91C63A1F5E50}" srcOrd="0" destOrd="0" presId="urn:microsoft.com/office/officeart/2005/8/layout/hierarchy2"/>
    <dgm:cxn modelId="{648AE11B-7797-48A2-8A93-9D7B007A74A3}" type="presParOf" srcId="{1E12197F-4692-4F7D-9E77-265CA3E7A2F1}" destId="{A218DBF8-5A93-435F-9145-6A2529B7EE08}" srcOrd="9" destOrd="0" presId="urn:microsoft.com/office/officeart/2005/8/layout/hierarchy2"/>
    <dgm:cxn modelId="{C4C253BC-D290-441E-918E-7861B69C285F}" type="presParOf" srcId="{A218DBF8-5A93-435F-9145-6A2529B7EE08}" destId="{12979CEC-A047-42E0-AFEB-29DD40CA62B3}" srcOrd="0" destOrd="0" presId="urn:microsoft.com/office/officeart/2005/8/layout/hierarchy2"/>
    <dgm:cxn modelId="{816FC463-884C-4D0B-9015-D54B1DCFF230}" type="presParOf" srcId="{A218DBF8-5A93-435F-9145-6A2529B7EE08}" destId="{B17BC8B8-B62E-4EFC-8055-A6038ABE9601}" srcOrd="1" destOrd="0" presId="urn:microsoft.com/office/officeart/2005/8/layout/hierarchy2"/>
    <dgm:cxn modelId="{46F3E0BE-B91B-4FCA-A133-5CFCF0E66FFC}" type="presParOf" srcId="{B17BC8B8-B62E-4EFC-8055-A6038ABE9601}" destId="{9E58999F-B3F3-42E6-A9AD-2083C8F44B05}" srcOrd="0" destOrd="0" presId="urn:microsoft.com/office/officeart/2005/8/layout/hierarchy2"/>
    <dgm:cxn modelId="{0EAB7106-6B4D-48B1-A7D4-A796D3918F61}" type="presParOf" srcId="{9E58999F-B3F3-42E6-A9AD-2083C8F44B05}" destId="{3ADDDD50-ADDB-4E15-A02A-3A48A3D0129A}" srcOrd="0" destOrd="0" presId="urn:microsoft.com/office/officeart/2005/8/layout/hierarchy2"/>
    <dgm:cxn modelId="{54DD5852-BF3F-4DC7-81D2-BD0E3E79C75D}" type="presParOf" srcId="{B17BC8B8-B62E-4EFC-8055-A6038ABE9601}" destId="{8E1FD1EF-DC81-4D58-AF60-DB1E39438A98}" srcOrd="1" destOrd="0" presId="urn:microsoft.com/office/officeart/2005/8/layout/hierarchy2"/>
    <dgm:cxn modelId="{60DD676D-8145-47CE-A2A9-2040F23A02F9}" type="presParOf" srcId="{8E1FD1EF-DC81-4D58-AF60-DB1E39438A98}" destId="{979019DD-F6D0-4989-9207-0F3AA8578D63}" srcOrd="0" destOrd="0" presId="urn:microsoft.com/office/officeart/2005/8/layout/hierarchy2"/>
    <dgm:cxn modelId="{22C9DD2D-8CBF-4D9C-B891-AF5BB81D7AEA}" type="presParOf" srcId="{8E1FD1EF-DC81-4D58-AF60-DB1E39438A98}" destId="{732E55ED-7DA4-4DE4-8AF3-BE658ADEDDEF}" srcOrd="1" destOrd="0" presId="urn:microsoft.com/office/officeart/2005/8/layout/hierarchy2"/>
    <dgm:cxn modelId="{46B9A804-6B49-4540-B89C-237ECF81C270}" type="presParOf" srcId="{B17BC8B8-B62E-4EFC-8055-A6038ABE9601}" destId="{570056DF-C907-44E7-8215-2A524A6ABF61}" srcOrd="2" destOrd="0" presId="urn:microsoft.com/office/officeart/2005/8/layout/hierarchy2"/>
    <dgm:cxn modelId="{A7984304-FECB-4570-9203-FDF32B56D251}" type="presParOf" srcId="{570056DF-C907-44E7-8215-2A524A6ABF61}" destId="{7499AFE3-E753-44E4-BDEF-35007156F0E7}" srcOrd="0" destOrd="0" presId="urn:microsoft.com/office/officeart/2005/8/layout/hierarchy2"/>
    <dgm:cxn modelId="{6DC69E12-5211-4548-966B-5E62B2107DD0}" type="presParOf" srcId="{B17BC8B8-B62E-4EFC-8055-A6038ABE9601}" destId="{B46D9800-C158-4A67-884F-C80AB40A8D2E}" srcOrd="3" destOrd="0" presId="urn:microsoft.com/office/officeart/2005/8/layout/hierarchy2"/>
    <dgm:cxn modelId="{51DD29CA-AAC2-479A-811B-CB071EA4D813}" type="presParOf" srcId="{B46D9800-C158-4A67-884F-C80AB40A8D2E}" destId="{4E93D755-C230-411A-9F7B-70578142FE7A}" srcOrd="0" destOrd="0" presId="urn:microsoft.com/office/officeart/2005/8/layout/hierarchy2"/>
    <dgm:cxn modelId="{7F3360A9-1468-4BFC-A7CA-D7AF873D047D}" type="presParOf" srcId="{B46D9800-C158-4A67-884F-C80AB40A8D2E}" destId="{C15C4AD6-00EC-4D5E-B0D8-1F85422A02C2}"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76D352-A9D3-48DC-A6AA-570AC7896321}"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hr-HR"/>
        </a:p>
      </dgm:t>
    </dgm:pt>
    <dgm:pt modelId="{645FA6B6-819C-497A-BC60-B0421BBCB56B}">
      <dgm:prSet phldrT="[Text]" custT="1"/>
      <dgm:spPr>
        <a:xfrm>
          <a:off x="25"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Politike koje posredno utječu na industriju</a:t>
          </a:r>
        </a:p>
      </dgm:t>
    </dgm:pt>
    <dgm:pt modelId="{9F5419BA-2D3C-4897-AB1B-98228E0F1108}" type="parTrans" cxnId="{F898B5B4-45D9-4E72-BF41-2C19FDE89692}">
      <dgm:prSet/>
      <dgm:spPr/>
      <dgm:t>
        <a:bodyPr/>
        <a:lstStyle/>
        <a:p>
          <a:endParaRPr lang="hr-HR"/>
        </a:p>
      </dgm:t>
    </dgm:pt>
    <dgm:pt modelId="{95AF19CA-E3AF-4F3D-82D5-AE3EE5E7AFE6}" type="sibTrans" cxnId="{F898B5B4-45D9-4E72-BF41-2C19FDE89692}">
      <dgm:prSet/>
      <dgm:spPr/>
      <dgm:t>
        <a:bodyPr/>
        <a:lstStyle/>
        <a:p>
          <a:endParaRPr lang="hr-HR"/>
        </a:p>
      </dgm:t>
    </dgm:pt>
    <dgm:pt modelId="{EFEC17F8-BFD5-4C6A-ABF5-6C9C654269E3}">
      <dgm:prSet phldrT="[Tex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Makroekonomija (EU/nac.)</a:t>
          </a:r>
        </a:p>
      </dgm:t>
    </dgm:pt>
    <dgm:pt modelId="{0D946049-3991-4A0E-A1A8-9FCBD53CBDE4}" type="parTrans" cxnId="{B8FF2E77-DC28-4820-BC4C-361FAE50FB6D}">
      <dgm:prSet/>
      <dgm:spPr/>
      <dgm:t>
        <a:bodyPr/>
        <a:lstStyle/>
        <a:p>
          <a:endParaRPr lang="hr-HR"/>
        </a:p>
      </dgm:t>
    </dgm:pt>
    <dgm:pt modelId="{DEAE65AD-190F-42AD-976B-70CB05E042C4}" type="sibTrans" cxnId="{B8FF2E77-DC28-4820-BC4C-361FAE50FB6D}">
      <dgm:prSet/>
      <dgm:spPr/>
      <dgm:t>
        <a:bodyPr/>
        <a:lstStyle/>
        <a:p>
          <a:endParaRPr lang="hr-HR"/>
        </a:p>
      </dgm:t>
    </dgm:pt>
    <dgm:pt modelId="{F06CEA85-1145-4A7A-9CAE-F45A09AC2338}">
      <dgm:prSet phldrT="[Text]" custT="1"/>
      <dgm:spPr>
        <a:xfrm>
          <a:off x="2799678"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Neindustrijske mjere koje neposredno utječu na industriju</a:t>
          </a:r>
        </a:p>
      </dgm:t>
    </dgm:pt>
    <dgm:pt modelId="{6C8DD3DA-BBA2-489B-8F55-93E6B9AD4777}" type="parTrans" cxnId="{37F5E3AC-EE23-4B2A-AF20-9679A975C988}">
      <dgm:prSet/>
      <dgm:spPr/>
      <dgm:t>
        <a:bodyPr/>
        <a:lstStyle/>
        <a:p>
          <a:endParaRPr lang="hr-HR"/>
        </a:p>
      </dgm:t>
    </dgm:pt>
    <dgm:pt modelId="{E298CE0B-49B5-4F2B-B282-767B7F39B2CF}" type="sibTrans" cxnId="{37F5E3AC-EE23-4B2A-AF20-9679A975C988}">
      <dgm:prSet/>
      <dgm:spPr/>
      <dgm:t>
        <a:bodyPr/>
        <a:lstStyle/>
        <a:p>
          <a:endParaRPr lang="hr-HR"/>
        </a:p>
      </dgm:t>
    </dgm:pt>
    <dgm:pt modelId="{09D0E523-7EB3-4A2D-8C79-90C93BC916A2}">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Preraspodjela (nacionalna)</a:t>
          </a:r>
        </a:p>
      </dgm:t>
    </dgm:pt>
    <dgm:pt modelId="{DA91ED28-EBFC-423B-BB35-3AF332457FEB}" type="parTrans" cxnId="{77F6D3B7-5534-49CB-B748-3EEA35178DB9}">
      <dgm:prSet/>
      <dgm:spPr/>
      <dgm:t>
        <a:bodyPr/>
        <a:lstStyle/>
        <a:p>
          <a:endParaRPr lang="hr-HR"/>
        </a:p>
      </dgm:t>
    </dgm:pt>
    <dgm:pt modelId="{D0D9EE15-60CC-43FE-8C85-C72BF5A8A25A}" type="sibTrans" cxnId="{77F6D3B7-5534-49CB-B748-3EEA35178DB9}">
      <dgm:prSet/>
      <dgm:spPr/>
      <dgm:t>
        <a:bodyPr/>
        <a:lstStyle/>
        <a:p>
          <a:endParaRPr lang="hr-HR"/>
        </a:p>
      </dgm:t>
    </dgm:pt>
    <dgm:pt modelId="{D19E6BEB-6720-4103-910F-EF213E040ED9}">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plaća (nacionalna)</a:t>
          </a:r>
        </a:p>
      </dgm:t>
    </dgm:pt>
    <dgm:pt modelId="{4F0E51C4-CD1C-4DA8-8ABB-DEC3FE7868F5}" type="parTrans" cxnId="{1B0EC60C-4887-492A-9901-10ECD1AF7023}">
      <dgm:prSet/>
      <dgm:spPr/>
      <dgm:t>
        <a:bodyPr/>
        <a:lstStyle/>
        <a:p>
          <a:endParaRPr lang="hr-HR"/>
        </a:p>
      </dgm:t>
    </dgm:pt>
    <dgm:pt modelId="{A1AFB485-7DAD-4266-A52B-CC7EEB998FE4}" type="sibTrans" cxnId="{1B0EC60C-4887-492A-9901-10ECD1AF7023}">
      <dgm:prSet/>
      <dgm:spPr/>
      <dgm:t>
        <a:bodyPr/>
        <a:lstStyle/>
        <a:p>
          <a:endParaRPr lang="hr-HR"/>
        </a:p>
      </dgm:t>
    </dgm:pt>
    <dgm:pt modelId="{34270240-DADF-4B65-A01D-7EB17F2AFC53}">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Poljoprivredna i politika vezana za ribarstvo (EU/nac.)</a:t>
          </a:r>
        </a:p>
      </dgm:t>
    </dgm:pt>
    <dgm:pt modelId="{5B3DC5A1-1662-476D-8C90-D9E614BD7B99}" type="parTrans" cxnId="{3CE71948-268B-4175-A826-606491A490FE}">
      <dgm:prSet/>
      <dgm:spPr/>
      <dgm:t>
        <a:bodyPr/>
        <a:lstStyle/>
        <a:p>
          <a:endParaRPr lang="hr-HR"/>
        </a:p>
      </dgm:t>
    </dgm:pt>
    <dgm:pt modelId="{32273FAE-DE92-4564-BCFE-829C6D12305B}" type="sibTrans" cxnId="{3CE71948-268B-4175-A826-606491A490FE}">
      <dgm:prSet/>
      <dgm:spPr/>
      <dgm:t>
        <a:bodyPr/>
        <a:lstStyle/>
        <a:p>
          <a:endParaRPr lang="hr-HR"/>
        </a:p>
      </dgm:t>
    </dgm:pt>
    <dgm:pt modelId="{407DAC54-01DE-48FD-977F-AE8F3CEDB03F}">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usluga (EU/nac.)</a:t>
          </a:r>
        </a:p>
      </dgm:t>
    </dgm:pt>
    <dgm:pt modelId="{CD7BA77B-816F-4F9B-B6E7-C1A6C7C7D9D9}" type="parTrans" cxnId="{5E090D58-48A1-4F93-9DFF-7B49BAAC6770}">
      <dgm:prSet/>
      <dgm:spPr/>
      <dgm:t>
        <a:bodyPr/>
        <a:lstStyle/>
        <a:p>
          <a:endParaRPr lang="hr-HR"/>
        </a:p>
      </dgm:t>
    </dgm:pt>
    <dgm:pt modelId="{B8B748E7-BC0A-474F-83E9-C336F2A035DC}" type="sibTrans" cxnId="{5E090D58-48A1-4F93-9DFF-7B49BAAC6770}">
      <dgm:prSet/>
      <dgm:spPr/>
      <dgm:t>
        <a:bodyPr/>
        <a:lstStyle/>
        <a:p>
          <a:endParaRPr lang="hr-HR"/>
        </a:p>
      </dgm:t>
    </dgm:pt>
    <dgm:pt modelId="{BF1A7969-C987-454B-A074-2794C38FA20D}">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CF8E4F42-A1A3-428F-911A-6AE1D27F99D6}" type="parTrans" cxnId="{3C7C3F87-FD7A-4FA0-A25F-710488D0D35F}">
      <dgm:prSet/>
      <dgm:spPr/>
      <dgm:t>
        <a:bodyPr/>
        <a:lstStyle/>
        <a:p>
          <a:endParaRPr lang="hr-HR"/>
        </a:p>
      </dgm:t>
    </dgm:pt>
    <dgm:pt modelId="{DB3A69A0-5230-40B8-A482-86C03C51CAE4}" type="sibTrans" cxnId="{3C7C3F87-FD7A-4FA0-A25F-710488D0D35F}">
      <dgm:prSet/>
      <dgm:spPr/>
      <dgm:t>
        <a:bodyPr/>
        <a:lstStyle/>
        <a:p>
          <a:endParaRPr lang="hr-HR"/>
        </a:p>
      </dgm:t>
    </dgm:pt>
    <dgm:pt modelId="{A36D05D5-70B7-49FD-A305-1FCEB69EC21A}">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korištenja zemljišta (nac.)</a:t>
          </a:r>
        </a:p>
      </dgm:t>
    </dgm:pt>
    <dgm:pt modelId="{1C3D9550-A757-42E5-A18E-574344F28EA1}" type="parTrans" cxnId="{321E62E2-71CF-4987-9ED9-98551373F1BF}">
      <dgm:prSet/>
      <dgm:spPr/>
      <dgm:t>
        <a:bodyPr/>
        <a:lstStyle/>
        <a:p>
          <a:endParaRPr lang="hr-HR"/>
        </a:p>
      </dgm:t>
    </dgm:pt>
    <dgm:pt modelId="{6440D9AB-FD39-4B5E-927A-12A50A6F3F95}" type="sibTrans" cxnId="{321E62E2-71CF-4987-9ED9-98551373F1BF}">
      <dgm:prSet/>
      <dgm:spPr/>
      <dgm:t>
        <a:bodyPr/>
        <a:lstStyle/>
        <a:p>
          <a:endParaRPr lang="hr-HR"/>
        </a:p>
      </dgm:t>
    </dgm:pt>
    <dgm:pt modelId="{6D395B3D-502E-46B7-867B-E83564B7AB28}">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Infrastrukturna politika (nac. + EU)</a:t>
          </a:r>
        </a:p>
      </dgm:t>
    </dgm:pt>
    <dgm:pt modelId="{F01758D6-BDFE-4B52-BE93-F6AF5BB2DB92}" type="parTrans" cxnId="{687171D5-7C8D-4E95-AAB2-27FE6396B0CE}">
      <dgm:prSet/>
      <dgm:spPr/>
      <dgm:t>
        <a:bodyPr/>
        <a:lstStyle/>
        <a:p>
          <a:endParaRPr lang="hr-HR"/>
        </a:p>
      </dgm:t>
    </dgm:pt>
    <dgm:pt modelId="{7D4D7F8C-9E26-4853-9399-597C287B577F}" type="sibTrans" cxnId="{687171D5-7C8D-4E95-AAB2-27FE6396B0CE}">
      <dgm:prSet/>
      <dgm:spPr/>
      <dgm:t>
        <a:bodyPr/>
        <a:lstStyle/>
        <a:p>
          <a:endParaRPr lang="hr-HR"/>
        </a:p>
      </dgm:t>
    </dgm:pt>
    <dgm:pt modelId="{D9DE58ED-85A2-401C-BB61-4E4072FC0EA5}">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Energetska politika (nac. + EU)</a:t>
          </a:r>
        </a:p>
      </dgm:t>
    </dgm:pt>
    <dgm:pt modelId="{EE9D7938-0795-470A-B974-1796F818444A}" type="parTrans" cxnId="{190C38A1-4B00-4ED8-AE93-D5B4B8FD08B7}">
      <dgm:prSet/>
      <dgm:spPr/>
      <dgm:t>
        <a:bodyPr/>
        <a:lstStyle/>
        <a:p>
          <a:endParaRPr lang="hr-HR"/>
        </a:p>
      </dgm:t>
    </dgm:pt>
    <dgm:pt modelId="{86B549CE-D558-478C-B6A6-83E2C0302462}" type="sibTrans" cxnId="{190C38A1-4B00-4ED8-AE93-D5B4B8FD08B7}">
      <dgm:prSet/>
      <dgm:spPr/>
      <dgm:t>
        <a:bodyPr/>
        <a:lstStyle/>
        <a:p>
          <a:endParaRPr lang="hr-HR"/>
        </a:p>
      </dgm:t>
    </dgm:pt>
    <dgm:pt modelId="{9BDE2D49-53AB-4CE6-90C4-8DB63815BFB6}">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Kampanje vezane uz kupnju nacionalnih proizvoda (EU)</a:t>
          </a:r>
        </a:p>
      </dgm:t>
    </dgm:pt>
    <dgm:pt modelId="{A092D93C-208A-4BE4-972D-A467F1C4ED6C}" type="parTrans" cxnId="{526C6A84-E812-4AC4-9AD5-9BC2D3694965}">
      <dgm:prSet/>
      <dgm:spPr/>
      <dgm:t>
        <a:bodyPr/>
        <a:lstStyle/>
        <a:p>
          <a:endParaRPr lang="hr-HR"/>
        </a:p>
      </dgm:t>
    </dgm:pt>
    <dgm:pt modelId="{79F6C6A8-A77E-4C35-920B-B3CB5168E0FF}" type="sibTrans" cxnId="{526C6A84-E812-4AC4-9AD5-9BC2D3694965}">
      <dgm:prSet/>
      <dgm:spPr/>
      <dgm:t>
        <a:bodyPr/>
        <a:lstStyle/>
        <a:p>
          <a:endParaRPr lang="hr-HR"/>
        </a:p>
      </dgm:t>
    </dgm:pt>
    <dgm:pt modelId="{BA0A4947-12B2-4779-AB91-1183433B07E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Planiranje regionalnog razvoja (nac./EU)</a:t>
          </a:r>
        </a:p>
      </dgm:t>
    </dgm:pt>
    <dgm:pt modelId="{42A3D7E2-3286-476F-A77A-7103FC5E1525}" type="parTrans" cxnId="{B67FA5EA-0A7E-4B14-A315-6E06827713A4}">
      <dgm:prSet/>
      <dgm:spPr/>
      <dgm:t>
        <a:bodyPr/>
        <a:lstStyle/>
        <a:p>
          <a:endParaRPr lang="hr-HR"/>
        </a:p>
      </dgm:t>
    </dgm:pt>
    <dgm:pt modelId="{EB992BF3-0F29-4452-8786-E1C69995E2FD}" type="sibTrans" cxnId="{B67FA5EA-0A7E-4B14-A315-6E06827713A4}">
      <dgm:prSet/>
      <dgm:spPr/>
      <dgm:t>
        <a:bodyPr/>
        <a:lstStyle/>
        <a:p>
          <a:endParaRPr lang="hr-HR"/>
        </a:p>
      </dgm:t>
    </dgm:pt>
    <dgm:pt modelId="{17F6B9E0-F6BC-4B37-B381-624F7530F6AF}">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Kontrola cijena (EU)</a:t>
          </a:r>
        </a:p>
      </dgm:t>
    </dgm:pt>
    <dgm:pt modelId="{BA13AB2D-88B0-44AA-A0FC-0C54DAB60A38}" type="parTrans" cxnId="{05F74689-7CB1-48C0-B8AC-27DCC4D5E738}">
      <dgm:prSet/>
      <dgm:spPr/>
      <dgm:t>
        <a:bodyPr/>
        <a:lstStyle/>
        <a:p>
          <a:endParaRPr lang="hr-HR"/>
        </a:p>
      </dgm:t>
    </dgm:pt>
    <dgm:pt modelId="{916B7465-1C77-4829-910E-AB204799626D}" type="sibTrans" cxnId="{05F74689-7CB1-48C0-B8AC-27DCC4D5E738}">
      <dgm:prSet/>
      <dgm:spPr/>
      <dgm:t>
        <a:bodyPr/>
        <a:lstStyle/>
        <a:p>
          <a:endParaRPr lang="hr-HR"/>
        </a:p>
      </dgm:t>
    </dgm:pt>
    <dgm:pt modelId="{6048CD6E-B7A0-49C7-A46C-839879C007CA}">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Vezane potpore za razvoj (nac. + EU)</a:t>
          </a:r>
        </a:p>
      </dgm:t>
    </dgm:pt>
    <dgm:pt modelId="{C427DB35-DDAC-4E76-8199-1C6DBF7FD622}" type="parTrans" cxnId="{2D84F27D-7F99-435E-A11C-E7C4D9140BBC}">
      <dgm:prSet/>
      <dgm:spPr/>
      <dgm:t>
        <a:bodyPr/>
        <a:lstStyle/>
        <a:p>
          <a:endParaRPr lang="hr-HR"/>
        </a:p>
      </dgm:t>
    </dgm:pt>
    <dgm:pt modelId="{1C33F06E-1943-407C-9D71-B47CB5A0B9DD}" type="sibTrans" cxnId="{2D84F27D-7F99-435E-A11C-E7C4D9140BBC}">
      <dgm:prSet/>
      <dgm:spPr/>
      <dgm:t>
        <a:bodyPr/>
        <a:lstStyle/>
        <a:p>
          <a:endParaRPr lang="hr-HR"/>
        </a:p>
      </dgm:t>
    </dgm:pt>
    <dgm:pt modelId="{9755399B-0AE6-4849-A82B-62BCCF52301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Promocija izvoza (EU)</a:t>
          </a:r>
        </a:p>
      </dgm:t>
    </dgm:pt>
    <dgm:pt modelId="{0238A754-4C40-4464-A6B2-79FD6B8B9527}" type="parTrans" cxnId="{729DCC76-0575-4AFC-B403-6A7E18EC9496}">
      <dgm:prSet/>
      <dgm:spPr/>
      <dgm:t>
        <a:bodyPr/>
        <a:lstStyle/>
        <a:p>
          <a:endParaRPr lang="hr-HR"/>
        </a:p>
      </dgm:t>
    </dgm:pt>
    <dgm:pt modelId="{64AD88A2-183F-45ED-B74E-FE4062A74284}" type="sibTrans" cxnId="{729DCC76-0575-4AFC-B403-6A7E18EC9496}">
      <dgm:prSet/>
      <dgm:spPr/>
      <dgm:t>
        <a:bodyPr/>
        <a:lstStyle/>
        <a:p>
          <a:endParaRPr lang="hr-HR"/>
        </a:p>
      </dgm:t>
    </dgm:pt>
    <dgm:pt modelId="{757D1B85-3404-4F89-B7D8-C66E5FCD9BF3}">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0CCE05E8-A519-45C3-A69D-2C71FA6BC881}" type="parTrans" cxnId="{3B64F99A-4E67-4228-9C71-1DC8494CCBE1}">
      <dgm:prSet/>
      <dgm:spPr/>
      <dgm:t>
        <a:bodyPr/>
        <a:lstStyle/>
        <a:p>
          <a:endParaRPr lang="hr-HR"/>
        </a:p>
      </dgm:t>
    </dgm:pt>
    <dgm:pt modelId="{67572625-69BE-4B69-8E29-C91886F9441D}" type="sibTrans" cxnId="{3B64F99A-4E67-4228-9C71-1DC8494CCBE1}">
      <dgm:prSet/>
      <dgm:spPr/>
      <dgm:t>
        <a:bodyPr/>
        <a:lstStyle/>
        <a:p>
          <a:endParaRPr lang="hr-HR"/>
        </a:p>
      </dgm:t>
    </dgm:pt>
    <dgm:pt modelId="{0ADAAD6D-8824-46C7-8F24-6EC42D6EE0D7}">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Specifične politike zaštite okoliša (nac./EU)</a:t>
          </a:r>
        </a:p>
      </dgm:t>
    </dgm:pt>
    <dgm:pt modelId="{F80B026A-4E50-45E3-AC99-043F22547A4A}" type="parTrans" cxnId="{3A4DD4BA-6C1B-487F-BCD0-C8F1012F8924}">
      <dgm:prSet/>
      <dgm:spPr/>
      <dgm:t>
        <a:bodyPr/>
        <a:lstStyle/>
        <a:p>
          <a:endParaRPr lang="hr-HR"/>
        </a:p>
      </dgm:t>
    </dgm:pt>
    <dgm:pt modelId="{5FBBA20B-5499-4591-A03F-F8EE165B02BE}" type="sibTrans" cxnId="{3A4DD4BA-6C1B-487F-BCD0-C8F1012F8924}">
      <dgm:prSet/>
      <dgm:spPr/>
      <dgm:t>
        <a:bodyPr/>
        <a:lstStyle/>
        <a:p>
          <a:endParaRPr lang="hr-HR"/>
        </a:p>
      </dgm:t>
    </dgm:pt>
    <dgm:pt modelId="{1D97D080-5B2D-4705-86FA-F69D1DD00423}" type="pres">
      <dgm:prSet presAssocID="{4076D352-A9D3-48DC-A6AA-570AC7896321}" presName="Name0" presStyleCnt="0">
        <dgm:presLayoutVars>
          <dgm:dir/>
          <dgm:animLvl val="lvl"/>
          <dgm:resizeHandles val="exact"/>
        </dgm:presLayoutVars>
      </dgm:prSet>
      <dgm:spPr/>
      <dgm:t>
        <a:bodyPr/>
        <a:lstStyle/>
        <a:p>
          <a:endParaRPr lang="hr-HR"/>
        </a:p>
      </dgm:t>
    </dgm:pt>
    <dgm:pt modelId="{4A5F5EA2-639E-4FD5-A4B8-170FDE790C49}" type="pres">
      <dgm:prSet presAssocID="{645FA6B6-819C-497A-BC60-B0421BBCB56B}" presName="composite" presStyleCnt="0"/>
      <dgm:spPr/>
    </dgm:pt>
    <dgm:pt modelId="{4A893AB4-33C8-4F35-A892-52F9A3F1E328}" type="pres">
      <dgm:prSet presAssocID="{645FA6B6-819C-497A-BC60-B0421BBCB56B}" presName="parTx" presStyleLbl="alignNode1" presStyleIdx="0" presStyleCnt="2">
        <dgm:presLayoutVars>
          <dgm:chMax val="0"/>
          <dgm:chPref val="0"/>
          <dgm:bulletEnabled val="1"/>
        </dgm:presLayoutVars>
      </dgm:prSet>
      <dgm:spPr>
        <a:prstGeom prst="rect">
          <a:avLst/>
        </a:prstGeom>
      </dgm:spPr>
      <dgm:t>
        <a:bodyPr/>
        <a:lstStyle/>
        <a:p>
          <a:endParaRPr lang="hr-HR"/>
        </a:p>
      </dgm:t>
    </dgm:pt>
    <dgm:pt modelId="{9248EF42-B139-4C21-A458-E347B0116BBE}" type="pres">
      <dgm:prSet presAssocID="{645FA6B6-819C-497A-BC60-B0421BBCB56B}" presName="desTx" presStyleLbl="alignAccFollowNode1" presStyleIdx="0" presStyleCnt="2">
        <dgm:presLayoutVars>
          <dgm:bulletEnabled val="1"/>
        </dgm:presLayoutVars>
      </dgm:prSet>
      <dgm:spPr>
        <a:prstGeom prst="rect">
          <a:avLst/>
        </a:prstGeom>
      </dgm:spPr>
      <dgm:t>
        <a:bodyPr/>
        <a:lstStyle/>
        <a:p>
          <a:endParaRPr lang="hr-HR"/>
        </a:p>
      </dgm:t>
    </dgm:pt>
    <dgm:pt modelId="{2DD928FA-7880-4153-8CC2-D52C42B46796}" type="pres">
      <dgm:prSet presAssocID="{95AF19CA-E3AF-4F3D-82D5-AE3EE5E7AFE6}" presName="space" presStyleCnt="0"/>
      <dgm:spPr/>
    </dgm:pt>
    <dgm:pt modelId="{B6FB6408-1C8E-4930-B83B-6A0F4DE5CBC5}" type="pres">
      <dgm:prSet presAssocID="{F06CEA85-1145-4A7A-9CAE-F45A09AC2338}" presName="composite" presStyleCnt="0"/>
      <dgm:spPr/>
    </dgm:pt>
    <dgm:pt modelId="{DDF158B2-74FD-41DF-AC51-5F600C11F859}" type="pres">
      <dgm:prSet presAssocID="{F06CEA85-1145-4A7A-9CAE-F45A09AC2338}" presName="parTx" presStyleLbl="alignNode1" presStyleIdx="1" presStyleCnt="2">
        <dgm:presLayoutVars>
          <dgm:chMax val="0"/>
          <dgm:chPref val="0"/>
          <dgm:bulletEnabled val="1"/>
        </dgm:presLayoutVars>
      </dgm:prSet>
      <dgm:spPr>
        <a:prstGeom prst="rect">
          <a:avLst/>
        </a:prstGeom>
      </dgm:spPr>
      <dgm:t>
        <a:bodyPr/>
        <a:lstStyle/>
        <a:p>
          <a:endParaRPr lang="hr-HR"/>
        </a:p>
      </dgm:t>
    </dgm:pt>
    <dgm:pt modelId="{7CAA003D-C1FF-4A2D-82DA-D3ED54217EC1}" type="pres">
      <dgm:prSet presAssocID="{F06CEA85-1145-4A7A-9CAE-F45A09AC2338}" presName="desTx" presStyleLbl="alignAccFollowNode1" presStyleIdx="1" presStyleCnt="2">
        <dgm:presLayoutVars>
          <dgm:bulletEnabled val="1"/>
        </dgm:presLayoutVars>
      </dgm:prSet>
      <dgm:spPr>
        <a:prstGeom prst="rect">
          <a:avLst/>
        </a:prstGeom>
      </dgm:spPr>
      <dgm:t>
        <a:bodyPr/>
        <a:lstStyle/>
        <a:p>
          <a:endParaRPr lang="hr-HR"/>
        </a:p>
      </dgm:t>
    </dgm:pt>
  </dgm:ptLst>
  <dgm:cxnLst>
    <dgm:cxn modelId="{37F5E3AC-EE23-4B2A-AF20-9679A975C988}" srcId="{4076D352-A9D3-48DC-A6AA-570AC7896321}" destId="{F06CEA85-1145-4A7A-9CAE-F45A09AC2338}" srcOrd="1" destOrd="0" parTransId="{6C8DD3DA-BBA2-489B-8F55-93E6B9AD4777}" sibTransId="{E298CE0B-49B5-4F2B-B282-767B7F39B2CF}"/>
    <dgm:cxn modelId="{569C2B19-D445-4EF4-88B9-5255932554AC}" type="presOf" srcId="{9BDE2D49-53AB-4CE6-90C4-8DB63815BFB6}" destId="{7CAA003D-C1FF-4A2D-82DA-D3ED54217EC1}" srcOrd="0" destOrd="0" presId="urn:microsoft.com/office/officeart/2005/8/layout/hList1"/>
    <dgm:cxn modelId="{B8FF2E77-DC28-4820-BC4C-361FAE50FB6D}" srcId="{645FA6B6-819C-497A-BC60-B0421BBCB56B}" destId="{EFEC17F8-BFD5-4C6A-ABF5-6C9C654269E3}" srcOrd="0" destOrd="0" parTransId="{0D946049-3991-4A0E-A1A8-9FCBD53CBDE4}" sibTransId="{DEAE65AD-190F-42AD-976B-70CB05E042C4}"/>
    <dgm:cxn modelId="{B7240481-D503-481C-8B88-85F7F17C6A9D}" type="presOf" srcId="{6048CD6E-B7A0-49C7-A46C-839879C007CA}" destId="{7CAA003D-C1FF-4A2D-82DA-D3ED54217EC1}" srcOrd="0" destOrd="3" presId="urn:microsoft.com/office/officeart/2005/8/layout/hList1"/>
    <dgm:cxn modelId="{0A0C4936-1B5D-4A41-B1A9-1698AE8290BA}" type="presOf" srcId="{A36D05D5-70B7-49FD-A305-1FCEB69EC21A}" destId="{9248EF42-B139-4C21-A458-E347B0116BBE}" srcOrd="0" destOrd="6" presId="urn:microsoft.com/office/officeart/2005/8/layout/hList1"/>
    <dgm:cxn modelId="{E6C2B60E-99E3-4D25-98BF-96281532AF00}" type="presOf" srcId="{645FA6B6-819C-497A-BC60-B0421BBCB56B}" destId="{4A893AB4-33C8-4F35-A892-52F9A3F1E328}" srcOrd="0" destOrd="0" presId="urn:microsoft.com/office/officeart/2005/8/layout/hList1"/>
    <dgm:cxn modelId="{122578F2-312A-4549-8D7C-9E09CC5842DA}" type="presOf" srcId="{D9DE58ED-85A2-401C-BB61-4E4072FC0EA5}" destId="{9248EF42-B139-4C21-A458-E347B0116BBE}" srcOrd="0" destOrd="8" presId="urn:microsoft.com/office/officeart/2005/8/layout/hList1"/>
    <dgm:cxn modelId="{2713CF62-CAB0-40CA-AC92-58DB01DCB4D1}" type="presOf" srcId="{BF1A7969-C987-454B-A074-2794C38FA20D}" destId="{9248EF42-B139-4C21-A458-E347B0116BBE}" srcOrd="0" destOrd="5" presId="urn:microsoft.com/office/officeart/2005/8/layout/hList1"/>
    <dgm:cxn modelId="{77F6D3B7-5534-49CB-B748-3EEA35178DB9}" srcId="{645FA6B6-819C-497A-BC60-B0421BBCB56B}" destId="{09D0E523-7EB3-4A2D-8C79-90C93BC916A2}" srcOrd="1" destOrd="0" parTransId="{DA91ED28-EBFC-423B-BB35-3AF332457FEB}" sibTransId="{D0D9EE15-60CC-43FE-8C85-C72BF5A8A25A}"/>
    <dgm:cxn modelId="{321E62E2-71CF-4987-9ED9-98551373F1BF}" srcId="{645FA6B6-819C-497A-BC60-B0421BBCB56B}" destId="{A36D05D5-70B7-49FD-A305-1FCEB69EC21A}" srcOrd="6" destOrd="0" parTransId="{1C3D9550-A757-42E5-A18E-574344F28EA1}" sibTransId="{6440D9AB-FD39-4B5E-927A-12A50A6F3F95}"/>
    <dgm:cxn modelId="{C4CDBBB9-69DB-4042-939B-26FA8BA59890}" type="presOf" srcId="{9755399B-0AE6-4849-A82B-62BCCF52301C}" destId="{7CAA003D-C1FF-4A2D-82DA-D3ED54217EC1}" srcOrd="0" destOrd="4" presId="urn:microsoft.com/office/officeart/2005/8/layout/hList1"/>
    <dgm:cxn modelId="{40198D90-4165-4FE6-9008-0CFAAEE441A7}" type="presOf" srcId="{0ADAAD6D-8824-46C7-8F24-6EC42D6EE0D7}" destId="{7CAA003D-C1FF-4A2D-82DA-D3ED54217EC1}" srcOrd="0" destOrd="6" presId="urn:microsoft.com/office/officeart/2005/8/layout/hList1"/>
    <dgm:cxn modelId="{3B64F99A-4E67-4228-9C71-1DC8494CCBE1}" srcId="{F06CEA85-1145-4A7A-9CAE-F45A09AC2338}" destId="{757D1B85-3404-4F89-B7D8-C66E5FCD9BF3}" srcOrd="5" destOrd="0" parTransId="{0CCE05E8-A519-45C3-A69D-2C71FA6BC881}" sibTransId="{67572625-69BE-4B69-8E29-C91886F9441D}"/>
    <dgm:cxn modelId="{1B0EC60C-4887-492A-9901-10ECD1AF7023}" srcId="{645FA6B6-819C-497A-BC60-B0421BBCB56B}" destId="{D19E6BEB-6720-4103-910F-EF213E040ED9}" srcOrd="2" destOrd="0" parTransId="{4F0E51C4-CD1C-4DA8-8ABB-DEC3FE7868F5}" sibTransId="{A1AFB485-7DAD-4266-A52B-CC7EEB998FE4}"/>
    <dgm:cxn modelId="{DDDD6572-534D-4BB4-BA36-03C30CE8CD47}" type="presOf" srcId="{EFEC17F8-BFD5-4C6A-ABF5-6C9C654269E3}" destId="{9248EF42-B139-4C21-A458-E347B0116BBE}" srcOrd="0" destOrd="0" presId="urn:microsoft.com/office/officeart/2005/8/layout/hList1"/>
    <dgm:cxn modelId="{97122E00-F010-4194-A660-C29F0ADAAE72}" type="presOf" srcId="{757D1B85-3404-4F89-B7D8-C66E5FCD9BF3}" destId="{7CAA003D-C1FF-4A2D-82DA-D3ED54217EC1}" srcOrd="0" destOrd="5" presId="urn:microsoft.com/office/officeart/2005/8/layout/hList1"/>
    <dgm:cxn modelId="{791F44E3-C23F-4F65-95BE-E07EB176ED8C}" type="presOf" srcId="{F06CEA85-1145-4A7A-9CAE-F45A09AC2338}" destId="{DDF158B2-74FD-41DF-AC51-5F600C11F859}" srcOrd="0" destOrd="0" presId="urn:microsoft.com/office/officeart/2005/8/layout/hList1"/>
    <dgm:cxn modelId="{D69DA694-DD30-4352-ACEA-B8405772D7DB}" type="presOf" srcId="{6D395B3D-502E-46B7-867B-E83564B7AB28}" destId="{9248EF42-B139-4C21-A458-E347B0116BBE}" srcOrd="0" destOrd="7" presId="urn:microsoft.com/office/officeart/2005/8/layout/hList1"/>
    <dgm:cxn modelId="{CAE18B1B-28F6-425E-9573-21703DA274C3}" type="presOf" srcId="{4076D352-A9D3-48DC-A6AA-570AC7896321}" destId="{1D97D080-5B2D-4705-86FA-F69D1DD00423}" srcOrd="0" destOrd="0" presId="urn:microsoft.com/office/officeart/2005/8/layout/hList1"/>
    <dgm:cxn modelId="{2D84F27D-7F99-435E-A11C-E7C4D9140BBC}" srcId="{F06CEA85-1145-4A7A-9CAE-F45A09AC2338}" destId="{6048CD6E-B7A0-49C7-A46C-839879C007CA}" srcOrd="3" destOrd="0" parTransId="{C427DB35-DDAC-4E76-8199-1C6DBF7FD622}" sibTransId="{1C33F06E-1943-407C-9D71-B47CB5A0B9DD}"/>
    <dgm:cxn modelId="{3C7C3F87-FD7A-4FA0-A25F-710488D0D35F}" srcId="{645FA6B6-819C-497A-BC60-B0421BBCB56B}" destId="{BF1A7969-C987-454B-A074-2794C38FA20D}" srcOrd="5" destOrd="0" parTransId="{CF8E4F42-A1A3-428F-911A-6AE1D27F99D6}" sibTransId="{DB3A69A0-5230-40B8-A482-86C03C51CAE4}"/>
    <dgm:cxn modelId="{190C38A1-4B00-4ED8-AE93-D5B4B8FD08B7}" srcId="{645FA6B6-819C-497A-BC60-B0421BBCB56B}" destId="{D9DE58ED-85A2-401C-BB61-4E4072FC0EA5}" srcOrd="8" destOrd="0" parTransId="{EE9D7938-0795-470A-B974-1796F818444A}" sibTransId="{86B549CE-D558-478C-B6A6-83E2C0302462}"/>
    <dgm:cxn modelId="{B51D4829-6B54-41FF-9C0B-02EBE025AA1D}" type="presOf" srcId="{BA0A4947-12B2-4779-AB91-1183433B07EC}" destId="{7CAA003D-C1FF-4A2D-82DA-D3ED54217EC1}" srcOrd="0" destOrd="1" presId="urn:microsoft.com/office/officeart/2005/8/layout/hList1"/>
    <dgm:cxn modelId="{729DCC76-0575-4AFC-B403-6A7E18EC9496}" srcId="{F06CEA85-1145-4A7A-9CAE-F45A09AC2338}" destId="{9755399B-0AE6-4849-A82B-62BCCF52301C}" srcOrd="4" destOrd="0" parTransId="{0238A754-4C40-4464-A6B2-79FD6B8B9527}" sibTransId="{64AD88A2-183F-45ED-B74E-FE4062A74284}"/>
    <dgm:cxn modelId="{5C6D380C-451E-4922-BE7D-80CE0A253B2D}" type="presOf" srcId="{17F6B9E0-F6BC-4B37-B381-624F7530F6AF}" destId="{7CAA003D-C1FF-4A2D-82DA-D3ED54217EC1}" srcOrd="0" destOrd="2" presId="urn:microsoft.com/office/officeart/2005/8/layout/hList1"/>
    <dgm:cxn modelId="{B67FA5EA-0A7E-4B14-A315-6E06827713A4}" srcId="{F06CEA85-1145-4A7A-9CAE-F45A09AC2338}" destId="{BA0A4947-12B2-4779-AB91-1183433B07EC}" srcOrd="1" destOrd="0" parTransId="{42A3D7E2-3286-476F-A77A-7103FC5E1525}" sibTransId="{EB992BF3-0F29-4452-8786-E1C69995E2FD}"/>
    <dgm:cxn modelId="{F898B5B4-45D9-4E72-BF41-2C19FDE89692}" srcId="{4076D352-A9D3-48DC-A6AA-570AC7896321}" destId="{645FA6B6-819C-497A-BC60-B0421BBCB56B}" srcOrd="0" destOrd="0" parTransId="{9F5419BA-2D3C-4897-AB1B-98228E0F1108}" sibTransId="{95AF19CA-E3AF-4F3D-82D5-AE3EE5E7AFE6}"/>
    <dgm:cxn modelId="{5E090D58-48A1-4F93-9DFF-7B49BAAC6770}" srcId="{645FA6B6-819C-497A-BC60-B0421BBCB56B}" destId="{407DAC54-01DE-48FD-977F-AE8F3CEDB03F}" srcOrd="4" destOrd="0" parTransId="{CD7BA77B-816F-4F9B-B6E7-C1A6C7C7D9D9}" sibTransId="{B8B748E7-BC0A-474F-83E9-C336F2A035DC}"/>
    <dgm:cxn modelId="{324CA6F8-4BE9-4127-A7E6-16500F4EC02A}" type="presOf" srcId="{D19E6BEB-6720-4103-910F-EF213E040ED9}" destId="{9248EF42-B139-4C21-A458-E347B0116BBE}" srcOrd="0" destOrd="2" presId="urn:microsoft.com/office/officeart/2005/8/layout/hList1"/>
    <dgm:cxn modelId="{4B28CA94-3E28-4364-ABC0-63CD241F5D69}" type="presOf" srcId="{407DAC54-01DE-48FD-977F-AE8F3CEDB03F}" destId="{9248EF42-B139-4C21-A458-E347B0116BBE}" srcOrd="0" destOrd="4" presId="urn:microsoft.com/office/officeart/2005/8/layout/hList1"/>
    <dgm:cxn modelId="{3A4DD4BA-6C1B-487F-BCD0-C8F1012F8924}" srcId="{F06CEA85-1145-4A7A-9CAE-F45A09AC2338}" destId="{0ADAAD6D-8824-46C7-8F24-6EC42D6EE0D7}" srcOrd="6" destOrd="0" parTransId="{F80B026A-4E50-45E3-AC99-043F22547A4A}" sibTransId="{5FBBA20B-5499-4591-A03F-F8EE165B02BE}"/>
    <dgm:cxn modelId="{3CE71948-268B-4175-A826-606491A490FE}" srcId="{645FA6B6-819C-497A-BC60-B0421BBCB56B}" destId="{34270240-DADF-4B65-A01D-7EB17F2AFC53}" srcOrd="3" destOrd="0" parTransId="{5B3DC5A1-1662-476D-8C90-D9E614BD7B99}" sibTransId="{32273FAE-DE92-4564-BCFE-829C6D12305B}"/>
    <dgm:cxn modelId="{687171D5-7C8D-4E95-AAB2-27FE6396B0CE}" srcId="{645FA6B6-819C-497A-BC60-B0421BBCB56B}" destId="{6D395B3D-502E-46B7-867B-E83564B7AB28}" srcOrd="7" destOrd="0" parTransId="{F01758D6-BDFE-4B52-BE93-F6AF5BB2DB92}" sibTransId="{7D4D7F8C-9E26-4853-9399-597C287B577F}"/>
    <dgm:cxn modelId="{526C6A84-E812-4AC4-9AD5-9BC2D3694965}" srcId="{F06CEA85-1145-4A7A-9CAE-F45A09AC2338}" destId="{9BDE2D49-53AB-4CE6-90C4-8DB63815BFB6}" srcOrd="0" destOrd="0" parTransId="{A092D93C-208A-4BE4-972D-A467F1C4ED6C}" sibTransId="{79F6C6A8-A77E-4C35-920B-B3CB5168E0FF}"/>
    <dgm:cxn modelId="{AA170140-05A5-49D7-9ED2-BC9C17D97E96}" type="presOf" srcId="{09D0E523-7EB3-4A2D-8C79-90C93BC916A2}" destId="{9248EF42-B139-4C21-A458-E347B0116BBE}" srcOrd="0" destOrd="1" presId="urn:microsoft.com/office/officeart/2005/8/layout/hList1"/>
    <dgm:cxn modelId="{AF9B9D3C-BE95-41D9-81F2-664C38329754}" type="presOf" srcId="{34270240-DADF-4B65-A01D-7EB17F2AFC53}" destId="{9248EF42-B139-4C21-A458-E347B0116BBE}" srcOrd="0" destOrd="3" presId="urn:microsoft.com/office/officeart/2005/8/layout/hList1"/>
    <dgm:cxn modelId="{05F74689-7CB1-48C0-B8AC-27DCC4D5E738}" srcId="{F06CEA85-1145-4A7A-9CAE-F45A09AC2338}" destId="{17F6B9E0-F6BC-4B37-B381-624F7530F6AF}" srcOrd="2" destOrd="0" parTransId="{BA13AB2D-88B0-44AA-A0FC-0C54DAB60A38}" sibTransId="{916B7465-1C77-4829-910E-AB204799626D}"/>
    <dgm:cxn modelId="{5778D1F9-A80E-4BB9-B453-095A1454CD9D}" type="presParOf" srcId="{1D97D080-5B2D-4705-86FA-F69D1DD00423}" destId="{4A5F5EA2-639E-4FD5-A4B8-170FDE790C49}" srcOrd="0" destOrd="0" presId="urn:microsoft.com/office/officeart/2005/8/layout/hList1"/>
    <dgm:cxn modelId="{D392B16A-FE61-4363-8055-462282070166}" type="presParOf" srcId="{4A5F5EA2-639E-4FD5-A4B8-170FDE790C49}" destId="{4A893AB4-33C8-4F35-A892-52F9A3F1E328}" srcOrd="0" destOrd="0" presId="urn:microsoft.com/office/officeart/2005/8/layout/hList1"/>
    <dgm:cxn modelId="{7CC659D4-DBE8-4779-9363-4D86A619EEBB}" type="presParOf" srcId="{4A5F5EA2-639E-4FD5-A4B8-170FDE790C49}" destId="{9248EF42-B139-4C21-A458-E347B0116BBE}" srcOrd="1" destOrd="0" presId="urn:microsoft.com/office/officeart/2005/8/layout/hList1"/>
    <dgm:cxn modelId="{86B8F933-9DEB-4667-A9A9-B6D938D2C468}" type="presParOf" srcId="{1D97D080-5B2D-4705-86FA-F69D1DD00423}" destId="{2DD928FA-7880-4153-8CC2-D52C42B46796}" srcOrd="1" destOrd="0" presId="urn:microsoft.com/office/officeart/2005/8/layout/hList1"/>
    <dgm:cxn modelId="{F608F29A-38C8-4B71-815C-97FA81C95857}" type="presParOf" srcId="{1D97D080-5B2D-4705-86FA-F69D1DD00423}" destId="{B6FB6408-1C8E-4930-B83B-6A0F4DE5CBC5}" srcOrd="2" destOrd="0" presId="urn:microsoft.com/office/officeart/2005/8/layout/hList1"/>
    <dgm:cxn modelId="{8B223F4D-82C7-4456-A884-BC0AE82B12FE}" type="presParOf" srcId="{B6FB6408-1C8E-4930-B83B-6A0F4DE5CBC5}" destId="{DDF158B2-74FD-41DF-AC51-5F600C11F859}" srcOrd="0" destOrd="0" presId="urn:microsoft.com/office/officeart/2005/8/layout/hList1"/>
    <dgm:cxn modelId="{BAB24A94-8F67-4DAA-8B10-AE8E24EF2FE4}" type="presParOf" srcId="{B6FB6408-1C8E-4930-B83B-6A0F4DE5CBC5}" destId="{7CAA003D-C1FF-4A2D-82DA-D3ED54217EC1}"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F1735-6205-4587-ACFC-BD1E4C9FE5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4889F205-4BE2-4D16-9D1A-F32FFD827BA9}">
      <dgm:prSet phldrT="[Text]" custT="1"/>
      <dgm:spPr>
        <a:xfrm>
          <a:off x="1406531" y="161499"/>
          <a:ext cx="2848590" cy="390198"/>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gm:t>
    </dgm:pt>
    <dgm:pt modelId="{9575349F-4B23-4F08-B499-2D01E89764D1}" type="parTrans" cxnId="{DCCA8B95-EAD3-43DB-B8DC-6D1487E91812}">
      <dgm:prSet/>
      <dgm:spPr/>
      <dgm:t>
        <a:bodyPr/>
        <a:lstStyle/>
        <a:p>
          <a:endParaRPr lang="hr-HR"/>
        </a:p>
      </dgm:t>
    </dgm:pt>
    <dgm:pt modelId="{8A9869EB-D038-4D63-814B-709127FABED2}" type="sibTrans" cxnId="{DCCA8B95-EAD3-43DB-B8DC-6D1487E91812}">
      <dgm:prSet/>
      <dgm:spPr/>
      <dgm:t>
        <a:bodyPr/>
        <a:lstStyle/>
        <a:p>
          <a:endParaRPr lang="hr-HR"/>
        </a:p>
      </dgm:t>
    </dgm:pt>
    <dgm:pt modelId="{60CCBEE9-5291-4C33-9CCF-D6176AE476B2}">
      <dgm:prSet phldrT="[Text]" custT="1"/>
      <dgm:spPr>
        <a:xfrm>
          <a:off x="268596" y="953398"/>
          <a:ext cx="1381208" cy="339477"/>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Okvirni parametri</a:t>
          </a:r>
        </a:p>
      </dgm:t>
    </dgm:pt>
    <dgm:pt modelId="{A4120181-0175-4244-A3FC-50CA19C54E54}" type="parTrans" cxnId="{2C806F1A-DDE0-4AE4-B6A9-8ED4DD5C3D63}">
      <dgm:prSet/>
      <dgm:spPr>
        <a:xfrm>
          <a:off x="805732" y="405903"/>
          <a:ext cx="1871626" cy="401701"/>
        </a:xfrm>
        <a:noFill/>
        <a:ln w="25400" cap="flat" cmpd="sng" algn="ctr">
          <a:solidFill>
            <a:sysClr val="window" lastClr="FFFFFF">
              <a:lumMod val="50000"/>
            </a:sysClr>
          </a:solidFill>
          <a:prstDash val="solid"/>
        </a:ln>
        <a:effectLst/>
      </dgm:spPr>
      <dgm:t>
        <a:bodyPr/>
        <a:lstStyle/>
        <a:p>
          <a:endParaRPr lang="hr-HR"/>
        </a:p>
      </dgm:t>
    </dgm:pt>
    <dgm:pt modelId="{24493371-B5CD-4339-A706-17A2D3E71098}" type="sibTrans" cxnId="{2C806F1A-DDE0-4AE4-B6A9-8ED4DD5C3D63}">
      <dgm:prSet/>
      <dgm:spPr/>
      <dgm:t>
        <a:bodyPr/>
        <a:lstStyle/>
        <a:p>
          <a:endParaRPr lang="hr-HR"/>
        </a:p>
      </dgm:t>
    </dgm:pt>
    <dgm:pt modelId="{57C186BD-D79A-40B3-82FD-763C9F729B86}">
      <dgm:prSet phldrT="[Text]" custT="1"/>
      <dgm:spPr>
        <a:xfrm>
          <a:off x="155613" y="1694577"/>
          <a:ext cx="1607173" cy="3128911"/>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zaštite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gm:t>
    </dgm:pt>
    <dgm:pt modelId="{B4D52223-6CC0-45C4-93AE-E09F1D6DBB94}" type="parTrans" cxnId="{3326DC58-EE4A-4BEE-A720-7C6A5E1ABC0C}">
      <dgm:prSet/>
      <dgm:spPr>
        <a:xfrm>
          <a:off x="760012" y="1147082"/>
          <a:ext cx="91440" cy="401701"/>
        </a:xfrm>
        <a:noFill/>
        <a:ln w="25400" cap="flat" cmpd="sng" algn="ctr">
          <a:solidFill>
            <a:sysClr val="window" lastClr="FFFFFF">
              <a:lumMod val="50000"/>
            </a:sysClr>
          </a:solidFill>
          <a:prstDash val="solid"/>
        </a:ln>
        <a:effectLst/>
      </dgm:spPr>
      <dgm:t>
        <a:bodyPr/>
        <a:lstStyle/>
        <a:p>
          <a:endParaRPr lang="hr-HR"/>
        </a:p>
      </dgm:t>
    </dgm:pt>
    <dgm:pt modelId="{BBAC72AC-0802-4E9A-9446-1692DF4BD6F8}" type="sibTrans" cxnId="{3326DC58-EE4A-4BEE-A720-7C6A5E1ABC0C}">
      <dgm:prSet/>
      <dgm:spPr/>
      <dgm:t>
        <a:bodyPr/>
        <a:lstStyle/>
        <a:p>
          <a:endParaRPr lang="hr-HR"/>
        </a:p>
      </dgm:t>
    </dgm:pt>
    <dgm:pt modelId="{B21998EB-989E-4D39-9292-82FA8395BB04}">
      <dgm:prSet phldrT="[Text]" custT="1"/>
      <dgm:spPr>
        <a:xfrm>
          <a:off x="2156496" y="953398"/>
          <a:ext cx="1381208" cy="404082"/>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gm:t>
    </dgm:pt>
    <dgm:pt modelId="{AB3F6E82-965D-4C69-8ACD-43B2654982FD}" type="parTrans" cxnId="{8F8B64EF-7EDB-4382-90B8-4D8A552BA14A}">
      <dgm:prSet/>
      <dgm:spPr>
        <a:xfrm>
          <a:off x="2631639" y="405903"/>
          <a:ext cx="91440" cy="401701"/>
        </a:xfrm>
        <a:noFill/>
        <a:ln w="25400" cap="flat" cmpd="sng" algn="ctr">
          <a:solidFill>
            <a:sysClr val="window" lastClr="FFFFFF">
              <a:lumMod val="50000"/>
            </a:sysClr>
          </a:solidFill>
          <a:prstDash val="solid"/>
        </a:ln>
        <a:effectLst/>
      </dgm:spPr>
      <dgm:t>
        <a:bodyPr/>
        <a:lstStyle/>
        <a:p>
          <a:endParaRPr lang="hr-HR"/>
        </a:p>
      </dgm:t>
    </dgm:pt>
    <dgm:pt modelId="{A444E8EA-CF90-44C7-99CF-079A9EB20707}" type="sibTrans" cxnId="{8F8B64EF-7EDB-4382-90B8-4D8A552BA14A}">
      <dgm:prSet/>
      <dgm:spPr/>
      <dgm:t>
        <a:bodyPr/>
        <a:lstStyle/>
        <a:p>
          <a:endParaRPr lang="hr-HR"/>
        </a:p>
      </dgm:t>
    </dgm:pt>
    <dgm:pt modelId="{E91CF31A-7105-46F6-AF9D-0B3FD564558C}">
      <dgm:prSet phldrT="[Text]" custT="1"/>
      <dgm:spPr>
        <a:xfrm>
          <a:off x="2069722" y="1759182"/>
          <a:ext cx="1554757" cy="2706769"/>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 </a:t>
          </a:r>
        </a:p>
      </dgm:t>
    </dgm:pt>
    <dgm:pt modelId="{3D549A0F-6F28-4955-BBCD-CF78F11D6B1C}" type="parTrans" cxnId="{1EEF4895-9A12-4EAE-B25C-F09EA47B18A0}">
      <dgm:prSet/>
      <dgm:spPr>
        <a:xfrm>
          <a:off x="2647913" y="1211687"/>
          <a:ext cx="91440" cy="401701"/>
        </a:xfrm>
        <a:noFill/>
        <a:ln w="25400" cap="flat" cmpd="sng" algn="ctr">
          <a:solidFill>
            <a:sysClr val="window" lastClr="FFFFFF">
              <a:lumMod val="50000"/>
            </a:sysClr>
          </a:solidFill>
          <a:prstDash val="solid"/>
        </a:ln>
        <a:effectLst/>
      </dgm:spPr>
      <dgm:t>
        <a:bodyPr/>
        <a:lstStyle/>
        <a:p>
          <a:endParaRPr lang="hr-HR"/>
        </a:p>
      </dgm:t>
    </dgm:pt>
    <dgm:pt modelId="{3537C72B-4AE8-4875-8D49-C761F4ADFF24}" type="sibTrans" cxnId="{1EEF4895-9A12-4EAE-B25C-F09EA47B18A0}">
      <dgm:prSet/>
      <dgm:spPr/>
      <dgm:t>
        <a:bodyPr/>
        <a:lstStyle/>
        <a:p>
          <a:endParaRPr lang="hr-HR"/>
        </a:p>
      </dgm:t>
    </dgm:pt>
    <dgm:pt modelId="{325F6584-36CB-4A87-B0E2-9CDAF7D847F6}">
      <dgm:prSet custT="1"/>
      <dgm:spPr>
        <a:xfrm>
          <a:off x="4011849" y="953398"/>
          <a:ext cx="1381208" cy="381585"/>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gm:t>
    </dgm:pt>
    <dgm:pt modelId="{FB681F85-A077-4582-B520-568E673A4384}" type="parTrans" cxnId="{9461ECC4-2DA4-4E0F-8FA4-469E4FB40903}">
      <dgm:prSet/>
      <dgm:spPr>
        <a:xfrm>
          <a:off x="2677359" y="405903"/>
          <a:ext cx="1871626" cy="401701"/>
        </a:xfrm>
        <a:noFill/>
        <a:ln w="25400" cap="flat" cmpd="sng" algn="ctr">
          <a:solidFill>
            <a:sysClr val="window" lastClr="FFFFFF">
              <a:lumMod val="50000"/>
            </a:sysClr>
          </a:solidFill>
          <a:prstDash val="solid"/>
        </a:ln>
        <a:effectLst/>
      </dgm:spPr>
      <dgm:t>
        <a:bodyPr/>
        <a:lstStyle/>
        <a:p>
          <a:endParaRPr lang="hr-HR"/>
        </a:p>
      </dgm:t>
    </dgm:pt>
    <dgm:pt modelId="{CB3440EA-8043-4DB4-BC82-11B850313F01}" type="sibTrans" cxnId="{9461ECC4-2DA4-4E0F-8FA4-469E4FB40903}">
      <dgm:prSet/>
      <dgm:spPr/>
      <dgm:t>
        <a:bodyPr/>
        <a:lstStyle/>
        <a:p>
          <a:endParaRPr lang="hr-HR"/>
        </a:p>
      </dgm:t>
    </dgm:pt>
    <dgm:pt modelId="{881D07BE-AF4C-44FA-9F38-7804B10812FA}">
      <dgm:prSet custT="1"/>
      <dgm:spPr>
        <a:xfrm>
          <a:off x="3931414" y="1736685"/>
          <a:ext cx="1542077" cy="2446394"/>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Obrana (Nac.)</a:t>
          </a:r>
        </a:p>
      </dgm:t>
    </dgm:pt>
    <dgm:pt modelId="{DD20F27A-BE56-4F7B-9D53-44806F54319E}" type="parTrans" cxnId="{89A90629-0286-44A3-8C2E-F252BFAC5D4E}">
      <dgm:prSet/>
      <dgm:spPr>
        <a:xfrm>
          <a:off x="4503265" y="1189190"/>
          <a:ext cx="91440" cy="401701"/>
        </a:xfrm>
        <a:noFill/>
        <a:ln w="25400" cap="flat" cmpd="sng" algn="ctr">
          <a:solidFill>
            <a:sysClr val="window" lastClr="FFFFFF">
              <a:lumMod val="50000"/>
            </a:sysClr>
          </a:solidFill>
          <a:prstDash val="solid"/>
        </a:ln>
        <a:effectLst/>
      </dgm:spPr>
      <dgm:t>
        <a:bodyPr/>
        <a:lstStyle/>
        <a:p>
          <a:endParaRPr lang="hr-HR"/>
        </a:p>
      </dgm:t>
    </dgm:pt>
    <dgm:pt modelId="{8EFC034C-3954-47E1-A036-48A99CF8AE40}" type="sibTrans" cxnId="{89A90629-0286-44A3-8C2E-F252BFAC5D4E}">
      <dgm:prSet/>
      <dgm:spPr/>
      <dgm:t>
        <a:bodyPr/>
        <a:lstStyle/>
        <a:p>
          <a:endParaRPr lang="hr-HR"/>
        </a:p>
      </dgm:t>
    </dgm:pt>
    <dgm:pt modelId="{9D944CC8-00DE-4364-8965-216914816E6F}" type="pres">
      <dgm:prSet presAssocID="{D30F1735-6205-4587-ACFC-BD1E4C9FE5CB}" presName="hierChild1" presStyleCnt="0">
        <dgm:presLayoutVars>
          <dgm:chPref val="1"/>
          <dgm:dir/>
          <dgm:animOne val="branch"/>
          <dgm:animLvl val="lvl"/>
          <dgm:resizeHandles/>
        </dgm:presLayoutVars>
      </dgm:prSet>
      <dgm:spPr/>
      <dgm:t>
        <a:bodyPr/>
        <a:lstStyle/>
        <a:p>
          <a:endParaRPr lang="hr-HR"/>
        </a:p>
      </dgm:t>
    </dgm:pt>
    <dgm:pt modelId="{281C75D8-FD6C-4FD1-870B-3E96B233795B}" type="pres">
      <dgm:prSet presAssocID="{4889F205-4BE2-4D16-9D1A-F32FFD827BA9}" presName="hierRoot1" presStyleCnt="0"/>
      <dgm:spPr/>
    </dgm:pt>
    <dgm:pt modelId="{6B003414-8E4E-48D9-8545-12B6E99797F4}" type="pres">
      <dgm:prSet presAssocID="{4889F205-4BE2-4D16-9D1A-F32FFD827BA9}" presName="composite" presStyleCnt="0"/>
      <dgm:spPr/>
    </dgm:pt>
    <dgm:pt modelId="{5B42212E-7FCB-4D93-87E0-104104B3BD62}" type="pres">
      <dgm:prSet presAssocID="{4889F205-4BE2-4D16-9D1A-F32FFD827BA9}" presName="background" presStyleLbl="node0" presStyleIdx="0" presStyleCnt="1"/>
      <dgm:spPr>
        <a:xfrm>
          <a:off x="1253064" y="15704"/>
          <a:ext cx="2848590" cy="39019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D1F24370-6329-48A3-9555-C7DFF7DEAABB}" type="pres">
      <dgm:prSet presAssocID="{4889F205-4BE2-4D16-9D1A-F32FFD827BA9}" presName="text" presStyleLbl="fgAcc0" presStyleIdx="0" presStyleCnt="1" custScaleX="206239" custScaleY="44489">
        <dgm:presLayoutVars>
          <dgm:chPref val="3"/>
        </dgm:presLayoutVars>
      </dgm:prSet>
      <dgm:spPr>
        <a:prstGeom prst="roundRect">
          <a:avLst>
            <a:gd name="adj" fmla="val 10000"/>
          </a:avLst>
        </a:prstGeom>
      </dgm:spPr>
      <dgm:t>
        <a:bodyPr/>
        <a:lstStyle/>
        <a:p>
          <a:endParaRPr lang="hr-HR"/>
        </a:p>
      </dgm:t>
    </dgm:pt>
    <dgm:pt modelId="{8F3BEB62-5F32-4785-B06B-EE3BDDE9A352}" type="pres">
      <dgm:prSet presAssocID="{4889F205-4BE2-4D16-9D1A-F32FFD827BA9}" presName="hierChild2" presStyleCnt="0"/>
      <dgm:spPr/>
    </dgm:pt>
    <dgm:pt modelId="{C0E0D314-CE2E-4A8C-BE56-4CD589EBC922}" type="pres">
      <dgm:prSet presAssocID="{A4120181-0175-4244-A3FC-50CA19C54E54}" presName="Name10" presStyleLbl="parChTrans1D2" presStyleIdx="0" presStyleCnt="3"/>
      <dgm:spPr>
        <a:custGeom>
          <a:avLst/>
          <a:gdLst/>
          <a:ahLst/>
          <a:cxnLst/>
          <a:rect l="0" t="0" r="0" b="0"/>
          <a:pathLst>
            <a:path>
              <a:moveTo>
                <a:pt x="1871626" y="0"/>
              </a:moveTo>
              <a:lnTo>
                <a:pt x="1871626" y="273747"/>
              </a:lnTo>
              <a:lnTo>
                <a:pt x="0" y="273747"/>
              </a:lnTo>
              <a:lnTo>
                <a:pt x="0" y="401701"/>
              </a:lnTo>
            </a:path>
          </a:pathLst>
        </a:custGeom>
      </dgm:spPr>
      <dgm:t>
        <a:bodyPr/>
        <a:lstStyle/>
        <a:p>
          <a:endParaRPr lang="hr-HR"/>
        </a:p>
      </dgm:t>
    </dgm:pt>
    <dgm:pt modelId="{604BE2BF-CD9D-494C-ACFC-FA76E67A840C}" type="pres">
      <dgm:prSet presAssocID="{60CCBEE9-5291-4C33-9CCF-D6176AE476B2}" presName="hierRoot2" presStyleCnt="0"/>
      <dgm:spPr/>
    </dgm:pt>
    <dgm:pt modelId="{A63604C9-9A50-49EE-888C-D2E93A251699}" type="pres">
      <dgm:prSet presAssocID="{60CCBEE9-5291-4C33-9CCF-D6176AE476B2}" presName="composite2" presStyleCnt="0"/>
      <dgm:spPr/>
    </dgm:pt>
    <dgm:pt modelId="{E63DBBF4-0300-4914-8468-E80719B53C80}" type="pres">
      <dgm:prSet presAssocID="{60CCBEE9-5291-4C33-9CCF-D6176AE476B2}" presName="background2" presStyleLbl="node2" presStyleIdx="0" presStyleCnt="3"/>
      <dgm:spPr>
        <a:xfrm>
          <a:off x="115128" y="807604"/>
          <a:ext cx="1381208" cy="33947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4EFC4031-AE15-407E-B17C-5E2FB0922EFD}" type="pres">
      <dgm:prSet presAssocID="{60CCBEE9-5291-4C33-9CCF-D6176AE476B2}" presName="text2" presStyleLbl="fgAcc2" presStyleIdx="0" presStyleCnt="3" custScaleY="38706">
        <dgm:presLayoutVars>
          <dgm:chPref val="3"/>
        </dgm:presLayoutVars>
      </dgm:prSet>
      <dgm:spPr>
        <a:prstGeom prst="roundRect">
          <a:avLst>
            <a:gd name="adj" fmla="val 10000"/>
          </a:avLst>
        </a:prstGeom>
      </dgm:spPr>
      <dgm:t>
        <a:bodyPr/>
        <a:lstStyle/>
        <a:p>
          <a:endParaRPr lang="hr-HR"/>
        </a:p>
      </dgm:t>
    </dgm:pt>
    <dgm:pt modelId="{4CA3E213-95F7-46FA-90FA-ED075B5D3C31}" type="pres">
      <dgm:prSet presAssocID="{60CCBEE9-5291-4C33-9CCF-D6176AE476B2}" presName="hierChild3" presStyleCnt="0"/>
      <dgm:spPr/>
    </dgm:pt>
    <dgm:pt modelId="{5CE8B96F-D524-4583-A1BE-38846CDC34B7}" type="pres">
      <dgm:prSet presAssocID="{B4D52223-6CC0-45C4-93AE-E09F1D6DBB94}" presName="Name17" presStyleLbl="parChTrans1D3" presStyleIdx="0" presStyleCnt="3"/>
      <dgm:spPr>
        <a:custGeom>
          <a:avLst/>
          <a:gdLst/>
          <a:ahLst/>
          <a:cxnLst/>
          <a:rect l="0" t="0" r="0" b="0"/>
          <a:pathLst>
            <a:path>
              <a:moveTo>
                <a:pt x="45720" y="0"/>
              </a:moveTo>
              <a:lnTo>
                <a:pt x="45720" y="401701"/>
              </a:lnTo>
            </a:path>
          </a:pathLst>
        </a:custGeom>
      </dgm:spPr>
      <dgm:t>
        <a:bodyPr/>
        <a:lstStyle/>
        <a:p>
          <a:endParaRPr lang="hr-HR"/>
        </a:p>
      </dgm:t>
    </dgm:pt>
    <dgm:pt modelId="{CFD91AC0-B185-42BF-B855-1920AB8007F1}" type="pres">
      <dgm:prSet presAssocID="{57C186BD-D79A-40B3-82FD-763C9F729B86}" presName="hierRoot3" presStyleCnt="0"/>
      <dgm:spPr/>
    </dgm:pt>
    <dgm:pt modelId="{5BB11E92-C3B1-4476-BAAE-E94A5FA44373}" type="pres">
      <dgm:prSet presAssocID="{57C186BD-D79A-40B3-82FD-763C9F729B86}" presName="composite3" presStyleCnt="0"/>
      <dgm:spPr/>
    </dgm:pt>
    <dgm:pt modelId="{EEC02E34-258B-4E36-BE14-9682353948C3}" type="pres">
      <dgm:prSet presAssocID="{57C186BD-D79A-40B3-82FD-763C9F729B86}" presName="background3" presStyleLbl="node3" presStyleIdx="0" presStyleCnt="3"/>
      <dgm:spPr>
        <a:xfrm>
          <a:off x="2145" y="1548783"/>
          <a:ext cx="1607173" cy="3128911"/>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106594E9-7AC7-47ED-B4A1-C7633A264C0F}" type="pres">
      <dgm:prSet presAssocID="{57C186BD-D79A-40B3-82FD-763C9F729B86}" presName="text3" presStyleLbl="fgAcc3" presStyleIdx="0" presStyleCnt="3" custScaleX="116360" custScaleY="356747">
        <dgm:presLayoutVars>
          <dgm:chPref val="3"/>
        </dgm:presLayoutVars>
      </dgm:prSet>
      <dgm:spPr>
        <a:prstGeom prst="roundRect">
          <a:avLst>
            <a:gd name="adj" fmla="val 10000"/>
          </a:avLst>
        </a:prstGeom>
      </dgm:spPr>
      <dgm:t>
        <a:bodyPr/>
        <a:lstStyle/>
        <a:p>
          <a:endParaRPr lang="hr-HR"/>
        </a:p>
      </dgm:t>
    </dgm:pt>
    <dgm:pt modelId="{EFBA1520-9A89-45B0-9266-FAF6E77B1B97}" type="pres">
      <dgm:prSet presAssocID="{57C186BD-D79A-40B3-82FD-763C9F729B86}" presName="hierChild4" presStyleCnt="0"/>
      <dgm:spPr/>
    </dgm:pt>
    <dgm:pt modelId="{ED9C5139-8922-4DAD-938F-13181C1576A3}" type="pres">
      <dgm:prSet presAssocID="{AB3F6E82-965D-4C69-8ACD-43B2654982FD}" presName="Name10" presStyleLbl="parChTrans1D2" presStyleIdx="1" presStyleCnt="3"/>
      <dgm:spPr>
        <a:custGeom>
          <a:avLst/>
          <a:gdLst/>
          <a:ahLst/>
          <a:cxnLst/>
          <a:rect l="0" t="0" r="0" b="0"/>
          <a:pathLst>
            <a:path>
              <a:moveTo>
                <a:pt x="45720" y="0"/>
              </a:moveTo>
              <a:lnTo>
                <a:pt x="45720" y="273747"/>
              </a:lnTo>
              <a:lnTo>
                <a:pt x="61994" y="273747"/>
              </a:lnTo>
              <a:lnTo>
                <a:pt x="61994" y="401701"/>
              </a:lnTo>
            </a:path>
          </a:pathLst>
        </a:custGeom>
      </dgm:spPr>
      <dgm:t>
        <a:bodyPr/>
        <a:lstStyle/>
        <a:p>
          <a:endParaRPr lang="hr-HR"/>
        </a:p>
      </dgm:t>
    </dgm:pt>
    <dgm:pt modelId="{B8B199E0-F33B-4968-9A79-9D588DFD4ED3}" type="pres">
      <dgm:prSet presAssocID="{B21998EB-989E-4D39-9292-82FA8395BB04}" presName="hierRoot2" presStyleCnt="0"/>
      <dgm:spPr/>
    </dgm:pt>
    <dgm:pt modelId="{FBF1458E-5D20-4824-9669-2677C0264F2D}" type="pres">
      <dgm:prSet presAssocID="{B21998EB-989E-4D39-9292-82FA8395BB04}" presName="composite2" presStyleCnt="0"/>
      <dgm:spPr/>
    </dgm:pt>
    <dgm:pt modelId="{8FF235CA-37E5-46E5-BF33-DDA8AA0061F8}" type="pres">
      <dgm:prSet presAssocID="{B21998EB-989E-4D39-9292-82FA8395BB04}" presName="background2" presStyleLbl="node2" presStyleIdx="1" presStyleCnt="3"/>
      <dgm:spPr>
        <a:xfrm>
          <a:off x="2003029" y="807604"/>
          <a:ext cx="1381208" cy="404082"/>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86B959E7-8E8A-4EEF-A62D-A5919963A187}" type="pres">
      <dgm:prSet presAssocID="{B21998EB-989E-4D39-9292-82FA8395BB04}" presName="text2" presStyleLbl="fgAcc2" presStyleIdx="1" presStyleCnt="3" custScaleY="46072">
        <dgm:presLayoutVars>
          <dgm:chPref val="3"/>
        </dgm:presLayoutVars>
      </dgm:prSet>
      <dgm:spPr>
        <a:prstGeom prst="roundRect">
          <a:avLst>
            <a:gd name="adj" fmla="val 10000"/>
          </a:avLst>
        </a:prstGeom>
      </dgm:spPr>
      <dgm:t>
        <a:bodyPr/>
        <a:lstStyle/>
        <a:p>
          <a:endParaRPr lang="hr-HR"/>
        </a:p>
      </dgm:t>
    </dgm:pt>
    <dgm:pt modelId="{DAF562EE-0E28-4BDC-AF2B-CE2E0F1692E7}" type="pres">
      <dgm:prSet presAssocID="{B21998EB-989E-4D39-9292-82FA8395BB04}" presName="hierChild3" presStyleCnt="0"/>
      <dgm:spPr/>
    </dgm:pt>
    <dgm:pt modelId="{5FFF07C7-CA10-4C88-B9BC-E422188C76D4}" type="pres">
      <dgm:prSet presAssocID="{3D549A0F-6F28-4955-BBCD-CF78F11D6B1C}" presName="Name17" presStyleLbl="parChTrans1D3" presStyleIdx="1" presStyleCnt="3"/>
      <dgm:spPr>
        <a:custGeom>
          <a:avLst/>
          <a:gdLst/>
          <a:ahLst/>
          <a:cxnLst/>
          <a:rect l="0" t="0" r="0" b="0"/>
          <a:pathLst>
            <a:path>
              <a:moveTo>
                <a:pt x="45720" y="0"/>
              </a:moveTo>
              <a:lnTo>
                <a:pt x="45720" y="401701"/>
              </a:lnTo>
            </a:path>
          </a:pathLst>
        </a:custGeom>
      </dgm:spPr>
      <dgm:t>
        <a:bodyPr/>
        <a:lstStyle/>
        <a:p>
          <a:endParaRPr lang="hr-HR"/>
        </a:p>
      </dgm:t>
    </dgm:pt>
    <dgm:pt modelId="{B3B6A174-43B2-4015-B69D-C1F46AEB058E}" type="pres">
      <dgm:prSet presAssocID="{E91CF31A-7105-46F6-AF9D-0B3FD564558C}" presName="hierRoot3" presStyleCnt="0"/>
      <dgm:spPr/>
    </dgm:pt>
    <dgm:pt modelId="{F27895DD-2D85-4E4E-B47B-4AA487082958}" type="pres">
      <dgm:prSet presAssocID="{E91CF31A-7105-46F6-AF9D-0B3FD564558C}" presName="composite3" presStyleCnt="0"/>
      <dgm:spPr/>
    </dgm:pt>
    <dgm:pt modelId="{ED8448FF-59F0-46E3-8501-E44C47561544}" type="pres">
      <dgm:prSet presAssocID="{E91CF31A-7105-46F6-AF9D-0B3FD564558C}" presName="background3" presStyleLbl="node3" presStyleIdx="1" presStyleCnt="3"/>
      <dgm:spPr>
        <a:xfrm>
          <a:off x="1916254" y="1613388"/>
          <a:ext cx="1554757" cy="2706769"/>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3A1B229-272B-4A3D-BEDD-23D4019B0AD8}" type="pres">
      <dgm:prSet presAssocID="{E91CF31A-7105-46F6-AF9D-0B3FD564558C}" presName="text3" presStyleLbl="fgAcc3" presStyleIdx="1" presStyleCnt="3" custScaleX="112565" custScaleY="308616">
        <dgm:presLayoutVars>
          <dgm:chPref val="3"/>
        </dgm:presLayoutVars>
      </dgm:prSet>
      <dgm:spPr>
        <a:prstGeom prst="roundRect">
          <a:avLst>
            <a:gd name="adj" fmla="val 10000"/>
          </a:avLst>
        </a:prstGeom>
      </dgm:spPr>
      <dgm:t>
        <a:bodyPr/>
        <a:lstStyle/>
        <a:p>
          <a:endParaRPr lang="hr-HR"/>
        </a:p>
      </dgm:t>
    </dgm:pt>
    <dgm:pt modelId="{15CDBC20-612B-44D7-8B1E-3D42FD9ACAA5}" type="pres">
      <dgm:prSet presAssocID="{E91CF31A-7105-46F6-AF9D-0B3FD564558C}" presName="hierChild4" presStyleCnt="0"/>
      <dgm:spPr/>
    </dgm:pt>
    <dgm:pt modelId="{2A0E76DF-2949-40EB-9831-DC9814A6213B}" type="pres">
      <dgm:prSet presAssocID="{FB681F85-A077-4582-B520-568E673A4384}" presName="Name10" presStyleLbl="parChTrans1D2" presStyleIdx="2" presStyleCnt="3"/>
      <dgm:spPr>
        <a:custGeom>
          <a:avLst/>
          <a:gdLst/>
          <a:ahLst/>
          <a:cxnLst/>
          <a:rect l="0" t="0" r="0" b="0"/>
          <a:pathLst>
            <a:path>
              <a:moveTo>
                <a:pt x="0" y="0"/>
              </a:moveTo>
              <a:lnTo>
                <a:pt x="0" y="273747"/>
              </a:lnTo>
              <a:lnTo>
                <a:pt x="1871626" y="273747"/>
              </a:lnTo>
              <a:lnTo>
                <a:pt x="1871626" y="401701"/>
              </a:lnTo>
            </a:path>
          </a:pathLst>
        </a:custGeom>
      </dgm:spPr>
      <dgm:t>
        <a:bodyPr/>
        <a:lstStyle/>
        <a:p>
          <a:endParaRPr lang="hr-HR"/>
        </a:p>
      </dgm:t>
    </dgm:pt>
    <dgm:pt modelId="{A5A0213B-AF5F-4890-AC13-4089F2E009CA}" type="pres">
      <dgm:prSet presAssocID="{325F6584-36CB-4A87-B0E2-9CDAF7D847F6}" presName="hierRoot2" presStyleCnt="0"/>
      <dgm:spPr/>
    </dgm:pt>
    <dgm:pt modelId="{C716BD1C-9533-400E-8664-7D159CFF7EBD}" type="pres">
      <dgm:prSet presAssocID="{325F6584-36CB-4A87-B0E2-9CDAF7D847F6}" presName="composite2" presStyleCnt="0"/>
      <dgm:spPr/>
    </dgm:pt>
    <dgm:pt modelId="{4AFBB9A8-8049-49B0-887D-F17431A7891E}" type="pres">
      <dgm:prSet presAssocID="{325F6584-36CB-4A87-B0E2-9CDAF7D847F6}" presName="background2" presStyleLbl="node2" presStyleIdx="2" presStyleCnt="3"/>
      <dgm:spPr>
        <a:xfrm>
          <a:off x="3858381" y="807604"/>
          <a:ext cx="1381208" cy="381585"/>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A9F37AA-D725-4666-A092-373C8C8E8EB9}" type="pres">
      <dgm:prSet presAssocID="{325F6584-36CB-4A87-B0E2-9CDAF7D847F6}" presName="text2" presStyleLbl="fgAcc2" presStyleIdx="2" presStyleCnt="3" custScaleY="43507">
        <dgm:presLayoutVars>
          <dgm:chPref val="3"/>
        </dgm:presLayoutVars>
      </dgm:prSet>
      <dgm:spPr>
        <a:prstGeom prst="roundRect">
          <a:avLst>
            <a:gd name="adj" fmla="val 10000"/>
          </a:avLst>
        </a:prstGeom>
      </dgm:spPr>
      <dgm:t>
        <a:bodyPr/>
        <a:lstStyle/>
        <a:p>
          <a:endParaRPr lang="hr-HR"/>
        </a:p>
      </dgm:t>
    </dgm:pt>
    <dgm:pt modelId="{37AF3A43-D6AC-43DA-A9F2-3BF67565F08A}" type="pres">
      <dgm:prSet presAssocID="{325F6584-36CB-4A87-B0E2-9CDAF7D847F6}" presName="hierChild3" presStyleCnt="0"/>
      <dgm:spPr/>
    </dgm:pt>
    <dgm:pt modelId="{FE90ABEA-2B13-4FDB-9B50-2D17E4CD8EDE}" type="pres">
      <dgm:prSet presAssocID="{DD20F27A-BE56-4F7B-9D53-44806F54319E}" presName="Name17" presStyleLbl="parChTrans1D3" presStyleIdx="2" presStyleCnt="3"/>
      <dgm:spPr>
        <a:custGeom>
          <a:avLst/>
          <a:gdLst/>
          <a:ahLst/>
          <a:cxnLst/>
          <a:rect l="0" t="0" r="0" b="0"/>
          <a:pathLst>
            <a:path>
              <a:moveTo>
                <a:pt x="45720" y="0"/>
              </a:moveTo>
              <a:lnTo>
                <a:pt x="45720" y="401701"/>
              </a:lnTo>
            </a:path>
          </a:pathLst>
        </a:custGeom>
      </dgm:spPr>
      <dgm:t>
        <a:bodyPr/>
        <a:lstStyle/>
        <a:p>
          <a:endParaRPr lang="hr-HR"/>
        </a:p>
      </dgm:t>
    </dgm:pt>
    <dgm:pt modelId="{1C6D729E-F3D8-447D-8C35-D43A423DDAEC}" type="pres">
      <dgm:prSet presAssocID="{881D07BE-AF4C-44FA-9F38-7804B10812FA}" presName="hierRoot3" presStyleCnt="0"/>
      <dgm:spPr/>
    </dgm:pt>
    <dgm:pt modelId="{05A18398-9751-4415-8D92-10B866DBFBB2}" type="pres">
      <dgm:prSet presAssocID="{881D07BE-AF4C-44FA-9F38-7804B10812FA}" presName="composite3" presStyleCnt="0"/>
      <dgm:spPr/>
    </dgm:pt>
    <dgm:pt modelId="{5DD05FEE-F784-48F0-95E2-B1640AC6E838}" type="pres">
      <dgm:prSet presAssocID="{881D07BE-AF4C-44FA-9F38-7804B10812FA}" presName="background3" presStyleLbl="node3" presStyleIdx="2" presStyleCnt="3"/>
      <dgm:spPr>
        <a:xfrm>
          <a:off x="3777947" y="1590891"/>
          <a:ext cx="1542077" cy="2446394"/>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9521D063-B51B-4ECB-A655-6F44E2F2DB9A}" type="pres">
      <dgm:prSet presAssocID="{881D07BE-AF4C-44FA-9F38-7804B10812FA}" presName="text3" presStyleLbl="fgAcc3" presStyleIdx="2" presStyleCnt="3" custScaleX="111647" custScaleY="278929">
        <dgm:presLayoutVars>
          <dgm:chPref val="3"/>
        </dgm:presLayoutVars>
      </dgm:prSet>
      <dgm:spPr>
        <a:prstGeom prst="roundRect">
          <a:avLst>
            <a:gd name="adj" fmla="val 10000"/>
          </a:avLst>
        </a:prstGeom>
      </dgm:spPr>
      <dgm:t>
        <a:bodyPr/>
        <a:lstStyle/>
        <a:p>
          <a:endParaRPr lang="hr-HR"/>
        </a:p>
      </dgm:t>
    </dgm:pt>
    <dgm:pt modelId="{2C5EF3B2-B1DF-4297-B72F-5D32F5F2DC1C}" type="pres">
      <dgm:prSet presAssocID="{881D07BE-AF4C-44FA-9F38-7804B10812FA}" presName="hierChild4" presStyleCnt="0"/>
      <dgm:spPr/>
    </dgm:pt>
  </dgm:ptLst>
  <dgm:cxnLst>
    <dgm:cxn modelId="{1EEF4895-9A12-4EAE-B25C-F09EA47B18A0}" srcId="{B21998EB-989E-4D39-9292-82FA8395BB04}" destId="{E91CF31A-7105-46F6-AF9D-0B3FD564558C}" srcOrd="0" destOrd="0" parTransId="{3D549A0F-6F28-4955-BBCD-CF78F11D6B1C}" sibTransId="{3537C72B-4AE8-4875-8D49-C761F4ADFF24}"/>
    <dgm:cxn modelId="{8FC70DE6-297A-464E-9A28-B3DCA86AC399}" type="presOf" srcId="{B21998EB-989E-4D39-9292-82FA8395BB04}" destId="{86B959E7-8E8A-4EEF-A62D-A5919963A187}" srcOrd="0" destOrd="0" presId="urn:microsoft.com/office/officeart/2005/8/layout/hierarchy1"/>
    <dgm:cxn modelId="{2C806F1A-DDE0-4AE4-B6A9-8ED4DD5C3D63}" srcId="{4889F205-4BE2-4D16-9D1A-F32FFD827BA9}" destId="{60CCBEE9-5291-4C33-9CCF-D6176AE476B2}" srcOrd="0" destOrd="0" parTransId="{A4120181-0175-4244-A3FC-50CA19C54E54}" sibTransId="{24493371-B5CD-4339-A706-17A2D3E71098}"/>
    <dgm:cxn modelId="{AD248031-337C-4EAD-AFAB-81000E23D9F2}" type="presOf" srcId="{E91CF31A-7105-46F6-AF9D-0B3FD564558C}" destId="{B3A1B229-272B-4A3D-BEDD-23D4019B0AD8}" srcOrd="0" destOrd="0" presId="urn:microsoft.com/office/officeart/2005/8/layout/hierarchy1"/>
    <dgm:cxn modelId="{9461ECC4-2DA4-4E0F-8FA4-469E4FB40903}" srcId="{4889F205-4BE2-4D16-9D1A-F32FFD827BA9}" destId="{325F6584-36CB-4A87-B0E2-9CDAF7D847F6}" srcOrd="2" destOrd="0" parTransId="{FB681F85-A077-4582-B520-568E673A4384}" sibTransId="{CB3440EA-8043-4DB4-BC82-11B850313F01}"/>
    <dgm:cxn modelId="{822B02BB-E0CA-4FB1-8C96-D6D4D2A04C09}" type="presOf" srcId="{B4D52223-6CC0-45C4-93AE-E09F1D6DBB94}" destId="{5CE8B96F-D524-4583-A1BE-38846CDC34B7}" srcOrd="0" destOrd="0" presId="urn:microsoft.com/office/officeart/2005/8/layout/hierarchy1"/>
    <dgm:cxn modelId="{E9F7941E-F492-4C71-8269-DEFA7CA2C61A}" type="presOf" srcId="{D30F1735-6205-4587-ACFC-BD1E4C9FE5CB}" destId="{9D944CC8-00DE-4364-8965-216914816E6F}" srcOrd="0" destOrd="0" presId="urn:microsoft.com/office/officeart/2005/8/layout/hierarchy1"/>
    <dgm:cxn modelId="{79B41427-8A59-4E3D-B789-284E8A144A80}" type="presOf" srcId="{A4120181-0175-4244-A3FC-50CA19C54E54}" destId="{C0E0D314-CE2E-4A8C-BE56-4CD589EBC922}" srcOrd="0" destOrd="0" presId="urn:microsoft.com/office/officeart/2005/8/layout/hierarchy1"/>
    <dgm:cxn modelId="{2A8E049D-4CDD-4D57-A03B-761E375C7FA5}" type="presOf" srcId="{325F6584-36CB-4A87-B0E2-9CDAF7D847F6}" destId="{BA9F37AA-D725-4666-A092-373C8C8E8EB9}" srcOrd="0" destOrd="0" presId="urn:microsoft.com/office/officeart/2005/8/layout/hierarchy1"/>
    <dgm:cxn modelId="{DCCA8B95-EAD3-43DB-B8DC-6D1487E91812}" srcId="{D30F1735-6205-4587-ACFC-BD1E4C9FE5CB}" destId="{4889F205-4BE2-4D16-9D1A-F32FFD827BA9}" srcOrd="0" destOrd="0" parTransId="{9575349F-4B23-4F08-B499-2D01E89764D1}" sibTransId="{8A9869EB-D038-4D63-814B-709127FABED2}"/>
    <dgm:cxn modelId="{825E0F6C-5388-4D0E-96BF-0B761E0C1483}" type="presOf" srcId="{4889F205-4BE2-4D16-9D1A-F32FFD827BA9}" destId="{D1F24370-6329-48A3-9555-C7DFF7DEAABB}" srcOrd="0" destOrd="0" presId="urn:microsoft.com/office/officeart/2005/8/layout/hierarchy1"/>
    <dgm:cxn modelId="{3326DC58-EE4A-4BEE-A720-7C6A5E1ABC0C}" srcId="{60CCBEE9-5291-4C33-9CCF-D6176AE476B2}" destId="{57C186BD-D79A-40B3-82FD-763C9F729B86}" srcOrd="0" destOrd="0" parTransId="{B4D52223-6CC0-45C4-93AE-E09F1D6DBB94}" sibTransId="{BBAC72AC-0802-4E9A-9446-1692DF4BD6F8}"/>
    <dgm:cxn modelId="{435392F7-3A8E-4264-8AAD-E2630540F27E}" type="presOf" srcId="{881D07BE-AF4C-44FA-9F38-7804B10812FA}" destId="{9521D063-B51B-4ECB-A655-6F44E2F2DB9A}" srcOrd="0" destOrd="0" presId="urn:microsoft.com/office/officeart/2005/8/layout/hierarchy1"/>
    <dgm:cxn modelId="{273704B7-6A52-4892-8097-29A1E48EFD36}" type="presOf" srcId="{57C186BD-D79A-40B3-82FD-763C9F729B86}" destId="{106594E9-7AC7-47ED-B4A1-C7633A264C0F}" srcOrd="0" destOrd="0" presId="urn:microsoft.com/office/officeart/2005/8/layout/hierarchy1"/>
    <dgm:cxn modelId="{6CBFA483-6353-46E2-B4BC-81838ADF8684}" type="presOf" srcId="{FB681F85-A077-4582-B520-568E673A4384}" destId="{2A0E76DF-2949-40EB-9831-DC9814A6213B}" srcOrd="0" destOrd="0" presId="urn:microsoft.com/office/officeart/2005/8/layout/hierarchy1"/>
    <dgm:cxn modelId="{C7B98BB2-ABEC-4C02-9454-185820109CC0}" type="presOf" srcId="{DD20F27A-BE56-4F7B-9D53-44806F54319E}" destId="{FE90ABEA-2B13-4FDB-9B50-2D17E4CD8EDE}" srcOrd="0" destOrd="0" presId="urn:microsoft.com/office/officeart/2005/8/layout/hierarchy1"/>
    <dgm:cxn modelId="{6ED5CEC1-7EE9-4099-BB71-ACCB455F65B8}" type="presOf" srcId="{60CCBEE9-5291-4C33-9CCF-D6176AE476B2}" destId="{4EFC4031-AE15-407E-B17C-5E2FB0922EFD}" srcOrd="0" destOrd="0" presId="urn:microsoft.com/office/officeart/2005/8/layout/hierarchy1"/>
    <dgm:cxn modelId="{1C235A64-87FB-408A-9107-49D253C031D0}" type="presOf" srcId="{AB3F6E82-965D-4C69-8ACD-43B2654982FD}" destId="{ED9C5139-8922-4DAD-938F-13181C1576A3}" srcOrd="0" destOrd="0" presId="urn:microsoft.com/office/officeart/2005/8/layout/hierarchy1"/>
    <dgm:cxn modelId="{8F8B64EF-7EDB-4382-90B8-4D8A552BA14A}" srcId="{4889F205-4BE2-4D16-9D1A-F32FFD827BA9}" destId="{B21998EB-989E-4D39-9292-82FA8395BB04}" srcOrd="1" destOrd="0" parTransId="{AB3F6E82-965D-4C69-8ACD-43B2654982FD}" sibTransId="{A444E8EA-CF90-44C7-99CF-079A9EB20707}"/>
    <dgm:cxn modelId="{DDD6AB54-E196-42B4-B1F4-3C55FEE623B9}" type="presOf" srcId="{3D549A0F-6F28-4955-BBCD-CF78F11D6B1C}" destId="{5FFF07C7-CA10-4C88-B9BC-E422188C76D4}" srcOrd="0" destOrd="0" presId="urn:microsoft.com/office/officeart/2005/8/layout/hierarchy1"/>
    <dgm:cxn modelId="{89A90629-0286-44A3-8C2E-F252BFAC5D4E}" srcId="{325F6584-36CB-4A87-B0E2-9CDAF7D847F6}" destId="{881D07BE-AF4C-44FA-9F38-7804B10812FA}" srcOrd="0" destOrd="0" parTransId="{DD20F27A-BE56-4F7B-9D53-44806F54319E}" sibTransId="{8EFC034C-3954-47E1-A036-48A99CF8AE40}"/>
    <dgm:cxn modelId="{8B192F98-4EF8-4850-9CDB-C24A9D8431BA}" type="presParOf" srcId="{9D944CC8-00DE-4364-8965-216914816E6F}" destId="{281C75D8-FD6C-4FD1-870B-3E96B233795B}" srcOrd="0" destOrd="0" presId="urn:microsoft.com/office/officeart/2005/8/layout/hierarchy1"/>
    <dgm:cxn modelId="{E32CF904-12B1-4FE3-AD97-E7A9A7EEC4CE}" type="presParOf" srcId="{281C75D8-FD6C-4FD1-870B-3E96B233795B}" destId="{6B003414-8E4E-48D9-8545-12B6E99797F4}" srcOrd="0" destOrd="0" presId="urn:microsoft.com/office/officeart/2005/8/layout/hierarchy1"/>
    <dgm:cxn modelId="{104D99CE-E497-4EC8-81B7-0AAD8C43A135}" type="presParOf" srcId="{6B003414-8E4E-48D9-8545-12B6E99797F4}" destId="{5B42212E-7FCB-4D93-87E0-104104B3BD62}" srcOrd="0" destOrd="0" presId="urn:microsoft.com/office/officeart/2005/8/layout/hierarchy1"/>
    <dgm:cxn modelId="{99F41D4C-5217-4FCA-924C-CD193251F06F}" type="presParOf" srcId="{6B003414-8E4E-48D9-8545-12B6E99797F4}" destId="{D1F24370-6329-48A3-9555-C7DFF7DEAABB}" srcOrd="1" destOrd="0" presId="urn:microsoft.com/office/officeart/2005/8/layout/hierarchy1"/>
    <dgm:cxn modelId="{84A68B14-4854-40F0-93A0-2854425FCF91}" type="presParOf" srcId="{281C75D8-FD6C-4FD1-870B-3E96B233795B}" destId="{8F3BEB62-5F32-4785-B06B-EE3BDDE9A352}" srcOrd="1" destOrd="0" presId="urn:microsoft.com/office/officeart/2005/8/layout/hierarchy1"/>
    <dgm:cxn modelId="{DFADE85E-ACB2-4F6F-B67D-43DE5DC96D1E}" type="presParOf" srcId="{8F3BEB62-5F32-4785-B06B-EE3BDDE9A352}" destId="{C0E0D314-CE2E-4A8C-BE56-4CD589EBC922}" srcOrd="0" destOrd="0" presId="urn:microsoft.com/office/officeart/2005/8/layout/hierarchy1"/>
    <dgm:cxn modelId="{263CA8C4-40B4-418B-996C-338D6A1ADE56}" type="presParOf" srcId="{8F3BEB62-5F32-4785-B06B-EE3BDDE9A352}" destId="{604BE2BF-CD9D-494C-ACFC-FA76E67A840C}" srcOrd="1" destOrd="0" presId="urn:microsoft.com/office/officeart/2005/8/layout/hierarchy1"/>
    <dgm:cxn modelId="{FF0251C4-3773-4947-AB00-FA6306512B84}" type="presParOf" srcId="{604BE2BF-CD9D-494C-ACFC-FA76E67A840C}" destId="{A63604C9-9A50-49EE-888C-D2E93A251699}" srcOrd="0" destOrd="0" presId="urn:microsoft.com/office/officeart/2005/8/layout/hierarchy1"/>
    <dgm:cxn modelId="{2CD75F8C-65FD-4F3B-B38D-218ADCC861C7}" type="presParOf" srcId="{A63604C9-9A50-49EE-888C-D2E93A251699}" destId="{E63DBBF4-0300-4914-8468-E80719B53C80}" srcOrd="0" destOrd="0" presId="urn:microsoft.com/office/officeart/2005/8/layout/hierarchy1"/>
    <dgm:cxn modelId="{E0F11AAC-8378-4AA3-9D5C-894F36B2AF2E}" type="presParOf" srcId="{A63604C9-9A50-49EE-888C-D2E93A251699}" destId="{4EFC4031-AE15-407E-B17C-5E2FB0922EFD}" srcOrd="1" destOrd="0" presId="urn:microsoft.com/office/officeart/2005/8/layout/hierarchy1"/>
    <dgm:cxn modelId="{3A41AEE4-A740-41EA-BB25-A5180B2C42C9}" type="presParOf" srcId="{604BE2BF-CD9D-494C-ACFC-FA76E67A840C}" destId="{4CA3E213-95F7-46FA-90FA-ED075B5D3C31}" srcOrd="1" destOrd="0" presId="urn:microsoft.com/office/officeart/2005/8/layout/hierarchy1"/>
    <dgm:cxn modelId="{2446F0EC-BB8B-4FDA-83B1-10A1AF45BC8B}" type="presParOf" srcId="{4CA3E213-95F7-46FA-90FA-ED075B5D3C31}" destId="{5CE8B96F-D524-4583-A1BE-38846CDC34B7}" srcOrd="0" destOrd="0" presId="urn:microsoft.com/office/officeart/2005/8/layout/hierarchy1"/>
    <dgm:cxn modelId="{5D7F5715-F553-46E3-B0E5-399B7CE13EED}" type="presParOf" srcId="{4CA3E213-95F7-46FA-90FA-ED075B5D3C31}" destId="{CFD91AC0-B185-42BF-B855-1920AB8007F1}" srcOrd="1" destOrd="0" presId="urn:microsoft.com/office/officeart/2005/8/layout/hierarchy1"/>
    <dgm:cxn modelId="{DDC94F0D-32BF-4EAA-BDC8-D3EC7BEA3908}" type="presParOf" srcId="{CFD91AC0-B185-42BF-B855-1920AB8007F1}" destId="{5BB11E92-C3B1-4476-BAAE-E94A5FA44373}" srcOrd="0" destOrd="0" presId="urn:microsoft.com/office/officeart/2005/8/layout/hierarchy1"/>
    <dgm:cxn modelId="{217453F2-356F-4E0A-A2D4-BFE1CDC02D26}" type="presParOf" srcId="{5BB11E92-C3B1-4476-BAAE-E94A5FA44373}" destId="{EEC02E34-258B-4E36-BE14-9682353948C3}" srcOrd="0" destOrd="0" presId="urn:microsoft.com/office/officeart/2005/8/layout/hierarchy1"/>
    <dgm:cxn modelId="{336A366A-A480-4395-9751-41096910F131}" type="presParOf" srcId="{5BB11E92-C3B1-4476-BAAE-E94A5FA44373}" destId="{106594E9-7AC7-47ED-B4A1-C7633A264C0F}" srcOrd="1" destOrd="0" presId="urn:microsoft.com/office/officeart/2005/8/layout/hierarchy1"/>
    <dgm:cxn modelId="{E65224B3-B959-4967-AE91-105B75EC7FB6}" type="presParOf" srcId="{CFD91AC0-B185-42BF-B855-1920AB8007F1}" destId="{EFBA1520-9A89-45B0-9266-FAF6E77B1B97}" srcOrd="1" destOrd="0" presId="urn:microsoft.com/office/officeart/2005/8/layout/hierarchy1"/>
    <dgm:cxn modelId="{CA3CDACE-FD61-413E-A454-CB45AD201677}" type="presParOf" srcId="{8F3BEB62-5F32-4785-B06B-EE3BDDE9A352}" destId="{ED9C5139-8922-4DAD-938F-13181C1576A3}" srcOrd="2" destOrd="0" presId="urn:microsoft.com/office/officeart/2005/8/layout/hierarchy1"/>
    <dgm:cxn modelId="{B8089412-2360-437F-B86C-2B34A93F96D0}" type="presParOf" srcId="{8F3BEB62-5F32-4785-B06B-EE3BDDE9A352}" destId="{B8B199E0-F33B-4968-9A79-9D588DFD4ED3}" srcOrd="3" destOrd="0" presId="urn:microsoft.com/office/officeart/2005/8/layout/hierarchy1"/>
    <dgm:cxn modelId="{3F10C614-41C7-4338-84EA-5B3D7BE55DE0}" type="presParOf" srcId="{B8B199E0-F33B-4968-9A79-9D588DFD4ED3}" destId="{FBF1458E-5D20-4824-9669-2677C0264F2D}" srcOrd="0" destOrd="0" presId="urn:microsoft.com/office/officeart/2005/8/layout/hierarchy1"/>
    <dgm:cxn modelId="{4848333B-02B2-4292-B998-C7DCE16B1B66}" type="presParOf" srcId="{FBF1458E-5D20-4824-9669-2677C0264F2D}" destId="{8FF235CA-37E5-46E5-BF33-DDA8AA0061F8}" srcOrd="0" destOrd="0" presId="urn:microsoft.com/office/officeart/2005/8/layout/hierarchy1"/>
    <dgm:cxn modelId="{3604788B-C187-4587-9C26-96285EA6F3CC}" type="presParOf" srcId="{FBF1458E-5D20-4824-9669-2677C0264F2D}" destId="{86B959E7-8E8A-4EEF-A62D-A5919963A187}" srcOrd="1" destOrd="0" presId="urn:microsoft.com/office/officeart/2005/8/layout/hierarchy1"/>
    <dgm:cxn modelId="{EB122437-7E8F-4F78-8AF5-BFDA314E6DF7}" type="presParOf" srcId="{B8B199E0-F33B-4968-9A79-9D588DFD4ED3}" destId="{DAF562EE-0E28-4BDC-AF2B-CE2E0F1692E7}" srcOrd="1" destOrd="0" presId="urn:microsoft.com/office/officeart/2005/8/layout/hierarchy1"/>
    <dgm:cxn modelId="{BC33DAA8-35DA-4E40-AE86-BB5F95D13FC3}" type="presParOf" srcId="{DAF562EE-0E28-4BDC-AF2B-CE2E0F1692E7}" destId="{5FFF07C7-CA10-4C88-B9BC-E422188C76D4}" srcOrd="0" destOrd="0" presId="urn:microsoft.com/office/officeart/2005/8/layout/hierarchy1"/>
    <dgm:cxn modelId="{E3D3307B-0770-489C-AFE2-B86DD790DB3D}" type="presParOf" srcId="{DAF562EE-0E28-4BDC-AF2B-CE2E0F1692E7}" destId="{B3B6A174-43B2-4015-B69D-C1F46AEB058E}" srcOrd="1" destOrd="0" presId="urn:microsoft.com/office/officeart/2005/8/layout/hierarchy1"/>
    <dgm:cxn modelId="{621911E4-1824-42D1-B73A-9639D9E8EF19}" type="presParOf" srcId="{B3B6A174-43B2-4015-B69D-C1F46AEB058E}" destId="{F27895DD-2D85-4E4E-B47B-4AA487082958}" srcOrd="0" destOrd="0" presId="urn:microsoft.com/office/officeart/2005/8/layout/hierarchy1"/>
    <dgm:cxn modelId="{0732A245-8C9E-4FE9-9D05-ABAF06963A14}" type="presParOf" srcId="{F27895DD-2D85-4E4E-B47B-4AA487082958}" destId="{ED8448FF-59F0-46E3-8501-E44C47561544}" srcOrd="0" destOrd="0" presId="urn:microsoft.com/office/officeart/2005/8/layout/hierarchy1"/>
    <dgm:cxn modelId="{1F0124A9-B4F0-4D24-A4A2-BA784B361BE7}" type="presParOf" srcId="{F27895DD-2D85-4E4E-B47B-4AA487082958}" destId="{B3A1B229-272B-4A3D-BEDD-23D4019B0AD8}" srcOrd="1" destOrd="0" presId="urn:microsoft.com/office/officeart/2005/8/layout/hierarchy1"/>
    <dgm:cxn modelId="{2D237D76-80B7-466F-9221-E608AD3F9177}" type="presParOf" srcId="{B3B6A174-43B2-4015-B69D-C1F46AEB058E}" destId="{15CDBC20-612B-44D7-8B1E-3D42FD9ACAA5}" srcOrd="1" destOrd="0" presId="urn:microsoft.com/office/officeart/2005/8/layout/hierarchy1"/>
    <dgm:cxn modelId="{E52673EF-3177-4D02-987B-79C9F72F0472}" type="presParOf" srcId="{8F3BEB62-5F32-4785-B06B-EE3BDDE9A352}" destId="{2A0E76DF-2949-40EB-9831-DC9814A6213B}" srcOrd="4" destOrd="0" presId="urn:microsoft.com/office/officeart/2005/8/layout/hierarchy1"/>
    <dgm:cxn modelId="{CBC4634E-F221-41F9-B912-3E867F1AC21C}" type="presParOf" srcId="{8F3BEB62-5F32-4785-B06B-EE3BDDE9A352}" destId="{A5A0213B-AF5F-4890-AC13-4089F2E009CA}" srcOrd="5" destOrd="0" presId="urn:microsoft.com/office/officeart/2005/8/layout/hierarchy1"/>
    <dgm:cxn modelId="{E80D6B4B-578E-4FC1-B098-1EF5445CB5AF}" type="presParOf" srcId="{A5A0213B-AF5F-4890-AC13-4089F2E009CA}" destId="{C716BD1C-9533-400E-8664-7D159CFF7EBD}" srcOrd="0" destOrd="0" presId="urn:microsoft.com/office/officeart/2005/8/layout/hierarchy1"/>
    <dgm:cxn modelId="{A036DAB7-8D67-44D9-A8D2-438EA9AB92C0}" type="presParOf" srcId="{C716BD1C-9533-400E-8664-7D159CFF7EBD}" destId="{4AFBB9A8-8049-49B0-887D-F17431A7891E}" srcOrd="0" destOrd="0" presId="urn:microsoft.com/office/officeart/2005/8/layout/hierarchy1"/>
    <dgm:cxn modelId="{6EC1FBDD-25E6-4D82-95DA-58A36C37883B}" type="presParOf" srcId="{C716BD1C-9533-400E-8664-7D159CFF7EBD}" destId="{BA9F37AA-D725-4666-A092-373C8C8E8EB9}" srcOrd="1" destOrd="0" presId="urn:microsoft.com/office/officeart/2005/8/layout/hierarchy1"/>
    <dgm:cxn modelId="{E30393B0-C987-43B4-AF48-FB90B5D15DE7}" type="presParOf" srcId="{A5A0213B-AF5F-4890-AC13-4089F2E009CA}" destId="{37AF3A43-D6AC-43DA-A9F2-3BF67565F08A}" srcOrd="1" destOrd="0" presId="urn:microsoft.com/office/officeart/2005/8/layout/hierarchy1"/>
    <dgm:cxn modelId="{DF3EC59D-F539-4CDE-913A-90459A344596}" type="presParOf" srcId="{37AF3A43-D6AC-43DA-A9F2-3BF67565F08A}" destId="{FE90ABEA-2B13-4FDB-9B50-2D17E4CD8EDE}" srcOrd="0" destOrd="0" presId="urn:microsoft.com/office/officeart/2005/8/layout/hierarchy1"/>
    <dgm:cxn modelId="{D7B5984F-0E82-47D0-833F-35D2652BC6AA}" type="presParOf" srcId="{37AF3A43-D6AC-43DA-A9F2-3BF67565F08A}" destId="{1C6D729E-F3D8-447D-8C35-D43A423DDAEC}" srcOrd="1" destOrd="0" presId="urn:microsoft.com/office/officeart/2005/8/layout/hierarchy1"/>
    <dgm:cxn modelId="{15250700-30E5-4C6D-B26F-6BB6D2486AF7}" type="presParOf" srcId="{1C6D729E-F3D8-447D-8C35-D43A423DDAEC}" destId="{05A18398-9751-4415-8D92-10B866DBFBB2}" srcOrd="0" destOrd="0" presId="urn:microsoft.com/office/officeart/2005/8/layout/hierarchy1"/>
    <dgm:cxn modelId="{FDE29E57-C890-4E0C-896A-3FC39057B02A}" type="presParOf" srcId="{05A18398-9751-4415-8D92-10B866DBFBB2}" destId="{5DD05FEE-F784-48F0-95E2-B1640AC6E838}" srcOrd="0" destOrd="0" presId="urn:microsoft.com/office/officeart/2005/8/layout/hierarchy1"/>
    <dgm:cxn modelId="{B727FF86-B37F-4E1C-8180-7747DE7E3AAC}" type="presParOf" srcId="{05A18398-9751-4415-8D92-10B866DBFBB2}" destId="{9521D063-B51B-4ECB-A655-6F44E2F2DB9A}" srcOrd="1" destOrd="0" presId="urn:microsoft.com/office/officeart/2005/8/layout/hierarchy1"/>
    <dgm:cxn modelId="{0266E842-B235-425E-85BF-2AE0B8717E0D}" type="presParOf" srcId="{1C6D729E-F3D8-447D-8C35-D43A423DDAEC}" destId="{2C5EF3B2-B1DF-4297-B72F-5D32F5F2DC1C}"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32BB2-0B87-4433-B363-A3DE68A0D9A0}">
      <dsp:nvSpPr>
        <dsp:cNvPr id="0" name=""/>
        <dsp:cNvSpPr/>
      </dsp:nvSpPr>
      <dsp:spPr>
        <a:xfrm>
          <a:off x="0" y="2188501"/>
          <a:ext cx="357066" cy="2371596"/>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vert270" wrap="square" lIns="6985" tIns="6985" rIns="6985" bIns="6985"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Calibri"/>
              <a:ea typeface="+mn-ea"/>
              <a:cs typeface="+mn-cs"/>
            </a:rPr>
            <a:t>FAZE IZRADE STRATEGIJE</a:t>
          </a:r>
        </a:p>
      </dsp:txBody>
      <dsp:txXfrm>
        <a:off x="10458" y="2198959"/>
        <a:ext cx="336150" cy="2350680"/>
      </dsp:txXfrm>
    </dsp:sp>
    <dsp:sp modelId="{6CC47B52-E5A5-4AF4-997E-C8D29BBA853E}">
      <dsp:nvSpPr>
        <dsp:cNvPr id="0" name=""/>
        <dsp:cNvSpPr/>
      </dsp:nvSpPr>
      <dsp:spPr>
        <a:xfrm rot="16814620">
          <a:off x="-844420" y="1928277"/>
          <a:ext cx="2922737" cy="15892"/>
        </a:xfrm>
        <a:custGeom>
          <a:avLst/>
          <a:gdLst/>
          <a:ahLst/>
          <a:cxnLst/>
          <a:rect l="0" t="0" r="0" b="0"/>
          <a:pathLst>
            <a:path>
              <a:moveTo>
                <a:pt x="0" y="8341"/>
              </a:moveTo>
              <a:lnTo>
                <a:pt x="281320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43880" y="1863155"/>
        <a:ext cx="146136" cy="146136"/>
      </dsp:txXfrm>
    </dsp:sp>
    <dsp:sp modelId="{66105139-1556-4C9E-9C7A-2FA358840B22}">
      <dsp:nvSpPr>
        <dsp:cNvPr id="0" name=""/>
        <dsp:cNvSpPr/>
      </dsp:nvSpPr>
      <dsp:spPr>
        <a:xfrm>
          <a:off x="87683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UVOD</a:t>
          </a:r>
        </a:p>
      </dsp:txBody>
      <dsp:txXfrm>
        <a:off x="895644" y="195779"/>
        <a:ext cx="1247107" cy="604739"/>
      </dsp:txXfrm>
    </dsp:sp>
    <dsp:sp modelId="{EE623411-9377-4F37-A783-3C02DA7BBC68}">
      <dsp:nvSpPr>
        <dsp:cNvPr id="0" name=""/>
        <dsp:cNvSpPr/>
      </dsp:nvSpPr>
      <dsp:spPr>
        <a:xfrm>
          <a:off x="2161566" y="490202"/>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85301"/>
        <a:ext cx="25694" cy="25694"/>
      </dsp:txXfrm>
    </dsp:sp>
    <dsp:sp modelId="{DDE7013C-38C9-4DDA-85AD-F2D40A3833D4}">
      <dsp:nvSpPr>
        <dsp:cNvPr id="0" name=""/>
        <dsp:cNvSpPr/>
      </dsp:nvSpPr>
      <dsp:spPr>
        <a:xfrm>
          <a:off x="267546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2694274" y="195779"/>
        <a:ext cx="1247107" cy="604739"/>
      </dsp:txXfrm>
    </dsp:sp>
    <dsp:sp modelId="{5261646A-D605-485E-AD64-96612127880E}">
      <dsp:nvSpPr>
        <dsp:cNvPr id="0" name=""/>
        <dsp:cNvSpPr/>
      </dsp:nvSpPr>
      <dsp:spPr>
        <a:xfrm rot="18493319">
          <a:off x="196909" y="3036362"/>
          <a:ext cx="840077" cy="15892"/>
        </a:xfrm>
        <a:custGeom>
          <a:avLst/>
          <a:gdLst/>
          <a:ahLst/>
          <a:cxnLst/>
          <a:rect l="0" t="0" r="0" b="0"/>
          <a:pathLst>
            <a:path>
              <a:moveTo>
                <a:pt x="0" y="8341"/>
              </a:moveTo>
              <a:lnTo>
                <a:pt x="88834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95946" y="3023306"/>
        <a:ext cx="42003" cy="42003"/>
      </dsp:txXfrm>
    </dsp:sp>
    <dsp:sp modelId="{BA5C5691-108F-4F8E-AD19-7C96A90DB79D}">
      <dsp:nvSpPr>
        <dsp:cNvPr id="0" name=""/>
        <dsp:cNvSpPr/>
      </dsp:nvSpPr>
      <dsp:spPr>
        <a:xfrm>
          <a:off x="87683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STRATEŠKA ANALIZA INDUSTRIJSKIH DJELATNOSTI</a:t>
          </a:r>
        </a:p>
      </dsp:txBody>
      <dsp:txXfrm>
        <a:off x="895644" y="2411947"/>
        <a:ext cx="1247107" cy="604739"/>
      </dsp:txXfrm>
    </dsp:sp>
    <dsp:sp modelId="{A1BD3E9B-EBEB-4F20-AAC8-D4448899D10E}">
      <dsp:nvSpPr>
        <dsp:cNvPr id="0" name=""/>
        <dsp:cNvSpPr/>
      </dsp:nvSpPr>
      <dsp:spPr>
        <a:xfrm rot="18289469">
          <a:off x="196856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396016" y="2322459"/>
        <a:ext cx="44994" cy="44994"/>
      </dsp:txXfrm>
    </dsp:sp>
    <dsp:sp modelId="{B499CFBC-B7A6-4261-B0D1-9DEE3AB761D8}">
      <dsp:nvSpPr>
        <dsp:cNvPr id="0" name=""/>
        <dsp:cNvSpPr/>
      </dsp:nvSpPr>
      <dsp:spPr>
        <a:xfrm>
          <a:off x="267546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Kvalitativna analiza</a:t>
          </a:r>
        </a:p>
      </dsp:txBody>
      <dsp:txXfrm>
        <a:off x="2694274" y="1673225"/>
        <a:ext cx="1247107" cy="604739"/>
      </dsp:txXfrm>
    </dsp:sp>
    <dsp:sp modelId="{E9A643BC-3950-402D-A1DB-9D0390F62A69}">
      <dsp:nvSpPr>
        <dsp:cNvPr id="0" name=""/>
        <dsp:cNvSpPr/>
      </dsp:nvSpPr>
      <dsp:spPr>
        <a:xfrm rot="18289469">
          <a:off x="3767199" y="1598287"/>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194646" y="1583736"/>
        <a:ext cx="44994" cy="44994"/>
      </dsp:txXfrm>
    </dsp:sp>
    <dsp:sp modelId="{6AEA69CB-3D4F-416E-9002-168077167D30}">
      <dsp:nvSpPr>
        <dsp:cNvPr id="0" name=""/>
        <dsp:cNvSpPr/>
      </dsp:nvSpPr>
      <dsp:spPr>
        <a:xfrm>
          <a:off x="4474090" y="91568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Anketno istraživanje </a:t>
          </a:r>
        </a:p>
      </dsp:txBody>
      <dsp:txXfrm>
        <a:off x="4492904" y="934502"/>
        <a:ext cx="1247107" cy="604739"/>
      </dsp:txXfrm>
    </dsp:sp>
    <dsp:sp modelId="{63CBE274-3C53-4962-879F-059AF89A823F}">
      <dsp:nvSpPr>
        <dsp:cNvPr id="0" name=""/>
        <dsp:cNvSpPr/>
      </dsp:nvSpPr>
      <dsp:spPr>
        <a:xfrm>
          <a:off x="3960196" y="196764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1962747"/>
        <a:ext cx="25694" cy="25694"/>
      </dsp:txXfrm>
    </dsp:sp>
    <dsp:sp modelId="{5B58FB8D-0CB0-4D19-81B3-DA720DEDB5DD}">
      <dsp:nvSpPr>
        <dsp:cNvPr id="0" name=""/>
        <dsp:cNvSpPr/>
      </dsp:nvSpPr>
      <dsp:spPr>
        <a:xfrm>
          <a:off x="447409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Dubinski intervjui</a:t>
          </a:r>
        </a:p>
      </dsp:txBody>
      <dsp:txXfrm>
        <a:off x="4492904" y="1673225"/>
        <a:ext cx="1247107" cy="604739"/>
      </dsp:txXfrm>
    </dsp:sp>
    <dsp:sp modelId="{802C5C9E-BEDE-4BC6-B5A3-C3D3A4F6B90C}">
      <dsp:nvSpPr>
        <dsp:cNvPr id="0" name=""/>
        <dsp:cNvSpPr/>
      </dsp:nvSpPr>
      <dsp:spPr>
        <a:xfrm rot="3310531">
          <a:off x="376719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194646" y="2322459"/>
        <a:ext cx="44994" cy="44994"/>
      </dsp:txXfrm>
    </dsp:sp>
    <dsp:sp modelId="{296D2367-B207-4179-8E28-6C64DAA3356A}">
      <dsp:nvSpPr>
        <dsp:cNvPr id="0" name=""/>
        <dsp:cNvSpPr/>
      </dsp:nvSpPr>
      <dsp:spPr>
        <a:xfrm>
          <a:off x="447409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Radionice </a:t>
          </a:r>
        </a:p>
      </dsp:txBody>
      <dsp:txXfrm>
        <a:off x="4492904" y="2411947"/>
        <a:ext cx="1247107" cy="604739"/>
      </dsp:txXfrm>
    </dsp:sp>
    <dsp:sp modelId="{7089C4E5-0EFA-4B3E-B397-0BF13D86BF70}">
      <dsp:nvSpPr>
        <dsp:cNvPr id="0" name=""/>
        <dsp:cNvSpPr/>
      </dsp:nvSpPr>
      <dsp:spPr>
        <a:xfrm rot="3310531">
          <a:off x="1968569" y="3075732"/>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396016" y="3061182"/>
        <a:ext cx="44994" cy="44994"/>
      </dsp:txXfrm>
    </dsp:sp>
    <dsp:sp modelId="{99A47BA5-DFF0-4F24-BB8B-8F8F7955111D}">
      <dsp:nvSpPr>
        <dsp:cNvPr id="0" name=""/>
        <dsp:cNvSpPr/>
      </dsp:nvSpPr>
      <dsp:spPr>
        <a:xfrm>
          <a:off x="267546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Kvantitativna analiza</a:t>
          </a:r>
        </a:p>
      </dsp:txBody>
      <dsp:txXfrm>
        <a:off x="2694274" y="3150670"/>
        <a:ext cx="1247107" cy="604739"/>
      </dsp:txXfrm>
    </dsp:sp>
    <dsp:sp modelId="{8672F874-9488-4216-8046-3F3B2FEBC6B4}">
      <dsp:nvSpPr>
        <dsp:cNvPr id="0" name=""/>
        <dsp:cNvSpPr/>
      </dsp:nvSpPr>
      <dsp:spPr>
        <a:xfrm>
          <a:off x="3960196" y="3445094"/>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3440193"/>
        <a:ext cx="25694" cy="25694"/>
      </dsp:txXfrm>
    </dsp:sp>
    <dsp:sp modelId="{F2709631-9807-4872-AA3B-C0C0AFEEBE36}">
      <dsp:nvSpPr>
        <dsp:cNvPr id="0" name=""/>
        <dsp:cNvSpPr/>
      </dsp:nvSpPr>
      <dsp:spPr>
        <a:xfrm>
          <a:off x="447409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4492904" y="3150670"/>
        <a:ext cx="1247107" cy="604739"/>
      </dsp:txXfrm>
    </dsp:sp>
    <dsp:sp modelId="{C874335B-C80C-4882-BF8E-359A8D38DC37}">
      <dsp:nvSpPr>
        <dsp:cNvPr id="0" name=""/>
        <dsp:cNvSpPr/>
      </dsp:nvSpPr>
      <dsp:spPr>
        <a:xfrm rot="3980954">
          <a:off x="-30876" y="3959765"/>
          <a:ext cx="1295650" cy="15892"/>
        </a:xfrm>
        <a:custGeom>
          <a:avLst/>
          <a:gdLst/>
          <a:ahLst/>
          <a:cxnLst/>
          <a:rect l="0" t="0" r="0" b="0"/>
          <a:pathLst>
            <a:path>
              <a:moveTo>
                <a:pt x="0" y="8341"/>
              </a:moveTo>
              <a:lnTo>
                <a:pt x="1293748"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84557" y="3935320"/>
        <a:ext cx="64782" cy="64782"/>
      </dsp:txXfrm>
    </dsp:sp>
    <dsp:sp modelId="{01A6921B-09FE-43C3-B730-8EF917C0B8C7}">
      <dsp:nvSpPr>
        <dsp:cNvPr id="0" name=""/>
        <dsp:cNvSpPr/>
      </dsp:nvSpPr>
      <dsp:spPr>
        <a:xfrm>
          <a:off x="87683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UTVRĐIVANJE KLJUČNIH PODDJELATNOSTI</a:t>
          </a:r>
        </a:p>
      </dsp:txBody>
      <dsp:txXfrm>
        <a:off x="895644" y="4258755"/>
        <a:ext cx="1247107" cy="604739"/>
      </dsp:txXfrm>
    </dsp:sp>
    <dsp:sp modelId="{921BA1B0-B029-49EC-95C3-982F5B6E8058}">
      <dsp:nvSpPr>
        <dsp:cNvPr id="0" name=""/>
        <dsp:cNvSpPr/>
      </dsp:nvSpPr>
      <dsp:spPr>
        <a:xfrm>
          <a:off x="2161566" y="455317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548277"/>
        <a:ext cx="25694" cy="25694"/>
      </dsp:txXfrm>
    </dsp:sp>
    <dsp:sp modelId="{259F8163-5BD1-4A08-B25D-97152879B66E}">
      <dsp:nvSpPr>
        <dsp:cNvPr id="0" name=""/>
        <dsp:cNvSpPr/>
      </dsp:nvSpPr>
      <dsp:spPr>
        <a:xfrm>
          <a:off x="267546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Izrada modela vrednovanja</a:t>
          </a:r>
        </a:p>
      </dsp:txBody>
      <dsp:txXfrm>
        <a:off x="2694274" y="4258755"/>
        <a:ext cx="1247107" cy="604739"/>
      </dsp:txXfrm>
    </dsp:sp>
    <dsp:sp modelId="{931B7E7D-AE46-49C8-AC15-32D87558B92C}">
      <dsp:nvSpPr>
        <dsp:cNvPr id="0" name=""/>
        <dsp:cNvSpPr/>
      </dsp:nvSpPr>
      <dsp:spPr>
        <a:xfrm rot="19457599">
          <a:off x="3900711" y="4368498"/>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1321" y="4360622"/>
        <a:ext cx="31643" cy="31643"/>
      </dsp:txXfrm>
    </dsp:sp>
    <dsp:sp modelId="{CE1ADE7A-1520-4D34-8387-B0CF4CA473D2}">
      <dsp:nvSpPr>
        <dsp:cNvPr id="0" name=""/>
        <dsp:cNvSpPr/>
      </dsp:nvSpPr>
      <dsp:spPr>
        <a:xfrm>
          <a:off x="4474090" y="3870579"/>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Izračun kvantitativnih pokazatelja </a:t>
          </a:r>
        </a:p>
      </dsp:txBody>
      <dsp:txXfrm>
        <a:off x="4492904" y="3889393"/>
        <a:ext cx="1247107" cy="604739"/>
      </dsp:txXfrm>
    </dsp:sp>
    <dsp:sp modelId="{D04F1DA5-2C62-4BF3-86D4-977C4DC4D66C}">
      <dsp:nvSpPr>
        <dsp:cNvPr id="0" name=""/>
        <dsp:cNvSpPr/>
      </dsp:nvSpPr>
      <dsp:spPr>
        <a:xfrm rot="2142401">
          <a:off x="3900711" y="4737859"/>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1321" y="4729984"/>
        <a:ext cx="31643" cy="31643"/>
      </dsp:txXfrm>
    </dsp:sp>
    <dsp:sp modelId="{8DA41A72-F84B-49F5-AFA8-DDF075C40E4D}">
      <dsp:nvSpPr>
        <dsp:cNvPr id="0" name=""/>
        <dsp:cNvSpPr/>
      </dsp:nvSpPr>
      <dsp:spPr>
        <a:xfrm>
          <a:off x="4474090" y="4609302"/>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Rangiranje i razvrstavanje poddjelatnosti u skupine </a:t>
          </a:r>
        </a:p>
      </dsp:txBody>
      <dsp:txXfrm>
        <a:off x="4492904" y="4628116"/>
        <a:ext cx="1247107" cy="604739"/>
      </dsp:txXfrm>
    </dsp:sp>
    <dsp:sp modelId="{14CB38F4-2723-45FE-9425-1060DD3B8771}">
      <dsp:nvSpPr>
        <dsp:cNvPr id="0" name=""/>
        <dsp:cNvSpPr/>
      </dsp:nvSpPr>
      <dsp:spPr>
        <a:xfrm rot="4493648">
          <a:off x="-380284" y="4329127"/>
          <a:ext cx="1994465" cy="15892"/>
        </a:xfrm>
        <a:custGeom>
          <a:avLst/>
          <a:gdLst/>
          <a:ahLst/>
          <a:cxnLst/>
          <a:rect l="0" t="0" r="0" b="0"/>
          <a:pathLst>
            <a:path>
              <a:moveTo>
                <a:pt x="0" y="8341"/>
              </a:moveTo>
              <a:lnTo>
                <a:pt x="1940146"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67087" y="4287212"/>
        <a:ext cx="99723" cy="99723"/>
      </dsp:txXfrm>
    </dsp:sp>
    <dsp:sp modelId="{14ACBFEB-9126-46B8-99ED-4C7CAA6D7795}">
      <dsp:nvSpPr>
        <dsp:cNvPr id="0" name=""/>
        <dsp:cNvSpPr/>
      </dsp:nvSpPr>
      <dsp:spPr>
        <a:xfrm>
          <a:off x="87683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STRATEGIJA RAZVOJA HRVATSKE INDUSTRIJE DO 2020.</a:t>
          </a:r>
        </a:p>
      </dsp:txBody>
      <dsp:txXfrm>
        <a:off x="895644" y="4997478"/>
        <a:ext cx="1247107" cy="604739"/>
      </dsp:txXfrm>
    </dsp:sp>
    <dsp:sp modelId="{C2E93394-6A1F-4686-903E-FA10CEBF45F3}">
      <dsp:nvSpPr>
        <dsp:cNvPr id="0" name=""/>
        <dsp:cNvSpPr/>
      </dsp:nvSpPr>
      <dsp:spPr>
        <a:xfrm>
          <a:off x="2161566" y="5291901"/>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5287000"/>
        <a:ext cx="25694" cy="25694"/>
      </dsp:txXfrm>
    </dsp:sp>
    <dsp:sp modelId="{5F02DC2F-02AE-4EBA-8421-3C7AA7E8428D}">
      <dsp:nvSpPr>
        <dsp:cNvPr id="0" name=""/>
        <dsp:cNvSpPr/>
      </dsp:nvSpPr>
      <dsp:spPr>
        <a:xfrm>
          <a:off x="267546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Odrednice industrijskog rasta; strateški ciljevi; prioritetna područja; mjere realizacije ciljeva</a:t>
          </a:r>
        </a:p>
      </dsp:txBody>
      <dsp:txXfrm>
        <a:off x="2694274" y="4997478"/>
        <a:ext cx="1247107" cy="604739"/>
      </dsp:txXfrm>
    </dsp:sp>
    <dsp:sp modelId="{090C934C-3F16-4328-B581-11A52EE728CA}">
      <dsp:nvSpPr>
        <dsp:cNvPr id="0" name=""/>
        <dsp:cNvSpPr/>
      </dsp:nvSpPr>
      <dsp:spPr>
        <a:xfrm rot="4816661">
          <a:off x="-921970" y="4883169"/>
          <a:ext cx="3077837" cy="15892"/>
        </a:xfrm>
        <a:custGeom>
          <a:avLst/>
          <a:gdLst/>
          <a:ahLst/>
          <a:cxnLst/>
          <a:rect l="0" t="0" r="0" b="0"/>
          <a:pathLst>
            <a:path>
              <a:moveTo>
                <a:pt x="0" y="8341"/>
              </a:moveTo>
              <a:lnTo>
                <a:pt x="2959783"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540002" y="4814169"/>
        <a:ext cx="153891" cy="153891"/>
      </dsp:txXfrm>
    </dsp:sp>
    <dsp:sp modelId="{12979CEC-A047-42E0-AFEB-29DD40CA62B3}">
      <dsp:nvSpPr>
        <dsp:cNvPr id="0" name=""/>
        <dsp:cNvSpPr/>
      </dsp:nvSpPr>
      <dsp:spPr>
        <a:xfrm>
          <a:off x="876830" y="608674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MODEL IMPLEMENTACIJE</a:t>
          </a:r>
        </a:p>
      </dsp:txBody>
      <dsp:txXfrm>
        <a:off x="895644" y="6105562"/>
        <a:ext cx="1247107" cy="604739"/>
      </dsp:txXfrm>
    </dsp:sp>
    <dsp:sp modelId="{9E58999F-B3F3-42E6-A9AD-2083C8F44B05}">
      <dsp:nvSpPr>
        <dsp:cNvPr id="0" name=""/>
        <dsp:cNvSpPr/>
      </dsp:nvSpPr>
      <dsp:spPr>
        <a:xfrm rot="19457599">
          <a:off x="2102082" y="6215305"/>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2691" y="6207430"/>
        <a:ext cx="31643" cy="31643"/>
      </dsp:txXfrm>
    </dsp:sp>
    <dsp:sp modelId="{979019DD-F6D0-4989-9207-0F3AA8578D63}">
      <dsp:nvSpPr>
        <dsp:cNvPr id="0" name=""/>
        <dsp:cNvSpPr/>
      </dsp:nvSpPr>
      <dsp:spPr>
        <a:xfrm>
          <a:off x="2675460" y="5717387"/>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Definiranje pretpostavki za uspješnu implementaciju</a:t>
          </a:r>
        </a:p>
      </dsp:txBody>
      <dsp:txXfrm>
        <a:off x="2694274" y="5736201"/>
        <a:ext cx="1247107" cy="604739"/>
      </dsp:txXfrm>
    </dsp:sp>
    <dsp:sp modelId="{570056DF-C907-44E7-8215-2A524A6ABF61}">
      <dsp:nvSpPr>
        <dsp:cNvPr id="0" name=""/>
        <dsp:cNvSpPr/>
      </dsp:nvSpPr>
      <dsp:spPr>
        <a:xfrm rot="2142401">
          <a:off x="2102082" y="6584666"/>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2691" y="6576791"/>
        <a:ext cx="31643" cy="31643"/>
      </dsp:txXfrm>
    </dsp:sp>
    <dsp:sp modelId="{4E93D755-C230-411A-9F7B-70578142FE7A}">
      <dsp:nvSpPr>
        <dsp:cNvPr id="0" name=""/>
        <dsp:cNvSpPr/>
      </dsp:nvSpPr>
      <dsp:spPr>
        <a:xfrm>
          <a:off x="2675460" y="6456110"/>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Metodologija vrednovanja uspješnosti implementacije </a:t>
          </a:r>
        </a:p>
      </dsp:txBody>
      <dsp:txXfrm>
        <a:off x="2694274" y="6474924"/>
        <a:ext cx="1247107" cy="604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93AB4-33C8-4F35-A892-52F9A3F1E328}">
      <dsp:nvSpPr>
        <dsp:cNvPr id="0" name=""/>
        <dsp:cNvSpPr/>
      </dsp:nvSpPr>
      <dsp:spPr>
        <a:xfrm>
          <a:off x="25"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Politike koje posredno utječu na industriju</a:t>
          </a:r>
        </a:p>
      </dsp:txBody>
      <dsp:txXfrm>
        <a:off x="25" y="19871"/>
        <a:ext cx="2455181" cy="460800"/>
      </dsp:txXfrm>
    </dsp:sp>
    <dsp:sp modelId="{9248EF42-B139-4C21-A458-E347B0116BBE}">
      <dsp:nvSpPr>
        <dsp:cNvPr id="0" name=""/>
        <dsp:cNvSpPr/>
      </dsp:nvSpPr>
      <dsp:spPr>
        <a:xfrm>
          <a:off x="25"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Makroekonomija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Preraspodjela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plaća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Poljoprivredna i politika vezana za ribarstvo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usluga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korištenja zemljišta (nac.)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Infrastrukturna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Energetska politika (nac. + EU)</a:t>
          </a:r>
        </a:p>
      </dsp:txBody>
      <dsp:txXfrm>
        <a:off x="25" y="480671"/>
        <a:ext cx="2455181" cy="1800720"/>
      </dsp:txXfrm>
    </dsp:sp>
    <dsp:sp modelId="{DDF158B2-74FD-41DF-AC51-5F600C11F859}">
      <dsp:nvSpPr>
        <dsp:cNvPr id="0" name=""/>
        <dsp:cNvSpPr/>
      </dsp:nvSpPr>
      <dsp:spPr>
        <a:xfrm>
          <a:off x="2798932"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Neindustrijske mjere koje neposredno utječu na industriju</a:t>
          </a:r>
        </a:p>
      </dsp:txBody>
      <dsp:txXfrm>
        <a:off x="2798932" y="19871"/>
        <a:ext cx="2455181" cy="460800"/>
      </dsp:txXfrm>
    </dsp:sp>
    <dsp:sp modelId="{7CAA003D-C1FF-4A2D-82DA-D3ED54217EC1}">
      <dsp:nvSpPr>
        <dsp:cNvPr id="0" name=""/>
        <dsp:cNvSpPr/>
      </dsp:nvSpPr>
      <dsp:spPr>
        <a:xfrm>
          <a:off x="2798932"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Kampanje vezane uz kupnju nacionalnih proizvoda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Planiranje regionalnog razvoja (nac./EU)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Kontrola cijena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Vezane potpore za razvoj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Promocija izvoza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Specifične politike zaštite okoliša (nac./EU)</a:t>
          </a:r>
        </a:p>
      </dsp:txBody>
      <dsp:txXfrm>
        <a:off x="2798932" y="480671"/>
        <a:ext cx="2455181" cy="1800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0ABEA-2B13-4FDB-9B50-2D17E4CD8EDE}">
      <dsp:nvSpPr>
        <dsp:cNvPr id="0" name=""/>
        <dsp:cNvSpPr/>
      </dsp:nvSpPr>
      <dsp:spPr>
        <a:xfrm>
          <a:off x="4506285" y="1189269"/>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2A0E76DF-2949-40EB-9831-DC9814A6213B}">
      <dsp:nvSpPr>
        <dsp:cNvPr id="0" name=""/>
        <dsp:cNvSpPr/>
      </dsp:nvSpPr>
      <dsp:spPr>
        <a:xfrm>
          <a:off x="2679136" y="405462"/>
          <a:ext cx="1872869" cy="401968"/>
        </a:xfrm>
        <a:custGeom>
          <a:avLst/>
          <a:gdLst/>
          <a:ahLst/>
          <a:cxnLst/>
          <a:rect l="0" t="0" r="0" b="0"/>
          <a:pathLst>
            <a:path>
              <a:moveTo>
                <a:pt x="0" y="0"/>
              </a:moveTo>
              <a:lnTo>
                <a:pt x="0" y="273747"/>
              </a:lnTo>
              <a:lnTo>
                <a:pt x="1871626" y="273747"/>
              </a:lnTo>
              <a:lnTo>
                <a:pt x="1871626"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FFF07C7-CA10-4C88-B9BC-E422188C76D4}">
      <dsp:nvSpPr>
        <dsp:cNvPr id="0" name=""/>
        <dsp:cNvSpPr/>
      </dsp:nvSpPr>
      <dsp:spPr>
        <a:xfrm>
          <a:off x="2649701" y="1211780"/>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ED9C5139-8922-4DAD-938F-13181C1576A3}">
      <dsp:nvSpPr>
        <dsp:cNvPr id="0" name=""/>
        <dsp:cNvSpPr/>
      </dsp:nvSpPr>
      <dsp:spPr>
        <a:xfrm>
          <a:off x="2633416" y="405462"/>
          <a:ext cx="91440" cy="401968"/>
        </a:xfrm>
        <a:custGeom>
          <a:avLst/>
          <a:gdLst/>
          <a:ahLst/>
          <a:cxnLst/>
          <a:rect l="0" t="0" r="0" b="0"/>
          <a:pathLst>
            <a:path>
              <a:moveTo>
                <a:pt x="45720" y="0"/>
              </a:moveTo>
              <a:lnTo>
                <a:pt x="45720" y="273747"/>
              </a:lnTo>
              <a:lnTo>
                <a:pt x="61994" y="273747"/>
              </a:lnTo>
              <a:lnTo>
                <a:pt x="61994"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CE8B96F-D524-4583-A1BE-38846CDC34B7}">
      <dsp:nvSpPr>
        <dsp:cNvPr id="0" name=""/>
        <dsp:cNvSpPr/>
      </dsp:nvSpPr>
      <dsp:spPr>
        <a:xfrm>
          <a:off x="760547" y="1147133"/>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C0E0D314-CE2E-4A8C-BE56-4CD589EBC922}">
      <dsp:nvSpPr>
        <dsp:cNvPr id="0" name=""/>
        <dsp:cNvSpPr/>
      </dsp:nvSpPr>
      <dsp:spPr>
        <a:xfrm>
          <a:off x="806267" y="405462"/>
          <a:ext cx="1872869" cy="401968"/>
        </a:xfrm>
        <a:custGeom>
          <a:avLst/>
          <a:gdLst/>
          <a:ahLst/>
          <a:cxnLst/>
          <a:rect l="0" t="0" r="0" b="0"/>
          <a:pathLst>
            <a:path>
              <a:moveTo>
                <a:pt x="1871626" y="0"/>
              </a:moveTo>
              <a:lnTo>
                <a:pt x="1871626" y="273747"/>
              </a:lnTo>
              <a:lnTo>
                <a:pt x="0" y="273747"/>
              </a:lnTo>
              <a:lnTo>
                <a:pt x="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B42212E-7FCB-4D93-87E0-104104B3BD62}">
      <dsp:nvSpPr>
        <dsp:cNvPr id="0" name=""/>
        <dsp:cNvSpPr/>
      </dsp:nvSpPr>
      <dsp:spPr>
        <a:xfrm>
          <a:off x="1253896" y="15004"/>
          <a:ext cx="2850481" cy="39045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D1F24370-6329-48A3-9555-C7DFF7DEAABB}">
      <dsp:nvSpPr>
        <dsp:cNvPr id="0" name=""/>
        <dsp:cNvSpPr/>
      </dsp:nvSpPr>
      <dsp:spPr>
        <a:xfrm>
          <a:off x="1407465" y="160895"/>
          <a:ext cx="2850481" cy="390457"/>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sp:txBody>
      <dsp:txXfrm>
        <a:off x="1418901" y="172331"/>
        <a:ext cx="2827609" cy="367585"/>
      </dsp:txXfrm>
    </dsp:sp>
    <dsp:sp modelId="{E63DBBF4-0300-4914-8468-E80719B53C80}">
      <dsp:nvSpPr>
        <dsp:cNvPr id="0" name=""/>
        <dsp:cNvSpPr/>
      </dsp:nvSpPr>
      <dsp:spPr>
        <a:xfrm>
          <a:off x="115204" y="807430"/>
          <a:ext cx="1382125" cy="339703"/>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4EFC4031-AE15-407E-B17C-5E2FB0922EFD}">
      <dsp:nvSpPr>
        <dsp:cNvPr id="0" name=""/>
        <dsp:cNvSpPr/>
      </dsp:nvSpPr>
      <dsp:spPr>
        <a:xfrm>
          <a:off x="268774" y="953321"/>
          <a:ext cx="1382125" cy="339703"/>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Okvirni parametri</a:t>
          </a:r>
        </a:p>
      </dsp:txBody>
      <dsp:txXfrm>
        <a:off x="278724" y="963271"/>
        <a:ext cx="1362225" cy="319803"/>
      </dsp:txXfrm>
    </dsp:sp>
    <dsp:sp modelId="{EEC02E34-258B-4E36-BE14-9682353948C3}">
      <dsp:nvSpPr>
        <dsp:cNvPr id="0" name=""/>
        <dsp:cNvSpPr/>
      </dsp:nvSpPr>
      <dsp:spPr>
        <a:xfrm>
          <a:off x="2147" y="1549101"/>
          <a:ext cx="1608240" cy="313098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106594E9-7AC7-47ED-B4A1-C7633A264C0F}">
      <dsp:nvSpPr>
        <dsp:cNvPr id="0" name=""/>
        <dsp:cNvSpPr/>
      </dsp:nvSpPr>
      <dsp:spPr>
        <a:xfrm>
          <a:off x="155716" y="1694992"/>
          <a:ext cx="1608240" cy="313098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zaštite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sp:txBody>
      <dsp:txXfrm>
        <a:off x="202820" y="1742096"/>
        <a:ext cx="1514032" cy="3036780"/>
      </dsp:txXfrm>
    </dsp:sp>
    <dsp:sp modelId="{8FF235CA-37E5-46E5-BF33-DDA8AA0061F8}">
      <dsp:nvSpPr>
        <dsp:cNvPr id="0" name=""/>
        <dsp:cNvSpPr/>
      </dsp:nvSpPr>
      <dsp:spPr>
        <a:xfrm>
          <a:off x="2004358" y="807430"/>
          <a:ext cx="1382125" cy="404350"/>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86B959E7-8E8A-4EEF-A62D-A5919963A187}">
      <dsp:nvSpPr>
        <dsp:cNvPr id="0" name=""/>
        <dsp:cNvSpPr/>
      </dsp:nvSpPr>
      <dsp:spPr>
        <a:xfrm>
          <a:off x="2157928" y="953321"/>
          <a:ext cx="1382125" cy="4043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sp:txBody>
      <dsp:txXfrm>
        <a:off x="2169771" y="965164"/>
        <a:ext cx="1358439" cy="380664"/>
      </dsp:txXfrm>
    </dsp:sp>
    <dsp:sp modelId="{ED8448FF-59F0-46E3-8501-E44C47561544}">
      <dsp:nvSpPr>
        <dsp:cNvPr id="0" name=""/>
        <dsp:cNvSpPr/>
      </dsp:nvSpPr>
      <dsp:spPr>
        <a:xfrm>
          <a:off x="1917526" y="1613748"/>
          <a:ext cx="1555789" cy="2708566"/>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3A1B229-272B-4A3D-BEDD-23D4019B0AD8}">
      <dsp:nvSpPr>
        <dsp:cNvPr id="0" name=""/>
        <dsp:cNvSpPr/>
      </dsp:nvSpPr>
      <dsp:spPr>
        <a:xfrm>
          <a:off x="2071096" y="1759639"/>
          <a:ext cx="1555789" cy="2708566"/>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 </a:t>
          </a:r>
        </a:p>
      </dsp:txBody>
      <dsp:txXfrm>
        <a:off x="2116664" y="1805207"/>
        <a:ext cx="1464653" cy="2617430"/>
      </dsp:txXfrm>
    </dsp:sp>
    <dsp:sp modelId="{4AFBB9A8-8049-49B0-887D-F17431A7891E}">
      <dsp:nvSpPr>
        <dsp:cNvPr id="0" name=""/>
        <dsp:cNvSpPr/>
      </dsp:nvSpPr>
      <dsp:spPr>
        <a:xfrm>
          <a:off x="3860943" y="807430"/>
          <a:ext cx="1382125" cy="38183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A9F37AA-D725-4666-A092-373C8C8E8EB9}">
      <dsp:nvSpPr>
        <dsp:cNvPr id="0" name=""/>
        <dsp:cNvSpPr/>
      </dsp:nvSpPr>
      <dsp:spPr>
        <a:xfrm>
          <a:off x="4014512" y="953321"/>
          <a:ext cx="1382125" cy="38183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sp:txBody>
      <dsp:txXfrm>
        <a:off x="4025696" y="964505"/>
        <a:ext cx="1359757" cy="359470"/>
      </dsp:txXfrm>
    </dsp:sp>
    <dsp:sp modelId="{5DD05FEE-F784-48F0-95E2-B1640AC6E838}">
      <dsp:nvSpPr>
        <dsp:cNvPr id="0" name=""/>
        <dsp:cNvSpPr/>
      </dsp:nvSpPr>
      <dsp:spPr>
        <a:xfrm>
          <a:off x="3780455" y="1591237"/>
          <a:ext cx="1543101" cy="244801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9521D063-B51B-4ECB-A655-6F44E2F2DB9A}">
      <dsp:nvSpPr>
        <dsp:cNvPr id="0" name=""/>
        <dsp:cNvSpPr/>
      </dsp:nvSpPr>
      <dsp:spPr>
        <a:xfrm>
          <a:off x="3934024" y="1737128"/>
          <a:ext cx="1543101" cy="244801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Obrana (Nac.)</a:t>
          </a:r>
        </a:p>
      </dsp:txBody>
      <dsp:txXfrm>
        <a:off x="3979220" y="1782324"/>
        <a:ext cx="1452709" cy="23576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399BBB6DD84DFC90C53B33255AF11C"/>
        <w:category>
          <w:name w:val="General"/>
          <w:gallery w:val="placeholder"/>
        </w:category>
        <w:types>
          <w:type w:val="bbPlcHdr"/>
        </w:types>
        <w:behaviors>
          <w:behavior w:val="content"/>
        </w:behaviors>
        <w:guid w:val="{225349FA-AE26-4B9B-947B-2A6443AD2E9D}"/>
      </w:docPartPr>
      <w:docPartBody>
        <w:p w:rsidR="002D73B3" w:rsidRDefault="002D73B3" w:rsidP="002D73B3">
          <w:pPr>
            <w:pStyle w:val="A8399BBB6DD84DFC90C53B33255AF11C"/>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D73B3"/>
    <w:rsid w:val="001A01CA"/>
    <w:rsid w:val="002D73B3"/>
    <w:rsid w:val="005B6551"/>
    <w:rsid w:val="006A04DD"/>
    <w:rsid w:val="009E1CF4"/>
    <w:rsid w:val="00BA29E6"/>
    <w:rsid w:val="00C20FA1"/>
    <w:rsid w:val="00E55D5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03E371B314F1C8114ABC247986B20">
    <w:name w:val="B0C03E371B314F1C8114ABC247986B20"/>
    <w:rsid w:val="002D73B3"/>
  </w:style>
  <w:style w:type="paragraph" w:customStyle="1" w:styleId="A8399BBB6DD84DFC90C53B33255AF11C">
    <w:name w:val="A8399BBB6DD84DFC90C53B33255AF11C"/>
    <w:rsid w:val="002D73B3"/>
  </w:style>
  <w:style w:type="paragraph" w:customStyle="1" w:styleId="D44623BEAB8E4AD39576105A0A703434">
    <w:name w:val="D44623BEAB8E4AD39576105A0A703434"/>
    <w:rsid w:val="002D73B3"/>
  </w:style>
  <w:style w:type="paragraph" w:customStyle="1" w:styleId="27328C34B9044F43BD59BD9578B3769B">
    <w:name w:val="27328C34B9044F43BD59BD9578B3769B"/>
    <w:rsid w:val="002D73B3"/>
  </w:style>
  <w:style w:type="paragraph" w:customStyle="1" w:styleId="F1919A1AA4DF45A89DDB0B91CE77625B">
    <w:name w:val="F1919A1AA4DF45A89DDB0B91CE77625B"/>
    <w:rsid w:val="002D73B3"/>
  </w:style>
  <w:style w:type="paragraph" w:customStyle="1" w:styleId="B8E2D2EB6FD5459EA362832A669C8FD0">
    <w:name w:val="B8E2D2EB6FD5459EA362832A669C8FD0"/>
    <w:rsid w:val="002D73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0C9A69-C8D3-4126-A713-D739E917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122707</Words>
  <Characters>699433</Characters>
  <Application>Microsoft Office Word</Application>
  <DocSecurity>0</DocSecurity>
  <Lines>5828</Lines>
  <Paragraphs>1640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Industrijska strategija Republike Hrvatske 2014. – 2020.</vt:lpstr>
      <vt:lpstr/>
    </vt:vector>
  </TitlesOfParts>
  <Company>REPUBLIKA HRVATSKA</Company>
  <LinksUpToDate>false</LinksUpToDate>
  <CharactersWithSpaces>820500</CharactersWithSpaces>
  <SharedDoc>false</SharedDoc>
  <HLinks>
    <vt:vector size="2532" baseType="variant">
      <vt:variant>
        <vt:i4>3080230</vt:i4>
      </vt:variant>
      <vt:variant>
        <vt:i4>2151</vt:i4>
      </vt:variant>
      <vt:variant>
        <vt:i4>0</vt:i4>
      </vt:variant>
      <vt:variant>
        <vt:i4>5</vt:i4>
      </vt:variant>
      <vt:variant>
        <vt:lpwstr>http://www.unctad.org/</vt:lpwstr>
      </vt:variant>
      <vt:variant>
        <vt:lpwstr/>
      </vt:variant>
      <vt:variant>
        <vt:i4>3014765</vt:i4>
      </vt:variant>
      <vt:variant>
        <vt:i4>2148</vt:i4>
      </vt:variant>
      <vt:variant>
        <vt:i4>0</vt:i4>
      </vt:variant>
      <vt:variant>
        <vt:i4>5</vt:i4>
      </vt:variant>
      <vt:variant>
        <vt:lpwstr>http://www.qfinance.com/sector-profiles/information-technology</vt:lpwstr>
      </vt:variant>
      <vt:variant>
        <vt:lpwstr/>
      </vt:variant>
      <vt:variant>
        <vt:i4>1114130</vt:i4>
      </vt:variant>
      <vt:variant>
        <vt:i4>2145</vt:i4>
      </vt:variant>
      <vt:variant>
        <vt:i4>0</vt:i4>
      </vt:variant>
      <vt:variant>
        <vt:i4>5</vt:i4>
      </vt:variant>
      <vt:variant>
        <vt:lpwstr>http://www.qfinance.com/sector-profiles/steel</vt:lpwstr>
      </vt:variant>
      <vt:variant>
        <vt:lpwstr/>
      </vt:variant>
      <vt:variant>
        <vt:i4>6553638</vt:i4>
      </vt:variant>
      <vt:variant>
        <vt:i4>2142</vt:i4>
      </vt:variant>
      <vt:variant>
        <vt:i4>0</vt:i4>
      </vt:variant>
      <vt:variant>
        <vt:i4>5</vt:i4>
      </vt:variant>
      <vt:variant>
        <vt:lpwstr>http://www.pwc.com/gx/en/entertainment-media/.../future-of-ebooks.jhtml</vt:lpwstr>
      </vt:variant>
      <vt:variant>
        <vt:lpwstr/>
      </vt:variant>
      <vt:variant>
        <vt:i4>8061046</vt:i4>
      </vt:variant>
      <vt:variant>
        <vt:i4>2139</vt:i4>
      </vt:variant>
      <vt:variant>
        <vt:i4>0</vt:i4>
      </vt:variant>
      <vt:variant>
        <vt:i4>5</vt:i4>
      </vt:variant>
      <vt:variant>
        <vt:lpwstr>http://www.dzs.hr/</vt:lpwstr>
      </vt:variant>
      <vt:variant>
        <vt:lpwstr/>
      </vt:variant>
      <vt:variant>
        <vt:i4>6488101</vt:i4>
      </vt:variant>
      <vt:variant>
        <vt:i4>2136</vt:i4>
      </vt:variant>
      <vt:variant>
        <vt:i4>0</vt:i4>
      </vt:variant>
      <vt:variant>
        <vt:i4>5</vt:i4>
      </vt:variant>
      <vt:variant>
        <vt:lpwstr>http://www.itu.int/en/ITU-D/Statistics/Documents/facts/ICTFactsFigures2013.pdf</vt:lpwstr>
      </vt:variant>
      <vt:variant>
        <vt:lpwstr/>
      </vt:variant>
      <vt:variant>
        <vt:i4>4259927</vt:i4>
      </vt:variant>
      <vt:variant>
        <vt:i4>2133</vt:i4>
      </vt:variant>
      <vt:variant>
        <vt:i4>0</vt:i4>
      </vt:variant>
      <vt:variant>
        <vt:i4>5</vt:i4>
      </vt:variant>
      <vt:variant>
        <vt:lpwstr>http://www.ifpi.org/</vt:lpwstr>
      </vt:variant>
      <vt:variant>
        <vt:lpwstr/>
      </vt:variant>
      <vt:variant>
        <vt:i4>262158</vt:i4>
      </vt:variant>
      <vt:variant>
        <vt:i4>2130</vt:i4>
      </vt:variant>
      <vt:variant>
        <vt:i4>0</vt:i4>
      </vt:variant>
      <vt:variant>
        <vt:i4>5</vt:i4>
      </vt:variant>
      <vt:variant>
        <vt:lpwstr>http://www.forbes.com/global2000/list/</vt:lpwstr>
      </vt:variant>
      <vt:variant>
        <vt:lpwstr>page:1_sort:0_direction:asc_search:_filter:Software%20%26%20Programming_filter:All%20countries_filter:All%20states</vt:lpwstr>
      </vt:variant>
      <vt:variant>
        <vt:i4>8323120</vt:i4>
      </vt:variant>
      <vt:variant>
        <vt:i4>2127</vt:i4>
      </vt:variant>
      <vt:variant>
        <vt:i4>0</vt:i4>
      </vt:variant>
      <vt:variant>
        <vt:i4>5</vt:i4>
      </vt:variant>
      <vt:variant>
        <vt:lpwstr>http://www.fina.hr/</vt:lpwstr>
      </vt:variant>
      <vt:variant>
        <vt:lpwstr/>
      </vt:variant>
      <vt:variant>
        <vt:i4>2162717</vt:i4>
      </vt:variant>
      <vt:variant>
        <vt:i4>2124</vt:i4>
      </vt:variant>
      <vt:variant>
        <vt:i4>0</vt:i4>
      </vt:variant>
      <vt:variant>
        <vt:i4>5</vt:i4>
      </vt:variant>
      <vt:variant>
        <vt:lpwstr>http://epp.eurostat.ec.europa.eu/cache/ITY_PUBLIC/4-11122012-BP/EN/4-11122012-BP-EN.PDF</vt:lpwstr>
      </vt:variant>
      <vt:variant>
        <vt:lpwstr/>
      </vt:variant>
      <vt:variant>
        <vt:i4>1769589</vt:i4>
      </vt:variant>
      <vt:variant>
        <vt:i4>2121</vt:i4>
      </vt:variant>
      <vt:variant>
        <vt:i4>0</vt:i4>
      </vt:variant>
      <vt:variant>
        <vt:i4>5</vt:i4>
      </vt:variant>
      <vt:variant>
        <vt:lpwstr>http://www.eclac.org/publicaciones/xml/5/44885/2011-061_The_film_industry-_Serie_122.pdf</vt:lpwstr>
      </vt:variant>
      <vt:variant>
        <vt:lpwstr/>
      </vt:variant>
      <vt:variant>
        <vt:i4>1966163</vt:i4>
      </vt:variant>
      <vt:variant>
        <vt:i4>2118</vt:i4>
      </vt:variant>
      <vt:variant>
        <vt:i4>0</vt:i4>
      </vt:variant>
      <vt:variant>
        <vt:i4>5</vt:i4>
      </vt:variant>
      <vt:variant>
        <vt:lpwstr>http://www.dzs.hr/Hrv/important/Nomen/nkd2007/nkd2007objasnjenja.pdf</vt:lpwstr>
      </vt:variant>
      <vt:variant>
        <vt:lpwstr/>
      </vt:variant>
      <vt:variant>
        <vt:i4>5111903</vt:i4>
      </vt:variant>
      <vt:variant>
        <vt:i4>2115</vt:i4>
      </vt:variant>
      <vt:variant>
        <vt:i4>0</vt:i4>
      </vt:variant>
      <vt:variant>
        <vt:i4>5</vt:i4>
      </vt:variant>
      <vt:variant>
        <vt:lpwstr>http://www.khl-group.com/events/itc/assets/chris-sleight.pdf</vt:lpwstr>
      </vt:variant>
      <vt:variant>
        <vt:lpwstr/>
      </vt:variant>
      <vt:variant>
        <vt:i4>8061046</vt:i4>
      </vt:variant>
      <vt:variant>
        <vt:i4>2112</vt:i4>
      </vt:variant>
      <vt:variant>
        <vt:i4>0</vt:i4>
      </vt:variant>
      <vt:variant>
        <vt:i4>5</vt:i4>
      </vt:variant>
      <vt:variant>
        <vt:lpwstr>http://www.dzs.hr/</vt:lpwstr>
      </vt:variant>
      <vt:variant>
        <vt:lpwstr/>
      </vt:variant>
      <vt:variant>
        <vt:i4>7929955</vt:i4>
      </vt:variant>
      <vt:variant>
        <vt:i4>2109</vt:i4>
      </vt:variant>
      <vt:variant>
        <vt:i4>0</vt:i4>
      </vt:variant>
      <vt:variant>
        <vt:i4>5</vt:i4>
      </vt:variant>
      <vt:variant>
        <vt:lpwstr>http://www.hgk.hr/category/sektor-centar/sektor-industrija</vt:lpwstr>
      </vt:variant>
      <vt:variant>
        <vt:lpwstr/>
      </vt:variant>
      <vt:variant>
        <vt:i4>7274603</vt:i4>
      </vt:variant>
      <vt:variant>
        <vt:i4>2106</vt:i4>
      </vt:variant>
      <vt:variant>
        <vt:i4>0</vt:i4>
      </vt:variant>
      <vt:variant>
        <vt:i4>5</vt:i4>
      </vt:variant>
      <vt:variant>
        <vt:lpwstr>http://www.hgk.hr/</vt:lpwstr>
      </vt:variant>
      <vt:variant>
        <vt:lpwstr/>
      </vt:variant>
      <vt:variant>
        <vt:i4>8323120</vt:i4>
      </vt:variant>
      <vt:variant>
        <vt:i4>2103</vt:i4>
      </vt:variant>
      <vt:variant>
        <vt:i4>0</vt:i4>
      </vt:variant>
      <vt:variant>
        <vt:i4>5</vt:i4>
      </vt:variant>
      <vt:variant>
        <vt:lpwstr>http://www.fina.hr/</vt:lpwstr>
      </vt:variant>
      <vt:variant>
        <vt:lpwstr/>
      </vt:variant>
      <vt:variant>
        <vt:i4>1179691</vt:i4>
      </vt:variant>
      <vt:variant>
        <vt:i4>2100</vt:i4>
      </vt:variant>
      <vt:variant>
        <vt:i4>0</vt:i4>
      </vt:variant>
      <vt:variant>
        <vt:i4>5</vt:i4>
      </vt:variant>
      <vt:variant>
        <vt:lpwstr>http://epp.eurostat.ec.europa.eu/statistics_explained/index.php/Wood_and_wood_product_statistics_-_NACE_Rev._1.1</vt:lpwstr>
      </vt:variant>
      <vt:variant>
        <vt:lpwstr/>
      </vt:variant>
      <vt:variant>
        <vt:i4>8061046</vt:i4>
      </vt:variant>
      <vt:variant>
        <vt:i4>2097</vt:i4>
      </vt:variant>
      <vt:variant>
        <vt:i4>0</vt:i4>
      </vt:variant>
      <vt:variant>
        <vt:i4>5</vt:i4>
      </vt:variant>
      <vt:variant>
        <vt:lpwstr>http://www.dzs.hr/</vt:lpwstr>
      </vt:variant>
      <vt:variant>
        <vt:lpwstr/>
      </vt:variant>
      <vt:variant>
        <vt:i4>4980754</vt:i4>
      </vt:variant>
      <vt:variant>
        <vt:i4>2094</vt:i4>
      </vt:variant>
      <vt:variant>
        <vt:i4>0</vt:i4>
      </vt:variant>
      <vt:variant>
        <vt:i4>5</vt:i4>
      </vt:variant>
      <vt:variant>
        <vt:lpwstr>http://www.ficem.org/pres/THOMAS-ARMSTRONG-LA-INDUSTRIA-DEL-CEMENTO-EN-CIFRAS.pdf</vt:lpwstr>
      </vt:variant>
      <vt:variant>
        <vt:lpwstr/>
      </vt:variant>
      <vt:variant>
        <vt:i4>2097212</vt:i4>
      </vt:variant>
      <vt:variant>
        <vt:i4>2091</vt:i4>
      </vt:variant>
      <vt:variant>
        <vt:i4>0</vt:i4>
      </vt:variant>
      <vt:variant>
        <vt:i4>5</vt:i4>
      </vt:variant>
      <vt:variant>
        <vt:lpwstr>http://www.atkearney.si/index.php/Publications/preporuke-za-hrvatsku-prehrambenu-industriju-pred-ulaskom-u-eu.html</vt:lpwstr>
      </vt:variant>
      <vt:variant>
        <vt:lpwstr/>
      </vt:variant>
      <vt:variant>
        <vt:i4>3670128</vt:i4>
      </vt:variant>
      <vt:variant>
        <vt:i4>2088</vt:i4>
      </vt:variant>
      <vt:variant>
        <vt:i4>0</vt:i4>
      </vt:variant>
      <vt:variant>
        <vt:i4>5</vt:i4>
      </vt:variant>
      <vt:variant>
        <vt:lpwstr>http://www.wwindea.org/</vt:lpwstr>
      </vt:variant>
      <vt:variant>
        <vt:lpwstr/>
      </vt:variant>
      <vt:variant>
        <vt:i4>3997797</vt:i4>
      </vt:variant>
      <vt:variant>
        <vt:i4>2085</vt:i4>
      </vt:variant>
      <vt:variant>
        <vt:i4>0</vt:i4>
      </vt:variant>
      <vt:variant>
        <vt:i4>5</vt:i4>
      </vt:variant>
      <vt:variant>
        <vt:lpwstr>http://www.wto.com/</vt:lpwstr>
      </vt:variant>
      <vt:variant>
        <vt:lpwstr/>
      </vt:variant>
      <vt:variant>
        <vt:i4>8257609</vt:i4>
      </vt:variant>
      <vt:variant>
        <vt:i4>2082</vt:i4>
      </vt:variant>
      <vt:variant>
        <vt:i4>0</vt:i4>
      </vt:variant>
      <vt:variant>
        <vt:i4>5</vt:i4>
      </vt:variant>
      <vt:variant>
        <vt:lpwstr>http://www.worldsteel.org/dms/internetDocumentList/bookshop/WSIF_2012/document/World Steel in Figures 2012.pdf</vt:lpwstr>
      </vt:variant>
      <vt:variant>
        <vt:lpwstr/>
      </vt:variant>
      <vt:variant>
        <vt:i4>1245224</vt:i4>
      </vt:variant>
      <vt:variant>
        <vt:i4>2079</vt:i4>
      </vt:variant>
      <vt:variant>
        <vt:i4>0</vt:i4>
      </vt:variant>
      <vt:variant>
        <vt:i4>5</vt:i4>
      </vt:variant>
      <vt:variant>
        <vt:lpwstr>http://www.valueline.com/Stocks/Industry_Report.aspx?id=7248</vt:lpwstr>
      </vt:variant>
      <vt:variant>
        <vt:lpwstr/>
      </vt:variant>
      <vt:variant>
        <vt:i4>5832771</vt:i4>
      </vt:variant>
      <vt:variant>
        <vt:i4>2076</vt:i4>
      </vt:variant>
      <vt:variant>
        <vt:i4>0</vt:i4>
      </vt:variant>
      <vt:variant>
        <vt:i4>5</vt:i4>
      </vt:variant>
      <vt:variant>
        <vt:lpwstr>http://www.census.gov/manufacturing/m3/adv/pdf/durgd.pdf</vt:lpwstr>
      </vt:variant>
      <vt:variant>
        <vt:lpwstr/>
      </vt:variant>
      <vt:variant>
        <vt:i4>4456537</vt:i4>
      </vt:variant>
      <vt:variant>
        <vt:i4>2073</vt:i4>
      </vt:variant>
      <vt:variant>
        <vt:i4>0</vt:i4>
      </vt:variant>
      <vt:variant>
        <vt:i4>5</vt:i4>
      </vt:variant>
      <vt:variant>
        <vt:lpwstr>http://www.bls.gov/iag/tgs/iag327.htm</vt:lpwstr>
      </vt:variant>
      <vt:variant>
        <vt:lpwstr/>
      </vt:variant>
      <vt:variant>
        <vt:i4>852011</vt:i4>
      </vt:variant>
      <vt:variant>
        <vt:i4>2070</vt:i4>
      </vt:variant>
      <vt:variant>
        <vt:i4>0</vt:i4>
      </vt:variant>
      <vt:variant>
        <vt:i4>5</vt:i4>
      </vt:variant>
      <vt:variant>
        <vt:lpwstr>http://www.unep.org/.../The Global Chemical Outlook_Full report</vt:lpwstr>
      </vt:variant>
      <vt:variant>
        <vt:lpwstr/>
      </vt:variant>
      <vt:variant>
        <vt:i4>1638417</vt:i4>
      </vt:variant>
      <vt:variant>
        <vt:i4>2067</vt:i4>
      </vt:variant>
      <vt:variant>
        <vt:i4>0</vt:i4>
      </vt:variant>
      <vt:variant>
        <vt:i4>5</vt:i4>
      </vt:variant>
      <vt:variant>
        <vt:lpwstr>http://www.unece.org/fileadmin/DAM/timber/mis/presentations/PepkeGlobalWoodMkts050510.pdf</vt:lpwstr>
      </vt:variant>
      <vt:variant>
        <vt:lpwstr/>
      </vt:variant>
      <vt:variant>
        <vt:i4>852053</vt:i4>
      </vt:variant>
      <vt:variant>
        <vt:i4>2064</vt:i4>
      </vt:variant>
      <vt:variant>
        <vt:i4>0</vt:i4>
      </vt:variant>
      <vt:variant>
        <vt:i4>5</vt:i4>
      </vt:variant>
      <vt:variant>
        <vt:lpwstr>http://www.economist.com/news/business/21579844-worlds-cement-giants-look-set-recoverybut-will-it-be-durable-ready-mixed-fortunes</vt:lpwstr>
      </vt:variant>
      <vt:variant>
        <vt:lpwstr/>
      </vt:variant>
      <vt:variant>
        <vt:i4>5111886</vt:i4>
      </vt:variant>
      <vt:variant>
        <vt:i4>2061</vt:i4>
      </vt:variant>
      <vt:variant>
        <vt:i4>0</vt:i4>
      </vt:variant>
      <vt:variant>
        <vt:i4>5</vt:i4>
      </vt:variant>
      <vt:variant>
        <vt:lpwstr>http://campaign.tetrapak.com/tetra-brik-edge/upload/tb-edge/whitepapers/Whitepaper_Manufacturer_Trends.pdf</vt:lpwstr>
      </vt:variant>
      <vt:variant>
        <vt:lpwstr/>
      </vt:variant>
      <vt:variant>
        <vt:i4>6881319</vt:i4>
      </vt:variant>
      <vt:variant>
        <vt:i4>2058</vt:i4>
      </vt:variant>
      <vt:variant>
        <vt:i4>0</vt:i4>
      </vt:variant>
      <vt:variant>
        <vt:i4>5</vt:i4>
      </vt:variant>
      <vt:variant>
        <vt:lpwstr>http://selectusa.commerce.gov/industry-snapshots/machinery-and-equipment-industry-united-states</vt:lpwstr>
      </vt:variant>
      <vt:variant>
        <vt:lpwstr/>
      </vt:variant>
      <vt:variant>
        <vt:i4>7929900</vt:i4>
      </vt:variant>
      <vt:variant>
        <vt:i4>2055</vt:i4>
      </vt:variant>
      <vt:variant>
        <vt:i4>0</vt:i4>
      </vt:variant>
      <vt:variant>
        <vt:i4>5</vt:i4>
      </vt:variant>
      <vt:variant>
        <vt:lpwstr>http://ec.europa.eu/enterprise/sectors/textiles/single-market/eu27/</vt:lpwstr>
      </vt:variant>
      <vt:variant>
        <vt:lpwstr/>
      </vt:variant>
      <vt:variant>
        <vt:i4>5242909</vt:i4>
      </vt:variant>
      <vt:variant>
        <vt:i4>2052</vt:i4>
      </vt:variant>
      <vt:variant>
        <vt:i4>0</vt:i4>
      </vt:variant>
      <vt:variant>
        <vt:i4>5</vt:i4>
      </vt:variant>
      <vt:variant>
        <vt:lpwstr>http://www.researchandmarkets.com/reports/1839621/petroleum_coke_industry_to_2015_strong_demand</vt:lpwstr>
      </vt:variant>
      <vt:variant>
        <vt:lpwstr/>
      </vt:variant>
      <vt:variant>
        <vt:i4>5374032</vt:i4>
      </vt:variant>
      <vt:variant>
        <vt:i4>2049</vt:i4>
      </vt:variant>
      <vt:variant>
        <vt:i4>0</vt:i4>
      </vt:variant>
      <vt:variant>
        <vt:i4>5</vt:i4>
      </vt:variant>
      <vt:variant>
        <vt:lpwstr>http://www.reportlinker.com/</vt:lpwstr>
      </vt:variant>
      <vt:variant>
        <vt:lpwstr/>
      </vt:variant>
      <vt:variant>
        <vt:i4>5505080</vt:i4>
      </vt:variant>
      <vt:variant>
        <vt:i4>2046</vt:i4>
      </vt:variant>
      <vt:variant>
        <vt:i4>0</vt:i4>
      </vt:variant>
      <vt:variant>
        <vt:i4>5</vt:i4>
      </vt:variant>
      <vt:variant>
        <vt:lpwstr>http://www.reportbuyer.com/business_government/misc_business_services/machinery_maintenance_heavy_equipment_repair_services_us.html</vt:lpwstr>
      </vt:variant>
      <vt:variant>
        <vt:lpwstr/>
      </vt:variant>
      <vt:variant>
        <vt:i4>5505111</vt:i4>
      </vt:variant>
      <vt:variant>
        <vt:i4>2043</vt:i4>
      </vt:variant>
      <vt:variant>
        <vt:i4>0</vt:i4>
      </vt:variant>
      <vt:variant>
        <vt:i4>5</vt:i4>
      </vt:variant>
      <vt:variant>
        <vt:lpwstr>http://www.rer.co.uk/image/data/Sample Downloads/European Electronics Production.pdf</vt:lpwstr>
      </vt:variant>
      <vt:variant>
        <vt:lpwstr/>
      </vt:variant>
      <vt:variant>
        <vt:i4>2162799</vt:i4>
      </vt:variant>
      <vt:variant>
        <vt:i4>2040</vt:i4>
      </vt:variant>
      <vt:variant>
        <vt:i4>0</vt:i4>
      </vt:variant>
      <vt:variant>
        <vt:i4>5</vt:i4>
      </vt:variant>
      <vt:variant>
        <vt:lpwstr>http://www.prweb.com/releases/2013/5/prweb10767692.htm</vt:lpwstr>
      </vt:variant>
      <vt:variant>
        <vt:lpwstr/>
      </vt:variant>
      <vt:variant>
        <vt:i4>6553638</vt:i4>
      </vt:variant>
      <vt:variant>
        <vt:i4>2037</vt:i4>
      </vt:variant>
      <vt:variant>
        <vt:i4>0</vt:i4>
      </vt:variant>
      <vt:variant>
        <vt:i4>5</vt:i4>
      </vt:variant>
      <vt:variant>
        <vt:lpwstr>http://www.pwc.com/gx/en/entertainment-media/.../future-of-ebooks.jhtml</vt:lpwstr>
      </vt:variant>
      <vt:variant>
        <vt:lpwstr/>
      </vt:variant>
      <vt:variant>
        <vt:i4>5832752</vt:i4>
      </vt:variant>
      <vt:variant>
        <vt:i4>2034</vt:i4>
      </vt:variant>
      <vt:variant>
        <vt:i4>0</vt:i4>
      </vt:variant>
      <vt:variant>
        <vt:i4>5</vt:i4>
      </vt:variant>
      <vt:variant>
        <vt:lpwstr>http://www.plasticseurope.org/documents/document/20111107101127final_pe_factsfigures_uk2011_lr_041111.pdf</vt:lpwstr>
      </vt:variant>
      <vt:variant>
        <vt:lpwstr/>
      </vt:variant>
      <vt:variant>
        <vt:i4>6881364</vt:i4>
      </vt:variant>
      <vt:variant>
        <vt:i4>2031</vt:i4>
      </vt:variant>
      <vt:variant>
        <vt:i4>0</vt:i4>
      </vt:variant>
      <vt:variant>
        <vt:i4>5</vt:i4>
      </vt:variant>
      <vt:variant>
        <vt:lpwstr>http://www.hgk.hr/wp-content/blogs.dir/1/files_mf/program66.pdf</vt:lpwstr>
      </vt:variant>
      <vt:variant>
        <vt:lpwstr/>
      </vt:variant>
      <vt:variant>
        <vt:i4>8061046</vt:i4>
      </vt:variant>
      <vt:variant>
        <vt:i4>2028</vt:i4>
      </vt:variant>
      <vt:variant>
        <vt:i4>0</vt:i4>
      </vt:variant>
      <vt:variant>
        <vt:i4>5</vt:i4>
      </vt:variant>
      <vt:variant>
        <vt:lpwstr>http://www.dzs.hr/</vt:lpwstr>
      </vt:variant>
      <vt:variant>
        <vt:lpwstr/>
      </vt:variant>
      <vt:variant>
        <vt:i4>3997740</vt:i4>
      </vt:variant>
      <vt:variant>
        <vt:i4>2025</vt:i4>
      </vt:variant>
      <vt:variant>
        <vt:i4>0</vt:i4>
      </vt:variant>
      <vt:variant>
        <vt:i4>5</vt:i4>
      </vt:variant>
      <vt:variant>
        <vt:lpwstr>http://www.marketline.com/</vt:lpwstr>
      </vt:variant>
      <vt:variant>
        <vt:lpwstr/>
      </vt:variant>
      <vt:variant>
        <vt:i4>5898266</vt:i4>
      </vt:variant>
      <vt:variant>
        <vt:i4>2022</vt:i4>
      </vt:variant>
      <vt:variant>
        <vt:i4>0</vt:i4>
      </vt:variant>
      <vt:variant>
        <vt:i4>5</vt:i4>
      </vt:variant>
      <vt:variant>
        <vt:lpwstr>http://www.marineinsight.com/marine/marine-news/headline/top-10-shipbuilding-companies-in-the-world-in-2012/</vt:lpwstr>
      </vt:variant>
      <vt:variant>
        <vt:lpwstr/>
      </vt:variant>
      <vt:variant>
        <vt:i4>1441794</vt:i4>
      </vt:variant>
      <vt:variant>
        <vt:i4>2019</vt:i4>
      </vt:variant>
      <vt:variant>
        <vt:i4>0</vt:i4>
      </vt:variant>
      <vt:variant>
        <vt:i4>5</vt:i4>
      </vt:variant>
      <vt:variant>
        <vt:lpwstr>http://www.fer.unizg.hr/_download/repository/RTEK_2012-RAMiU1-pred1.pdf</vt:lpwstr>
      </vt:variant>
      <vt:variant>
        <vt:lpwstr/>
      </vt:variant>
      <vt:variant>
        <vt:i4>5963846</vt:i4>
      </vt:variant>
      <vt:variant>
        <vt:i4>2016</vt:i4>
      </vt:variant>
      <vt:variant>
        <vt:i4>0</vt:i4>
      </vt:variant>
      <vt:variant>
        <vt:i4>5</vt:i4>
      </vt:variant>
      <vt:variant>
        <vt:lpwstr>http://www.itmf.org/fgrs-shanghai/07-Lee.pdf</vt:lpwstr>
      </vt:variant>
      <vt:variant>
        <vt:lpwstr/>
      </vt:variant>
      <vt:variant>
        <vt:i4>6094865</vt:i4>
      </vt:variant>
      <vt:variant>
        <vt:i4>2013</vt:i4>
      </vt:variant>
      <vt:variant>
        <vt:i4>0</vt:i4>
      </vt:variant>
      <vt:variant>
        <vt:i4>5</vt:i4>
      </vt:variant>
      <vt:variant>
        <vt:lpwstr>http://www.kpmg.com/be/en/issuesandinsights/articlespublications/pages/food-beverage-outlook-survey.aspx</vt:lpwstr>
      </vt:variant>
      <vt:variant>
        <vt:lpwstr/>
      </vt:variant>
      <vt:variant>
        <vt:i4>6750249</vt:i4>
      </vt:variant>
      <vt:variant>
        <vt:i4>2010</vt:i4>
      </vt:variant>
      <vt:variant>
        <vt:i4>0</vt:i4>
      </vt:variant>
      <vt:variant>
        <vt:i4>5</vt:i4>
      </vt:variant>
      <vt:variant>
        <vt:lpwstr>http://www.safu.hr/hr/natjecaji/pregled/209</vt:lpwstr>
      </vt:variant>
      <vt:variant>
        <vt:lpwstr/>
      </vt:variant>
      <vt:variant>
        <vt:i4>1376274</vt:i4>
      </vt:variant>
      <vt:variant>
        <vt:i4>2007</vt:i4>
      </vt:variant>
      <vt:variant>
        <vt:i4>0</vt:i4>
      </vt:variant>
      <vt:variant>
        <vt:i4>5</vt:i4>
      </vt:variant>
      <vt:variant>
        <vt:lpwstr>http://www.trade.gov/mas/manufacturing/oaai/tg_oaai_003832.asp</vt:lpwstr>
      </vt:variant>
      <vt:variant>
        <vt:lpwstr/>
      </vt:variant>
      <vt:variant>
        <vt:i4>3080309</vt:i4>
      </vt:variant>
      <vt:variant>
        <vt:i4>2004</vt:i4>
      </vt:variant>
      <vt:variant>
        <vt:i4>0</vt:i4>
      </vt:variant>
      <vt:variant>
        <vt:i4>5</vt:i4>
      </vt:variant>
      <vt:variant>
        <vt:lpwstr>http://www.idc.com/</vt:lpwstr>
      </vt:variant>
      <vt:variant>
        <vt:lpwstr/>
      </vt:variant>
      <vt:variant>
        <vt:i4>7012394</vt:i4>
      </vt:variant>
      <vt:variant>
        <vt:i4>2001</vt:i4>
      </vt:variant>
      <vt:variant>
        <vt:i4>0</vt:i4>
      </vt:variant>
      <vt:variant>
        <vt:i4>5</vt:i4>
      </vt:variant>
      <vt:variant>
        <vt:lpwstr>http://www.integraf.eu/</vt:lpwstr>
      </vt:variant>
      <vt:variant>
        <vt:lpwstr/>
      </vt:variant>
      <vt:variant>
        <vt:i4>2555950</vt:i4>
      </vt:variant>
      <vt:variant>
        <vt:i4>1998</vt:i4>
      </vt:variant>
      <vt:variant>
        <vt:i4>0</vt:i4>
      </vt:variant>
      <vt:variant>
        <vt:i4>5</vt:i4>
      </vt:variant>
      <vt:variant>
        <vt:lpwstr>https://www.idc.com/getdoc.jsp?containerId=prUS23916413</vt:lpwstr>
      </vt:variant>
      <vt:variant>
        <vt:lpwstr/>
      </vt:variant>
      <vt:variant>
        <vt:i4>4325402</vt:i4>
      </vt:variant>
      <vt:variant>
        <vt:i4>1995</vt:i4>
      </vt:variant>
      <vt:variant>
        <vt:i4>0</vt:i4>
      </vt:variant>
      <vt:variant>
        <vt:i4>5</vt:i4>
      </vt:variant>
      <vt:variant>
        <vt:lpwstr>http://www.ibisworld.com/industry/default.aspx?indid=1708</vt:lpwstr>
      </vt:variant>
      <vt:variant>
        <vt:lpwstr/>
      </vt:variant>
      <vt:variant>
        <vt:i4>7929955</vt:i4>
      </vt:variant>
      <vt:variant>
        <vt:i4>1992</vt:i4>
      </vt:variant>
      <vt:variant>
        <vt:i4>0</vt:i4>
      </vt:variant>
      <vt:variant>
        <vt:i4>5</vt:i4>
      </vt:variant>
      <vt:variant>
        <vt:lpwstr>http://www.hgk.hr/category/sektor-centar/sektor-industrija</vt:lpwstr>
      </vt:variant>
      <vt:variant>
        <vt:lpwstr/>
      </vt:variant>
      <vt:variant>
        <vt:i4>7274603</vt:i4>
      </vt:variant>
      <vt:variant>
        <vt:i4>1989</vt:i4>
      </vt:variant>
      <vt:variant>
        <vt:i4>0</vt:i4>
      </vt:variant>
      <vt:variant>
        <vt:i4>5</vt:i4>
      </vt:variant>
      <vt:variant>
        <vt:lpwstr>http://www.hgk.hr/</vt:lpwstr>
      </vt:variant>
      <vt:variant>
        <vt:lpwstr/>
      </vt:variant>
      <vt:variant>
        <vt:i4>2359393</vt:i4>
      </vt:variant>
      <vt:variant>
        <vt:i4>1986</vt:i4>
      </vt:variant>
      <vt:variant>
        <vt:i4>0</vt:i4>
      </vt:variant>
      <vt:variant>
        <vt:i4>5</vt:i4>
      </vt:variant>
      <vt:variant>
        <vt:lpwstr>http://www.hoovers.com/industry-facts.machinery-manufacturing.1397.html</vt:lpwstr>
      </vt:variant>
      <vt:variant>
        <vt:lpwstr/>
      </vt:variant>
      <vt:variant>
        <vt:i4>6815804</vt:i4>
      </vt:variant>
      <vt:variant>
        <vt:i4>1983</vt:i4>
      </vt:variant>
      <vt:variant>
        <vt:i4>0</vt:i4>
      </vt:variant>
      <vt:variant>
        <vt:i4>5</vt:i4>
      </vt:variant>
      <vt:variant>
        <vt:lpwstr>http://www.colorado.edu/IBS/PEC/gadconf/papers/gereffi.pdf</vt:lpwstr>
      </vt:variant>
      <vt:variant>
        <vt:lpwstr/>
      </vt:variant>
      <vt:variant>
        <vt:i4>3342374</vt:i4>
      </vt:variant>
      <vt:variant>
        <vt:i4>1980</vt:i4>
      </vt:variant>
      <vt:variant>
        <vt:i4>0</vt:i4>
      </vt:variant>
      <vt:variant>
        <vt:i4>5</vt:i4>
      </vt:variant>
      <vt:variant>
        <vt:lpwstr>http://gcaptain.com/global-shipbuilding-outlook-global/</vt:lpwstr>
      </vt:variant>
      <vt:variant>
        <vt:lpwstr/>
      </vt:variant>
      <vt:variant>
        <vt:i4>2883681</vt:i4>
      </vt:variant>
      <vt:variant>
        <vt:i4>1977</vt:i4>
      </vt:variant>
      <vt:variant>
        <vt:i4>0</vt:i4>
      </vt:variant>
      <vt:variant>
        <vt:i4>5</vt:i4>
      </vt:variant>
      <vt:variant>
        <vt:lpwstr>http://www.gartner.com/</vt:lpwstr>
      </vt:variant>
      <vt:variant>
        <vt:lpwstr/>
      </vt:variant>
      <vt:variant>
        <vt:i4>6291517</vt:i4>
      </vt:variant>
      <vt:variant>
        <vt:i4>1974</vt:i4>
      </vt:variant>
      <vt:variant>
        <vt:i4>0</vt:i4>
      </vt:variant>
      <vt:variant>
        <vt:i4>5</vt:i4>
      </vt:variant>
      <vt:variant>
        <vt:lpwstr>http://www.furnituremanufacturers.net/global-furniture-market.html</vt:lpwstr>
      </vt:variant>
      <vt:variant>
        <vt:lpwstr/>
      </vt:variant>
      <vt:variant>
        <vt:i4>5046352</vt:i4>
      </vt:variant>
      <vt:variant>
        <vt:i4>1971</vt:i4>
      </vt:variant>
      <vt:variant>
        <vt:i4>0</vt:i4>
      </vt:variant>
      <vt:variant>
        <vt:i4>5</vt:i4>
      </vt:variant>
      <vt:variant>
        <vt:lpwstr>http://www.f/</vt:lpwstr>
      </vt:variant>
      <vt:variant>
        <vt:lpwstr/>
      </vt:variant>
      <vt:variant>
        <vt:i4>589859</vt:i4>
      </vt:variant>
      <vt:variant>
        <vt:i4>1968</vt:i4>
      </vt:variant>
      <vt:variant>
        <vt:i4>0</vt:i4>
      </vt:variant>
      <vt:variant>
        <vt:i4>5</vt:i4>
      </vt:variant>
      <vt:variant>
        <vt:lpwstr>http://www.google.hr/url?sa=t&amp;rct=j&amp;q=&amp;esrc=s&amp;frm=1&amp;source=web&amp;cd=1&amp;ved=0CCUQFjAA&amp;url=http%3A%2F%2Fwww.fooddrinkeurope.eu%2Fuploads%2Fpublications_documents%2FFinal_FDE_competitiveness_web2.pdf&amp;ei=UzzNUffxE8autAanoHICA&amp;usg=AFQjCNEJ5cVrMPIMBbmkbuB6BD_SAYtaQ&amp;sig2=Gf8zpM7OP2A1hxM4ZnF7wA</vt:lpwstr>
      </vt:variant>
      <vt:variant>
        <vt:lpwstr/>
      </vt:variant>
      <vt:variant>
        <vt:i4>1114136</vt:i4>
      </vt:variant>
      <vt:variant>
        <vt:i4>1965</vt:i4>
      </vt:variant>
      <vt:variant>
        <vt:i4>0</vt:i4>
      </vt:variant>
      <vt:variant>
        <vt:i4>5</vt:i4>
      </vt:variant>
      <vt:variant>
        <vt:lpwstr>ftp://ftp.fao.org/docrep/fao/011/i0350e/i0350e02a.pdf</vt:lpwstr>
      </vt:variant>
      <vt:variant>
        <vt:lpwstr/>
      </vt:variant>
      <vt:variant>
        <vt:i4>8323120</vt:i4>
      </vt:variant>
      <vt:variant>
        <vt:i4>1962</vt:i4>
      </vt:variant>
      <vt:variant>
        <vt:i4>0</vt:i4>
      </vt:variant>
      <vt:variant>
        <vt:i4>5</vt:i4>
      </vt:variant>
      <vt:variant>
        <vt:lpwstr>http://www.fina.hr/</vt:lpwstr>
      </vt:variant>
      <vt:variant>
        <vt:lpwstr/>
      </vt:variant>
      <vt:variant>
        <vt:i4>5898250</vt:i4>
      </vt:variant>
      <vt:variant>
        <vt:i4>1959</vt:i4>
      </vt:variant>
      <vt:variant>
        <vt:i4>0</vt:i4>
      </vt:variant>
      <vt:variant>
        <vt:i4>5</vt:i4>
      </vt:variant>
      <vt:variant>
        <vt:lpwstr>http://www.evaluategroup.com/Public/EvaluatePharma-World-Preview-2018-Embracing-the-Patent-Cliff.aspx</vt:lpwstr>
      </vt:variant>
      <vt:variant>
        <vt:lpwstr/>
      </vt:variant>
      <vt:variant>
        <vt:i4>786504</vt:i4>
      </vt:variant>
      <vt:variant>
        <vt:i4>1956</vt:i4>
      </vt:variant>
      <vt:variant>
        <vt:i4>0</vt:i4>
      </vt:variant>
      <vt:variant>
        <vt:i4>5</vt:i4>
      </vt:variant>
      <vt:variant>
        <vt:lpwstr>http://ec.europa.eu/enterprise/sectors/maritime/shipbuilding/</vt:lpwstr>
      </vt:variant>
      <vt:variant>
        <vt:lpwstr/>
      </vt:variant>
      <vt:variant>
        <vt:i4>7012441</vt:i4>
      </vt:variant>
      <vt:variant>
        <vt:i4>1953</vt:i4>
      </vt:variant>
      <vt:variant>
        <vt:i4>0</vt:i4>
      </vt:variant>
      <vt:variant>
        <vt:i4>5</vt:i4>
      </vt:variant>
      <vt:variant>
        <vt:lpwstr>http://www.ey.com/Publication/vwLUAssets/Global-Steel-Report-2013/$FILE/Global-Steel-Report-2013_ER0046.pdf</vt:lpwstr>
      </vt:variant>
      <vt:variant>
        <vt:lpwstr/>
      </vt:variant>
      <vt:variant>
        <vt:i4>3604590</vt:i4>
      </vt:variant>
      <vt:variant>
        <vt:i4>1950</vt:i4>
      </vt:variant>
      <vt:variant>
        <vt:i4>0</vt:i4>
      </vt:variant>
      <vt:variant>
        <vt:i4>5</vt:i4>
      </vt:variant>
      <vt:variant>
        <vt:lpwstr>http://www.ericsson.com/hr/etk/index.shtml</vt:lpwstr>
      </vt:variant>
      <vt:variant>
        <vt:lpwstr/>
      </vt:variant>
      <vt:variant>
        <vt:i4>7733292</vt:i4>
      </vt:variant>
      <vt:variant>
        <vt:i4>1947</vt:i4>
      </vt:variant>
      <vt:variant>
        <vt:i4>0</vt:i4>
      </vt:variant>
      <vt:variant>
        <vt:i4>5</vt:i4>
      </vt:variant>
      <vt:variant>
        <vt:lpwstr>http://www.equitymaster.com/research-it/sector-info/steel/Steel-Sector-Analysis-Report.asp</vt:lpwstr>
      </vt:variant>
      <vt:variant>
        <vt:lpwstr/>
      </vt:variant>
      <vt:variant>
        <vt:i4>3342458</vt:i4>
      </vt:variant>
      <vt:variant>
        <vt:i4>1944</vt:i4>
      </vt:variant>
      <vt:variant>
        <vt:i4>0</vt:i4>
      </vt:variant>
      <vt:variant>
        <vt:i4>5</vt:i4>
      </vt:variant>
      <vt:variant>
        <vt:lpwstr>http://www.epa.gov/compliance/resources/.../sectors/notebooks/rubplasn.pdf</vt:lpwstr>
      </vt:variant>
      <vt:variant>
        <vt:lpwstr/>
      </vt:variant>
      <vt:variant>
        <vt:i4>2883646</vt:i4>
      </vt:variant>
      <vt:variant>
        <vt:i4>1941</vt:i4>
      </vt:variant>
      <vt:variant>
        <vt:i4>0</vt:i4>
      </vt:variant>
      <vt:variant>
        <vt:i4>5</vt:i4>
      </vt:variant>
      <vt:variant>
        <vt:lpwstr>http://energy.korea.com/archives/42677</vt:lpwstr>
      </vt:variant>
      <vt:variant>
        <vt:lpwstr/>
      </vt:variant>
      <vt:variant>
        <vt:i4>6553635</vt:i4>
      </vt:variant>
      <vt:variant>
        <vt:i4>1938</vt:i4>
      </vt:variant>
      <vt:variant>
        <vt:i4>0</vt:i4>
      </vt:variant>
      <vt:variant>
        <vt:i4>5</vt:i4>
      </vt:variant>
      <vt:variant>
        <vt:lpwstr>http://www.eenpact.eu/hu/system/files/documents/Leather Global UCV.pdf</vt:lpwstr>
      </vt:variant>
      <vt:variant>
        <vt:lpwstr/>
      </vt:variant>
      <vt:variant>
        <vt:i4>5832792</vt:i4>
      </vt:variant>
      <vt:variant>
        <vt:i4>1935</vt:i4>
      </vt:variant>
      <vt:variant>
        <vt:i4>0</vt:i4>
      </vt:variant>
      <vt:variant>
        <vt:i4>5</vt:i4>
      </vt:variant>
      <vt:variant>
        <vt:lpwstr>http://www.economywatch.com/world-industries/steel-industry/</vt:lpwstr>
      </vt:variant>
      <vt:variant>
        <vt:lpwstr/>
      </vt:variant>
      <vt:variant>
        <vt:i4>196610</vt:i4>
      </vt:variant>
      <vt:variant>
        <vt:i4>1932</vt:i4>
      </vt:variant>
      <vt:variant>
        <vt:i4>0</vt:i4>
      </vt:variant>
      <vt:variant>
        <vt:i4>5</vt:i4>
      </vt:variant>
      <vt:variant>
        <vt:lpwstr>http://ec.europa.eu/clima/policies/ets/cap/allocation/docs/bm_study-lime_en.pdf</vt:lpwstr>
      </vt:variant>
      <vt:variant>
        <vt:lpwstr/>
      </vt:variant>
      <vt:variant>
        <vt:i4>1769589</vt:i4>
      </vt:variant>
      <vt:variant>
        <vt:i4>1929</vt:i4>
      </vt:variant>
      <vt:variant>
        <vt:i4>0</vt:i4>
      </vt:variant>
      <vt:variant>
        <vt:i4>5</vt:i4>
      </vt:variant>
      <vt:variant>
        <vt:lpwstr>http://www.eclac.org/publicaciones/xml/5/44885/2011-061_The_film_industry-_Serie_122.pdf</vt:lpwstr>
      </vt:variant>
      <vt:variant>
        <vt:lpwstr/>
      </vt:variant>
      <vt:variant>
        <vt:i4>589913</vt:i4>
      </vt:variant>
      <vt:variant>
        <vt:i4>1926</vt:i4>
      </vt:variant>
      <vt:variant>
        <vt:i4>0</vt:i4>
      </vt:variant>
      <vt:variant>
        <vt:i4>5</vt:i4>
      </vt:variant>
      <vt:variant>
        <vt:lpwstr>http://www.sussex.ac.uk/geography/documents/02-t.pdf</vt:lpwstr>
      </vt:variant>
      <vt:variant>
        <vt:lpwstr/>
      </vt:variant>
      <vt:variant>
        <vt:i4>3407973</vt:i4>
      </vt:variant>
      <vt:variant>
        <vt:i4>1923</vt:i4>
      </vt:variant>
      <vt:variant>
        <vt:i4>0</vt:i4>
      </vt:variant>
      <vt:variant>
        <vt:i4>5</vt:i4>
      </vt:variant>
      <vt:variant>
        <vt:lpwstr>http://www.dzs.hr/Hrv_Eng/msi/2013/msi-2013_02.pdf</vt:lpwstr>
      </vt:variant>
      <vt:variant>
        <vt:lpwstr/>
      </vt:variant>
      <vt:variant>
        <vt:i4>4194373</vt:i4>
      </vt:variant>
      <vt:variant>
        <vt:i4>1920</vt:i4>
      </vt:variant>
      <vt:variant>
        <vt:i4>0</vt:i4>
      </vt:variant>
      <vt:variant>
        <vt:i4>5</vt:i4>
      </vt:variant>
      <vt:variant>
        <vt:lpwstr>http://www.dryships.com/</vt:lpwstr>
      </vt:variant>
      <vt:variant>
        <vt:lpwstr/>
      </vt:variant>
      <vt:variant>
        <vt:i4>4784224</vt:i4>
      </vt:variant>
      <vt:variant>
        <vt:i4>1917</vt:i4>
      </vt:variant>
      <vt:variant>
        <vt:i4>0</vt:i4>
      </vt:variant>
      <vt:variant>
        <vt:i4>5</vt:i4>
      </vt:variant>
      <vt:variant>
        <vt:lpwstr>http://www.usaee.org/usaee2012/submissions/OnlineProceedings/7205deMaackLantz_USAEE2012.pdf</vt:lpwstr>
      </vt:variant>
      <vt:variant>
        <vt:lpwstr/>
      </vt:variant>
      <vt:variant>
        <vt:i4>6094965</vt:i4>
      </vt:variant>
      <vt:variant>
        <vt:i4>1914</vt:i4>
      </vt:variant>
      <vt:variant>
        <vt:i4>0</vt:i4>
      </vt:variant>
      <vt:variant>
        <vt:i4>5</vt:i4>
      </vt:variant>
      <vt:variant>
        <vt:lpwstr>http://www.flprint.org/www.flprint.org/Benefits_Resources_files/Charting_a_Path_2013-14.pdf</vt:lpwstr>
      </vt:variant>
      <vt:variant>
        <vt:lpwstr/>
      </vt:variant>
      <vt:variant>
        <vt:i4>3473513</vt:i4>
      </vt:variant>
      <vt:variant>
        <vt:i4>1911</vt:i4>
      </vt:variant>
      <vt:variant>
        <vt:i4>0</vt:i4>
      </vt:variant>
      <vt:variant>
        <vt:i4>5</vt:i4>
      </vt:variant>
      <vt:variant>
        <vt:lpwstr>http://www.currentpartnering.com/insight/top-50-pharma/</vt:lpwstr>
      </vt:variant>
      <vt:variant>
        <vt:lpwstr/>
      </vt:variant>
      <vt:variant>
        <vt:i4>8323125</vt:i4>
      </vt:variant>
      <vt:variant>
        <vt:i4>1908</vt:i4>
      </vt:variant>
      <vt:variant>
        <vt:i4>0</vt:i4>
      </vt:variant>
      <vt:variant>
        <vt:i4>5</vt:i4>
      </vt:variant>
      <vt:variant>
        <vt:lpwstr>http://www.cost.eu/download/Foresight2030_FoodSecurity_Report</vt:lpwstr>
      </vt:variant>
      <vt:variant>
        <vt:lpwstr/>
      </vt:variant>
      <vt:variant>
        <vt:i4>7143465</vt:i4>
      </vt:variant>
      <vt:variant>
        <vt:i4>1905</vt:i4>
      </vt:variant>
      <vt:variant>
        <vt:i4>0</vt:i4>
      </vt:variant>
      <vt:variant>
        <vt:i4>5</vt:i4>
      </vt:variant>
      <vt:variant>
        <vt:lpwstr>http://communities-dominate.blogs.com/brands/2013/02/worlds-biggest-computer-makers-when-pcs-tablets-and-smartphones-are-included.html</vt:lpwstr>
      </vt:variant>
      <vt:variant>
        <vt:lpwstr/>
      </vt:variant>
      <vt:variant>
        <vt:i4>4128835</vt:i4>
      </vt:variant>
      <vt:variant>
        <vt:i4>1902</vt:i4>
      </vt:variant>
      <vt:variant>
        <vt:i4>0</vt:i4>
      </vt:variant>
      <vt:variant>
        <vt:i4>5</vt:i4>
      </vt:variant>
      <vt:variant>
        <vt:lpwstr>http://www.resource-net.com/files/Sample_Pages.pdf</vt:lpwstr>
      </vt:variant>
      <vt:variant>
        <vt:lpwstr/>
      </vt:variant>
      <vt:variant>
        <vt:i4>7340066</vt:i4>
      </vt:variant>
      <vt:variant>
        <vt:i4>1899</vt:i4>
      </vt:variant>
      <vt:variant>
        <vt:i4>0</vt:i4>
      </vt:variant>
      <vt:variant>
        <vt:i4>5</vt:i4>
      </vt:variant>
      <vt:variant>
        <vt:lpwstr>http://www.cleantechinvestor.com/portal/wind-energy/10502-wind-turbine-manufacturers-global-market-shares.html</vt:lpwstr>
      </vt:variant>
      <vt:variant>
        <vt:lpwstr/>
      </vt:variant>
      <vt:variant>
        <vt:i4>2556023</vt:i4>
      </vt:variant>
      <vt:variant>
        <vt:i4>1896</vt:i4>
      </vt:variant>
      <vt:variant>
        <vt:i4>0</vt:i4>
      </vt:variant>
      <vt:variant>
        <vt:i4>5</vt:i4>
      </vt:variant>
      <vt:variant>
        <vt:lpwstr>http://www.amazon.com/Financial-Reporting-Analysis-Program-curriculum/dp/0558521835</vt:lpwstr>
      </vt:variant>
      <vt:variant>
        <vt:lpwstr/>
      </vt:variant>
      <vt:variant>
        <vt:i4>7274608</vt:i4>
      </vt:variant>
      <vt:variant>
        <vt:i4>1893</vt:i4>
      </vt:variant>
      <vt:variant>
        <vt:i4>0</vt:i4>
      </vt:variant>
      <vt:variant>
        <vt:i4>5</vt:i4>
      </vt:variant>
      <vt:variant>
        <vt:lpwstr>http://www.cepi.org/system/files/public/documents/publications/statistics/2010 Key Statistics FINAL.pdf</vt:lpwstr>
      </vt:variant>
      <vt:variant>
        <vt:lpwstr/>
      </vt:variant>
      <vt:variant>
        <vt:i4>100</vt:i4>
      </vt:variant>
      <vt:variant>
        <vt:i4>1890</vt:i4>
      </vt:variant>
      <vt:variant>
        <vt:i4>0</vt:i4>
      </vt:variant>
      <vt:variant>
        <vt:i4>5</vt:i4>
      </vt:variant>
      <vt:variant>
        <vt:lpwstr>http://www.4noboundaries.org/documents/MV_Project-BenchmarkingReport-062309.pdf</vt:lpwstr>
      </vt:variant>
      <vt:variant>
        <vt:lpwstr/>
      </vt:variant>
      <vt:variant>
        <vt:i4>3735675</vt:i4>
      </vt:variant>
      <vt:variant>
        <vt:i4>1887</vt:i4>
      </vt:variant>
      <vt:variant>
        <vt:i4>0</vt:i4>
      </vt:variant>
      <vt:variant>
        <vt:i4>5</vt:i4>
      </vt:variant>
      <vt:variant>
        <vt:lpwstr>http://www.cefic.org/Documents/FactsAndFigures/2012/Facts-and-Figures-2012-The-Leaflet.pdf</vt:lpwstr>
      </vt:variant>
      <vt:variant>
        <vt:lpwstr/>
      </vt:variant>
      <vt:variant>
        <vt:i4>5767177</vt:i4>
      </vt:variant>
      <vt:variant>
        <vt:i4>1884</vt:i4>
      </vt:variant>
      <vt:variant>
        <vt:i4>0</vt:i4>
      </vt:variant>
      <vt:variant>
        <vt:i4>5</vt:i4>
      </vt:variant>
      <vt:variant>
        <vt:lpwstr>http://www.minpo.hr/UserDocsImages/Investment Promotion and Development of Investment Climate Act.pdf</vt:lpwstr>
      </vt:variant>
      <vt:variant>
        <vt:lpwstr/>
      </vt:variant>
      <vt:variant>
        <vt:i4>1572888</vt:i4>
      </vt:variant>
      <vt:variant>
        <vt:i4>1881</vt:i4>
      </vt:variant>
      <vt:variant>
        <vt:i4>0</vt:i4>
      </vt:variant>
      <vt:variant>
        <vt:i4>5</vt:i4>
      </vt:variant>
      <vt:variant>
        <vt:lpwstr>http://ec.europa.eu/enterprise/sectors/mechanical/files/metalworking/documentation_pack_en.pdf</vt:lpwstr>
      </vt:variant>
      <vt:variant>
        <vt:lpwstr/>
      </vt:variant>
      <vt:variant>
        <vt:i4>1507381</vt:i4>
      </vt:variant>
      <vt:variant>
        <vt:i4>1878</vt:i4>
      </vt:variant>
      <vt:variant>
        <vt:i4>0</vt:i4>
      </vt:variant>
      <vt:variant>
        <vt:i4>5</vt:i4>
      </vt:variant>
      <vt:variant>
        <vt:lpwstr>http://www.bain.com/Images/BAIN_BRIEF_Global_refining.pdf</vt:lpwstr>
      </vt:variant>
      <vt:variant>
        <vt:lpwstr/>
      </vt:variant>
      <vt:variant>
        <vt:i4>3538992</vt:i4>
      </vt:variant>
      <vt:variant>
        <vt:i4>1875</vt:i4>
      </vt:variant>
      <vt:variant>
        <vt:i4>0</vt:i4>
      </vt:variant>
      <vt:variant>
        <vt:i4>5</vt:i4>
      </vt:variant>
      <vt:variant>
        <vt:lpwstr>http://www.plasticseurope.org/cust/documentrequest.aspx?DocID=54693</vt:lpwstr>
      </vt:variant>
      <vt:variant>
        <vt:lpwstr/>
      </vt:variant>
      <vt:variant>
        <vt:i4>196726</vt:i4>
      </vt:variant>
      <vt:variant>
        <vt:i4>1872</vt:i4>
      </vt:variant>
      <vt:variant>
        <vt:i4>0</vt:i4>
      </vt:variant>
      <vt:variant>
        <vt:i4>5</vt:i4>
      </vt:variant>
      <vt:variant>
        <vt:lpwstr>http://www.mrrfeu.hr/userDocsImages/Publikacije/Strateski_okvir_za_razvoj_2006_2013.pdf</vt:lpwstr>
      </vt:variant>
      <vt:variant>
        <vt:lpwstr/>
      </vt:variant>
      <vt:variant>
        <vt:i4>6553635</vt:i4>
      </vt:variant>
      <vt:variant>
        <vt:i4>1869</vt:i4>
      </vt:variant>
      <vt:variant>
        <vt:i4>0</vt:i4>
      </vt:variant>
      <vt:variant>
        <vt:i4>5</vt:i4>
      </vt:variant>
      <vt:variant>
        <vt:lpwstr>http://www.mfin.hr/adminmax/docs/Ekonomski program Republike Hrvatske 2013.pdf</vt:lpwstr>
      </vt:variant>
      <vt:variant>
        <vt:lpwstr/>
      </vt:variant>
      <vt:variant>
        <vt:i4>65618</vt:i4>
      </vt:variant>
      <vt:variant>
        <vt:i4>1866</vt:i4>
      </vt:variant>
      <vt:variant>
        <vt:i4>0</vt:i4>
      </vt:variant>
      <vt:variant>
        <vt:i4>5</vt:i4>
      </vt:variant>
      <vt:variant>
        <vt:lpwstr>http://www.europarl.europa.eu/document/activities/cont/201107/20110718ATT24270/20110718ATT24270EN.pdf</vt:lpwstr>
      </vt:variant>
      <vt:variant>
        <vt:lpwstr/>
      </vt:variant>
      <vt:variant>
        <vt:i4>7143549</vt:i4>
      </vt:variant>
      <vt:variant>
        <vt:i4>1863</vt:i4>
      </vt:variant>
      <vt:variant>
        <vt:i4>0</vt:i4>
      </vt:variant>
      <vt:variant>
        <vt:i4>5</vt:i4>
      </vt:variant>
      <vt:variant>
        <vt:lpwstr>http://eur-lex.europa.eu/LexUriServ/LexUriServ.do?uri=COM:2012:0795:FIN:en:PDF</vt:lpwstr>
      </vt:variant>
      <vt:variant>
        <vt:lpwstr/>
      </vt:variant>
      <vt:variant>
        <vt:i4>7078008</vt:i4>
      </vt:variant>
      <vt:variant>
        <vt:i4>1860</vt:i4>
      </vt:variant>
      <vt:variant>
        <vt:i4>0</vt:i4>
      </vt:variant>
      <vt:variant>
        <vt:i4>5</vt:i4>
      </vt:variant>
      <vt:variant>
        <vt:lpwstr>http://eur-lex.europa.eu/LexUriServ/LexUriServ.do?uri=COM:2012:0582:FIN:EN:PDF</vt:lpwstr>
      </vt:variant>
      <vt:variant>
        <vt:lpwstr/>
      </vt:variant>
      <vt:variant>
        <vt:i4>393328</vt:i4>
      </vt:variant>
      <vt:variant>
        <vt:i4>1857</vt:i4>
      </vt:variant>
      <vt:variant>
        <vt:i4>0</vt:i4>
      </vt:variant>
      <vt:variant>
        <vt:i4>5</vt:i4>
      </vt:variant>
      <vt:variant>
        <vt:lpwstr>http://ec.europa.eu/europe2020/pdf/ags2013_en.pdf</vt:lpwstr>
      </vt:variant>
      <vt:variant>
        <vt:lpwstr/>
      </vt:variant>
      <vt:variant>
        <vt:i4>3473509</vt:i4>
      </vt:variant>
      <vt:variant>
        <vt:i4>1854</vt:i4>
      </vt:variant>
      <vt:variant>
        <vt:i4>0</vt:i4>
      </vt:variant>
      <vt:variant>
        <vt:i4>5</vt:i4>
      </vt:variant>
      <vt:variant>
        <vt:lpwstr>http://ec.europa.eu/eu2020/pdf/COMPLET EN BARROSO   007 - Europe 2020 - EN version.pdf</vt:lpwstr>
      </vt:variant>
      <vt:variant>
        <vt:lpwstr/>
      </vt:variant>
      <vt:variant>
        <vt:i4>2752634</vt:i4>
      </vt:variant>
      <vt:variant>
        <vt:i4>1851</vt:i4>
      </vt:variant>
      <vt:variant>
        <vt:i4>0</vt:i4>
      </vt:variant>
      <vt:variant>
        <vt:i4>5</vt:i4>
      </vt:variant>
      <vt:variant>
        <vt:lpwstr>http://www.bdi.eu/BDI_english/download_content/32085_BDI_Wertschoepfung_engl_6.pdf</vt:lpwstr>
      </vt:variant>
      <vt:variant>
        <vt:lpwstr/>
      </vt:variant>
      <vt:variant>
        <vt:i4>786515</vt:i4>
      </vt:variant>
      <vt:variant>
        <vt:i4>1848</vt:i4>
      </vt:variant>
      <vt:variant>
        <vt:i4>0</vt:i4>
      </vt:variant>
      <vt:variant>
        <vt:i4>5</vt:i4>
      </vt:variant>
      <vt:variant>
        <vt:lpwstr>http://www.vguk.hr/download.php?downloadParams=studnewsfile%7C350</vt:lpwstr>
      </vt:variant>
      <vt:variant>
        <vt:lpwstr/>
      </vt:variant>
      <vt:variant>
        <vt:i4>2556013</vt:i4>
      </vt:variant>
      <vt:variant>
        <vt:i4>1845</vt:i4>
      </vt:variant>
      <vt:variant>
        <vt:i4>0</vt:i4>
      </vt:variant>
      <vt:variant>
        <vt:i4>5</vt:i4>
      </vt:variant>
      <vt:variant>
        <vt:lpwstr>http://www.eu-kamen.com/Portals/0/Analiza_stanja_u_sektoru_final.pdf</vt:lpwstr>
      </vt:variant>
      <vt:variant>
        <vt:lpwstr/>
      </vt:variant>
      <vt:variant>
        <vt:i4>6619190</vt:i4>
      </vt:variant>
      <vt:variant>
        <vt:i4>1842</vt:i4>
      </vt:variant>
      <vt:variant>
        <vt:i4>0</vt:i4>
      </vt:variant>
      <vt:variant>
        <vt:i4>5</vt:i4>
      </vt:variant>
      <vt:variant>
        <vt:lpwstr>http://www.voda.hr/</vt:lpwstr>
      </vt:variant>
      <vt:variant>
        <vt:lpwstr/>
      </vt:variant>
      <vt:variant>
        <vt:i4>3014719</vt:i4>
      </vt:variant>
      <vt:variant>
        <vt:i4>1839</vt:i4>
      </vt:variant>
      <vt:variant>
        <vt:i4>0</vt:i4>
      </vt:variant>
      <vt:variant>
        <vt:i4>5</vt:i4>
      </vt:variant>
      <vt:variant>
        <vt:lpwstr>http://www.obnovljivi.com/</vt:lpwstr>
      </vt:variant>
      <vt:variant>
        <vt:lpwstr/>
      </vt:variant>
      <vt:variant>
        <vt:i4>8192034</vt:i4>
      </vt:variant>
      <vt:variant>
        <vt:i4>1836</vt:i4>
      </vt:variant>
      <vt:variant>
        <vt:i4>0</vt:i4>
      </vt:variant>
      <vt:variant>
        <vt:i4>5</vt:i4>
      </vt:variant>
      <vt:variant>
        <vt:lpwstr>http://www.mojaenergija.hr/</vt:lpwstr>
      </vt:variant>
      <vt:variant>
        <vt:lpwstr/>
      </vt:variant>
      <vt:variant>
        <vt:i4>4390996</vt:i4>
      </vt:variant>
      <vt:variant>
        <vt:i4>1833</vt:i4>
      </vt:variant>
      <vt:variant>
        <vt:i4>0</vt:i4>
      </vt:variant>
      <vt:variant>
        <vt:i4>5</vt:i4>
      </vt:variant>
      <vt:variant>
        <vt:lpwstr>http://portal.hrsume.hr/</vt:lpwstr>
      </vt:variant>
      <vt:variant>
        <vt:lpwstr/>
      </vt:variant>
      <vt:variant>
        <vt:i4>2424882</vt:i4>
      </vt:variant>
      <vt:variant>
        <vt:i4>1830</vt:i4>
      </vt:variant>
      <vt:variant>
        <vt:i4>0</vt:i4>
      </vt:variant>
      <vt:variant>
        <vt:i4>5</vt:i4>
      </vt:variant>
      <vt:variant>
        <vt:lpwstr>http://www.izvorienergije.com/</vt:lpwstr>
      </vt:variant>
      <vt:variant>
        <vt:lpwstr/>
      </vt:variant>
      <vt:variant>
        <vt:i4>7667765</vt:i4>
      </vt:variant>
      <vt:variant>
        <vt:i4>1827</vt:i4>
      </vt:variant>
      <vt:variant>
        <vt:i4>0</vt:i4>
      </vt:variant>
      <vt:variant>
        <vt:i4>5</vt:i4>
      </vt:variant>
      <vt:variant>
        <vt:lpwstr>http://www.energetika-net.com/</vt:lpwstr>
      </vt:variant>
      <vt:variant>
        <vt:lpwstr/>
      </vt:variant>
      <vt:variant>
        <vt:i4>7471228</vt:i4>
      </vt:variant>
      <vt:variant>
        <vt:i4>1824</vt:i4>
      </vt:variant>
      <vt:variant>
        <vt:i4>0</vt:i4>
      </vt:variant>
      <vt:variant>
        <vt:i4>5</vt:i4>
      </vt:variant>
      <vt:variant>
        <vt:lpwstr>http://www.mps.hr/</vt:lpwstr>
      </vt:variant>
      <vt:variant>
        <vt:lpwstr/>
      </vt:variant>
      <vt:variant>
        <vt:i4>7340073</vt:i4>
      </vt:variant>
      <vt:variant>
        <vt:i4>1821</vt:i4>
      </vt:variant>
      <vt:variant>
        <vt:i4>0</vt:i4>
      </vt:variant>
      <vt:variant>
        <vt:i4>5</vt:i4>
      </vt:variant>
      <vt:variant>
        <vt:lpwstr>http://mingorp.hr/</vt:lpwstr>
      </vt:variant>
      <vt:variant>
        <vt:lpwstr/>
      </vt:variant>
      <vt:variant>
        <vt:i4>2228334</vt:i4>
      </vt:variant>
      <vt:variant>
        <vt:i4>1818</vt:i4>
      </vt:variant>
      <vt:variant>
        <vt:i4>0</vt:i4>
      </vt:variant>
      <vt:variant>
        <vt:i4>5</vt:i4>
      </vt:variant>
      <vt:variant>
        <vt:lpwstr>http://www.kitcometals.com/</vt:lpwstr>
      </vt:variant>
      <vt:variant>
        <vt:lpwstr/>
      </vt:variant>
      <vt:variant>
        <vt:i4>589907</vt:i4>
      </vt:variant>
      <vt:variant>
        <vt:i4>1815</vt:i4>
      </vt:variant>
      <vt:variant>
        <vt:i4>0</vt:i4>
      </vt:variant>
      <vt:variant>
        <vt:i4>5</vt:i4>
      </vt:variant>
      <vt:variant>
        <vt:lpwstr>http://www.mps.hr/Ribarstvo/UserDocsImages/Arhiva/Studije/PELMON VPA 2010.pdf</vt:lpwstr>
      </vt:variant>
      <vt:variant>
        <vt:lpwstr/>
      </vt:variant>
      <vt:variant>
        <vt:i4>6619190</vt:i4>
      </vt:variant>
      <vt:variant>
        <vt:i4>1812</vt:i4>
      </vt:variant>
      <vt:variant>
        <vt:i4>0</vt:i4>
      </vt:variant>
      <vt:variant>
        <vt:i4>5</vt:i4>
      </vt:variant>
      <vt:variant>
        <vt:lpwstr>http://www.voda.hr/</vt:lpwstr>
      </vt:variant>
      <vt:variant>
        <vt:lpwstr/>
      </vt:variant>
      <vt:variant>
        <vt:i4>7602281</vt:i4>
      </vt:variant>
      <vt:variant>
        <vt:i4>1809</vt:i4>
      </vt:variant>
      <vt:variant>
        <vt:i4>0</vt:i4>
      </vt:variant>
      <vt:variant>
        <vt:i4>5</vt:i4>
      </vt:variant>
      <vt:variant>
        <vt:lpwstr>http://www.hep.hr/</vt:lpwstr>
      </vt:variant>
      <vt:variant>
        <vt:lpwstr/>
      </vt:variant>
      <vt:variant>
        <vt:i4>917514</vt:i4>
      </vt:variant>
      <vt:variant>
        <vt:i4>1806</vt:i4>
      </vt:variant>
      <vt:variant>
        <vt:i4>0</vt:i4>
      </vt:variant>
      <vt:variant>
        <vt:i4>5</vt:i4>
      </vt:variant>
      <vt:variant>
        <vt:lpwstr>http://www.hep.hr/proizvodnja/osnovni/hidroelektrane/</vt:lpwstr>
      </vt:variant>
      <vt:variant>
        <vt:lpwstr/>
      </vt:variant>
      <vt:variant>
        <vt:i4>3080246</vt:i4>
      </vt:variant>
      <vt:variant>
        <vt:i4>1803</vt:i4>
      </vt:variant>
      <vt:variant>
        <vt:i4>0</vt:i4>
      </vt:variant>
      <vt:variant>
        <vt:i4>5</vt:i4>
      </vt:variant>
      <vt:variant>
        <vt:lpwstr>http://www.ekologija.ba/userfiles/file/Obnovljivi izvori energije - Studija.pdf</vt:lpwstr>
      </vt:variant>
      <vt:variant>
        <vt:lpwstr/>
      </vt:variant>
      <vt:variant>
        <vt:i4>2621503</vt:i4>
      </vt:variant>
      <vt:variant>
        <vt:i4>1800</vt:i4>
      </vt:variant>
      <vt:variant>
        <vt:i4>0</vt:i4>
      </vt:variant>
      <vt:variant>
        <vt:i4>5</vt:i4>
      </vt:variant>
      <vt:variant>
        <vt:lpwstr>http://www.mps.hr/Ribarstvo/UserDocsImages/Studije/Sociolo%C5%A1ka studija o preferencijama u ishrani ribom i drugim proizvodima ribarstva stanovni%C5%A1tva RH.doc</vt:lpwstr>
      </vt:variant>
      <vt:variant>
        <vt:lpwstr/>
      </vt:variant>
      <vt:variant>
        <vt:i4>5242965</vt:i4>
      </vt:variant>
      <vt:variant>
        <vt:i4>1797</vt:i4>
      </vt:variant>
      <vt:variant>
        <vt:i4>0</vt:i4>
      </vt:variant>
      <vt:variant>
        <vt:i4>5</vt:i4>
      </vt:variant>
      <vt:variant>
        <vt:lpwstr>http://www.croenergo.eu/Novi-Tarifni-sustav-za-proizvodnju-elektricne-energije-iz-obnovljivih-izvora-energije-i-kogeneracije-I-dio-6317.aspx</vt:lpwstr>
      </vt:variant>
      <vt:variant>
        <vt:lpwstr/>
      </vt:variant>
      <vt:variant>
        <vt:i4>1310748</vt:i4>
      </vt:variant>
      <vt:variant>
        <vt:i4>1794</vt:i4>
      </vt:variant>
      <vt:variant>
        <vt:i4>0</vt:i4>
      </vt:variant>
      <vt:variant>
        <vt:i4>5</vt:i4>
      </vt:variant>
      <vt:variant>
        <vt:lpwstr>http://www.croenergo.eu/oiek-visine-tarifnih-stavki-za-2012-godinu-4893.aspx</vt:lpwstr>
      </vt:variant>
      <vt:variant>
        <vt:lpwstr/>
      </vt:variant>
      <vt:variant>
        <vt:i4>3014678</vt:i4>
      </vt:variant>
      <vt:variant>
        <vt:i4>1791</vt:i4>
      </vt:variant>
      <vt:variant>
        <vt:i4>0</vt:i4>
      </vt:variant>
      <vt:variant>
        <vt:i4>5</vt:i4>
      </vt:variant>
      <vt:variant>
        <vt:lpwstr>http://www.vsrh.hr/CustomPages/Static/HRV/Files/JBrezanski-Vode_i_vodno_dobro.doc</vt:lpwstr>
      </vt:variant>
      <vt:variant>
        <vt:lpwstr/>
      </vt:variant>
      <vt:variant>
        <vt:i4>8257654</vt:i4>
      </vt:variant>
      <vt:variant>
        <vt:i4>1788</vt:i4>
      </vt:variant>
      <vt:variant>
        <vt:i4>0</vt:i4>
      </vt:variant>
      <vt:variant>
        <vt:i4>5</vt:i4>
      </vt:variant>
      <vt:variant>
        <vt:lpwstr>http://www.hzz.hr/</vt:lpwstr>
      </vt:variant>
      <vt:variant>
        <vt:lpwstr/>
      </vt:variant>
      <vt:variant>
        <vt:i4>6684770</vt:i4>
      </vt:variant>
      <vt:variant>
        <vt:i4>1785</vt:i4>
      </vt:variant>
      <vt:variant>
        <vt:i4>0</vt:i4>
      </vt:variant>
      <vt:variant>
        <vt:i4>5</vt:i4>
      </vt:variant>
      <vt:variant>
        <vt:lpwstr>http://www.hnb.hr/</vt:lpwstr>
      </vt:variant>
      <vt:variant>
        <vt:lpwstr/>
      </vt:variant>
      <vt:variant>
        <vt:i4>8323120</vt:i4>
      </vt:variant>
      <vt:variant>
        <vt:i4>1782</vt:i4>
      </vt:variant>
      <vt:variant>
        <vt:i4>0</vt:i4>
      </vt:variant>
      <vt:variant>
        <vt:i4>5</vt:i4>
      </vt:variant>
      <vt:variant>
        <vt:lpwstr>http://www.fina.hr/</vt:lpwstr>
      </vt:variant>
      <vt:variant>
        <vt:lpwstr/>
      </vt:variant>
      <vt:variant>
        <vt:i4>1703999</vt:i4>
      </vt:variant>
      <vt:variant>
        <vt:i4>1779</vt:i4>
      </vt:variant>
      <vt:variant>
        <vt:i4>0</vt:i4>
      </vt:variant>
      <vt:variant>
        <vt:i4>5</vt:i4>
      </vt:variant>
      <vt:variant>
        <vt:lpwstr>http://epp.eurostat.ec.europa.eu/portal/page/portal/product_details/publication?p_product_code=KS-30-12-861%5b5.8.2013</vt:lpwstr>
      </vt:variant>
      <vt:variant>
        <vt:lpwstr/>
      </vt:variant>
      <vt:variant>
        <vt:i4>8061046</vt:i4>
      </vt:variant>
      <vt:variant>
        <vt:i4>1776</vt:i4>
      </vt:variant>
      <vt:variant>
        <vt:i4>0</vt:i4>
      </vt:variant>
      <vt:variant>
        <vt:i4>5</vt:i4>
      </vt:variant>
      <vt:variant>
        <vt:lpwstr>http://www.dzs.hr/</vt:lpwstr>
      </vt:variant>
      <vt:variant>
        <vt:lpwstr/>
      </vt:variant>
      <vt:variant>
        <vt:i4>5832780</vt:i4>
      </vt:variant>
      <vt:variant>
        <vt:i4>1773</vt:i4>
      </vt:variant>
      <vt:variant>
        <vt:i4>0</vt:i4>
      </vt:variant>
      <vt:variant>
        <vt:i4>5</vt:i4>
      </vt:variant>
      <vt:variant>
        <vt:lpwstr>http://www.enterprisesurveys.org/Methodology</vt:lpwstr>
      </vt:variant>
      <vt:variant>
        <vt:lpwstr/>
      </vt:variant>
      <vt:variant>
        <vt:i4>6357015</vt:i4>
      </vt:variant>
      <vt:variant>
        <vt:i4>1770</vt:i4>
      </vt:variant>
      <vt:variant>
        <vt:i4>0</vt:i4>
      </vt:variant>
      <vt:variant>
        <vt:i4>5</vt:i4>
      </vt:variant>
      <vt:variant>
        <vt:lpwstr>http://unctad.org/en/docs/osgdp20072_en.pdf</vt:lpwstr>
      </vt:variant>
      <vt:variant>
        <vt:lpwstr/>
      </vt:variant>
      <vt:variant>
        <vt:i4>3211354</vt:i4>
      </vt:variant>
      <vt:variant>
        <vt:i4>1767</vt:i4>
      </vt:variant>
      <vt:variant>
        <vt:i4>0</vt:i4>
      </vt:variant>
      <vt:variant>
        <vt:i4>5</vt:i4>
      </vt:variant>
      <vt:variant>
        <vt:lpwstr>http://www.roboneill.co.uk/papers/research_methods.htm</vt:lpwstr>
      </vt:variant>
      <vt:variant>
        <vt:lpwstr/>
      </vt:variant>
      <vt:variant>
        <vt:i4>4718696</vt:i4>
      </vt:variant>
      <vt:variant>
        <vt:i4>1764</vt:i4>
      </vt:variant>
      <vt:variant>
        <vt:i4>0</vt:i4>
      </vt:variant>
      <vt:variant>
        <vt:i4>5</vt:i4>
      </vt:variant>
      <vt:variant>
        <vt:lpwstr>http://ec.europa.eu/transport/themes/strategies/doc/2009_future_of_transport/2009_the_future_of_transport.pdf</vt:lpwstr>
      </vt:variant>
      <vt:variant>
        <vt:lpwstr/>
      </vt:variant>
      <vt:variant>
        <vt:i4>655470</vt:i4>
      </vt:variant>
      <vt:variant>
        <vt:i4>1761</vt:i4>
      </vt:variant>
      <vt:variant>
        <vt:i4>0</vt:i4>
      </vt:variant>
      <vt:variant>
        <vt:i4>5</vt:i4>
      </vt:variant>
      <vt:variant>
        <vt:lpwstr>http://scholar.harvard.edu/aghion/files/industrial_policy_and_competition.pdf</vt:lpwstr>
      </vt:variant>
      <vt:variant>
        <vt:lpwstr/>
      </vt:variant>
      <vt:variant>
        <vt:i4>1835062</vt:i4>
      </vt:variant>
      <vt:variant>
        <vt:i4>1739</vt:i4>
      </vt:variant>
      <vt:variant>
        <vt:i4>0</vt:i4>
      </vt:variant>
      <vt:variant>
        <vt:i4>5</vt:i4>
      </vt:variant>
      <vt:variant>
        <vt:lpwstr/>
      </vt:variant>
      <vt:variant>
        <vt:lpwstr>_Toc374448504</vt:lpwstr>
      </vt:variant>
      <vt:variant>
        <vt:i4>1835062</vt:i4>
      </vt:variant>
      <vt:variant>
        <vt:i4>1733</vt:i4>
      </vt:variant>
      <vt:variant>
        <vt:i4>0</vt:i4>
      </vt:variant>
      <vt:variant>
        <vt:i4>5</vt:i4>
      </vt:variant>
      <vt:variant>
        <vt:lpwstr/>
      </vt:variant>
      <vt:variant>
        <vt:lpwstr>_Toc374448503</vt:lpwstr>
      </vt:variant>
      <vt:variant>
        <vt:i4>1835062</vt:i4>
      </vt:variant>
      <vt:variant>
        <vt:i4>1727</vt:i4>
      </vt:variant>
      <vt:variant>
        <vt:i4>0</vt:i4>
      </vt:variant>
      <vt:variant>
        <vt:i4>5</vt:i4>
      </vt:variant>
      <vt:variant>
        <vt:lpwstr/>
      </vt:variant>
      <vt:variant>
        <vt:lpwstr>_Toc374448502</vt:lpwstr>
      </vt:variant>
      <vt:variant>
        <vt:i4>1835062</vt:i4>
      </vt:variant>
      <vt:variant>
        <vt:i4>1721</vt:i4>
      </vt:variant>
      <vt:variant>
        <vt:i4>0</vt:i4>
      </vt:variant>
      <vt:variant>
        <vt:i4>5</vt:i4>
      </vt:variant>
      <vt:variant>
        <vt:lpwstr/>
      </vt:variant>
      <vt:variant>
        <vt:lpwstr>_Toc374448501</vt:lpwstr>
      </vt:variant>
      <vt:variant>
        <vt:i4>1835062</vt:i4>
      </vt:variant>
      <vt:variant>
        <vt:i4>1715</vt:i4>
      </vt:variant>
      <vt:variant>
        <vt:i4>0</vt:i4>
      </vt:variant>
      <vt:variant>
        <vt:i4>5</vt:i4>
      </vt:variant>
      <vt:variant>
        <vt:lpwstr/>
      </vt:variant>
      <vt:variant>
        <vt:lpwstr>_Toc374448500</vt:lpwstr>
      </vt:variant>
      <vt:variant>
        <vt:i4>1376311</vt:i4>
      </vt:variant>
      <vt:variant>
        <vt:i4>1709</vt:i4>
      </vt:variant>
      <vt:variant>
        <vt:i4>0</vt:i4>
      </vt:variant>
      <vt:variant>
        <vt:i4>5</vt:i4>
      </vt:variant>
      <vt:variant>
        <vt:lpwstr/>
      </vt:variant>
      <vt:variant>
        <vt:lpwstr>_Toc374448499</vt:lpwstr>
      </vt:variant>
      <vt:variant>
        <vt:i4>1376311</vt:i4>
      </vt:variant>
      <vt:variant>
        <vt:i4>1703</vt:i4>
      </vt:variant>
      <vt:variant>
        <vt:i4>0</vt:i4>
      </vt:variant>
      <vt:variant>
        <vt:i4>5</vt:i4>
      </vt:variant>
      <vt:variant>
        <vt:lpwstr/>
      </vt:variant>
      <vt:variant>
        <vt:lpwstr>_Toc374448498</vt:lpwstr>
      </vt:variant>
      <vt:variant>
        <vt:i4>1376311</vt:i4>
      </vt:variant>
      <vt:variant>
        <vt:i4>1697</vt:i4>
      </vt:variant>
      <vt:variant>
        <vt:i4>0</vt:i4>
      </vt:variant>
      <vt:variant>
        <vt:i4>5</vt:i4>
      </vt:variant>
      <vt:variant>
        <vt:lpwstr/>
      </vt:variant>
      <vt:variant>
        <vt:lpwstr>_Toc374448497</vt:lpwstr>
      </vt:variant>
      <vt:variant>
        <vt:i4>1376311</vt:i4>
      </vt:variant>
      <vt:variant>
        <vt:i4>1691</vt:i4>
      </vt:variant>
      <vt:variant>
        <vt:i4>0</vt:i4>
      </vt:variant>
      <vt:variant>
        <vt:i4>5</vt:i4>
      </vt:variant>
      <vt:variant>
        <vt:lpwstr/>
      </vt:variant>
      <vt:variant>
        <vt:lpwstr>_Toc374448496</vt:lpwstr>
      </vt:variant>
      <vt:variant>
        <vt:i4>1376311</vt:i4>
      </vt:variant>
      <vt:variant>
        <vt:i4>1685</vt:i4>
      </vt:variant>
      <vt:variant>
        <vt:i4>0</vt:i4>
      </vt:variant>
      <vt:variant>
        <vt:i4>5</vt:i4>
      </vt:variant>
      <vt:variant>
        <vt:lpwstr/>
      </vt:variant>
      <vt:variant>
        <vt:lpwstr>_Toc374448495</vt:lpwstr>
      </vt:variant>
      <vt:variant>
        <vt:i4>1376311</vt:i4>
      </vt:variant>
      <vt:variant>
        <vt:i4>1679</vt:i4>
      </vt:variant>
      <vt:variant>
        <vt:i4>0</vt:i4>
      </vt:variant>
      <vt:variant>
        <vt:i4>5</vt:i4>
      </vt:variant>
      <vt:variant>
        <vt:lpwstr/>
      </vt:variant>
      <vt:variant>
        <vt:lpwstr>_Toc374448494</vt:lpwstr>
      </vt:variant>
      <vt:variant>
        <vt:i4>1376311</vt:i4>
      </vt:variant>
      <vt:variant>
        <vt:i4>1673</vt:i4>
      </vt:variant>
      <vt:variant>
        <vt:i4>0</vt:i4>
      </vt:variant>
      <vt:variant>
        <vt:i4>5</vt:i4>
      </vt:variant>
      <vt:variant>
        <vt:lpwstr/>
      </vt:variant>
      <vt:variant>
        <vt:lpwstr>_Toc374448493</vt:lpwstr>
      </vt:variant>
      <vt:variant>
        <vt:i4>1376311</vt:i4>
      </vt:variant>
      <vt:variant>
        <vt:i4>1667</vt:i4>
      </vt:variant>
      <vt:variant>
        <vt:i4>0</vt:i4>
      </vt:variant>
      <vt:variant>
        <vt:i4>5</vt:i4>
      </vt:variant>
      <vt:variant>
        <vt:lpwstr/>
      </vt:variant>
      <vt:variant>
        <vt:lpwstr>_Toc374448492</vt:lpwstr>
      </vt:variant>
      <vt:variant>
        <vt:i4>1376311</vt:i4>
      </vt:variant>
      <vt:variant>
        <vt:i4>1661</vt:i4>
      </vt:variant>
      <vt:variant>
        <vt:i4>0</vt:i4>
      </vt:variant>
      <vt:variant>
        <vt:i4>5</vt:i4>
      </vt:variant>
      <vt:variant>
        <vt:lpwstr/>
      </vt:variant>
      <vt:variant>
        <vt:lpwstr>_Toc374448491</vt:lpwstr>
      </vt:variant>
      <vt:variant>
        <vt:i4>1376311</vt:i4>
      </vt:variant>
      <vt:variant>
        <vt:i4>1655</vt:i4>
      </vt:variant>
      <vt:variant>
        <vt:i4>0</vt:i4>
      </vt:variant>
      <vt:variant>
        <vt:i4>5</vt:i4>
      </vt:variant>
      <vt:variant>
        <vt:lpwstr/>
      </vt:variant>
      <vt:variant>
        <vt:lpwstr>_Toc374448490</vt:lpwstr>
      </vt:variant>
      <vt:variant>
        <vt:i4>1310775</vt:i4>
      </vt:variant>
      <vt:variant>
        <vt:i4>1649</vt:i4>
      </vt:variant>
      <vt:variant>
        <vt:i4>0</vt:i4>
      </vt:variant>
      <vt:variant>
        <vt:i4>5</vt:i4>
      </vt:variant>
      <vt:variant>
        <vt:lpwstr/>
      </vt:variant>
      <vt:variant>
        <vt:lpwstr>_Toc374448489</vt:lpwstr>
      </vt:variant>
      <vt:variant>
        <vt:i4>1310775</vt:i4>
      </vt:variant>
      <vt:variant>
        <vt:i4>1643</vt:i4>
      </vt:variant>
      <vt:variant>
        <vt:i4>0</vt:i4>
      </vt:variant>
      <vt:variant>
        <vt:i4>5</vt:i4>
      </vt:variant>
      <vt:variant>
        <vt:lpwstr/>
      </vt:variant>
      <vt:variant>
        <vt:lpwstr>_Toc374448488</vt:lpwstr>
      </vt:variant>
      <vt:variant>
        <vt:i4>1310775</vt:i4>
      </vt:variant>
      <vt:variant>
        <vt:i4>1637</vt:i4>
      </vt:variant>
      <vt:variant>
        <vt:i4>0</vt:i4>
      </vt:variant>
      <vt:variant>
        <vt:i4>5</vt:i4>
      </vt:variant>
      <vt:variant>
        <vt:lpwstr/>
      </vt:variant>
      <vt:variant>
        <vt:lpwstr>_Toc374448487</vt:lpwstr>
      </vt:variant>
      <vt:variant>
        <vt:i4>1310775</vt:i4>
      </vt:variant>
      <vt:variant>
        <vt:i4>1631</vt:i4>
      </vt:variant>
      <vt:variant>
        <vt:i4>0</vt:i4>
      </vt:variant>
      <vt:variant>
        <vt:i4>5</vt:i4>
      </vt:variant>
      <vt:variant>
        <vt:lpwstr/>
      </vt:variant>
      <vt:variant>
        <vt:lpwstr>_Toc374448486</vt:lpwstr>
      </vt:variant>
      <vt:variant>
        <vt:i4>1310775</vt:i4>
      </vt:variant>
      <vt:variant>
        <vt:i4>1625</vt:i4>
      </vt:variant>
      <vt:variant>
        <vt:i4>0</vt:i4>
      </vt:variant>
      <vt:variant>
        <vt:i4>5</vt:i4>
      </vt:variant>
      <vt:variant>
        <vt:lpwstr/>
      </vt:variant>
      <vt:variant>
        <vt:lpwstr>_Toc374448485</vt:lpwstr>
      </vt:variant>
      <vt:variant>
        <vt:i4>1310775</vt:i4>
      </vt:variant>
      <vt:variant>
        <vt:i4>1619</vt:i4>
      </vt:variant>
      <vt:variant>
        <vt:i4>0</vt:i4>
      </vt:variant>
      <vt:variant>
        <vt:i4>5</vt:i4>
      </vt:variant>
      <vt:variant>
        <vt:lpwstr/>
      </vt:variant>
      <vt:variant>
        <vt:lpwstr>_Toc374448484</vt:lpwstr>
      </vt:variant>
      <vt:variant>
        <vt:i4>1310775</vt:i4>
      </vt:variant>
      <vt:variant>
        <vt:i4>1613</vt:i4>
      </vt:variant>
      <vt:variant>
        <vt:i4>0</vt:i4>
      </vt:variant>
      <vt:variant>
        <vt:i4>5</vt:i4>
      </vt:variant>
      <vt:variant>
        <vt:lpwstr/>
      </vt:variant>
      <vt:variant>
        <vt:lpwstr>_Toc374448483</vt:lpwstr>
      </vt:variant>
      <vt:variant>
        <vt:i4>1310775</vt:i4>
      </vt:variant>
      <vt:variant>
        <vt:i4>1607</vt:i4>
      </vt:variant>
      <vt:variant>
        <vt:i4>0</vt:i4>
      </vt:variant>
      <vt:variant>
        <vt:i4>5</vt:i4>
      </vt:variant>
      <vt:variant>
        <vt:lpwstr/>
      </vt:variant>
      <vt:variant>
        <vt:lpwstr>_Toc374448482</vt:lpwstr>
      </vt:variant>
      <vt:variant>
        <vt:i4>1507387</vt:i4>
      </vt:variant>
      <vt:variant>
        <vt:i4>1598</vt:i4>
      </vt:variant>
      <vt:variant>
        <vt:i4>0</vt:i4>
      </vt:variant>
      <vt:variant>
        <vt:i4>5</vt:i4>
      </vt:variant>
      <vt:variant>
        <vt:lpwstr/>
      </vt:variant>
      <vt:variant>
        <vt:lpwstr>_Toc374447849</vt:lpwstr>
      </vt:variant>
      <vt:variant>
        <vt:i4>1507387</vt:i4>
      </vt:variant>
      <vt:variant>
        <vt:i4>1592</vt:i4>
      </vt:variant>
      <vt:variant>
        <vt:i4>0</vt:i4>
      </vt:variant>
      <vt:variant>
        <vt:i4>5</vt:i4>
      </vt:variant>
      <vt:variant>
        <vt:lpwstr/>
      </vt:variant>
      <vt:variant>
        <vt:lpwstr>_Toc374447848</vt:lpwstr>
      </vt:variant>
      <vt:variant>
        <vt:i4>1507387</vt:i4>
      </vt:variant>
      <vt:variant>
        <vt:i4>1586</vt:i4>
      </vt:variant>
      <vt:variant>
        <vt:i4>0</vt:i4>
      </vt:variant>
      <vt:variant>
        <vt:i4>5</vt:i4>
      </vt:variant>
      <vt:variant>
        <vt:lpwstr/>
      </vt:variant>
      <vt:variant>
        <vt:lpwstr>_Toc374447847</vt:lpwstr>
      </vt:variant>
      <vt:variant>
        <vt:i4>1507387</vt:i4>
      </vt:variant>
      <vt:variant>
        <vt:i4>1580</vt:i4>
      </vt:variant>
      <vt:variant>
        <vt:i4>0</vt:i4>
      </vt:variant>
      <vt:variant>
        <vt:i4>5</vt:i4>
      </vt:variant>
      <vt:variant>
        <vt:lpwstr/>
      </vt:variant>
      <vt:variant>
        <vt:lpwstr>_Toc374447846</vt:lpwstr>
      </vt:variant>
      <vt:variant>
        <vt:i4>1507387</vt:i4>
      </vt:variant>
      <vt:variant>
        <vt:i4>1574</vt:i4>
      </vt:variant>
      <vt:variant>
        <vt:i4>0</vt:i4>
      </vt:variant>
      <vt:variant>
        <vt:i4>5</vt:i4>
      </vt:variant>
      <vt:variant>
        <vt:lpwstr/>
      </vt:variant>
      <vt:variant>
        <vt:lpwstr>_Toc374447845</vt:lpwstr>
      </vt:variant>
      <vt:variant>
        <vt:i4>1507387</vt:i4>
      </vt:variant>
      <vt:variant>
        <vt:i4>1568</vt:i4>
      </vt:variant>
      <vt:variant>
        <vt:i4>0</vt:i4>
      </vt:variant>
      <vt:variant>
        <vt:i4>5</vt:i4>
      </vt:variant>
      <vt:variant>
        <vt:lpwstr/>
      </vt:variant>
      <vt:variant>
        <vt:lpwstr>_Toc374447844</vt:lpwstr>
      </vt:variant>
      <vt:variant>
        <vt:i4>1507387</vt:i4>
      </vt:variant>
      <vt:variant>
        <vt:i4>1562</vt:i4>
      </vt:variant>
      <vt:variant>
        <vt:i4>0</vt:i4>
      </vt:variant>
      <vt:variant>
        <vt:i4>5</vt:i4>
      </vt:variant>
      <vt:variant>
        <vt:lpwstr/>
      </vt:variant>
      <vt:variant>
        <vt:lpwstr>_Toc374447843</vt:lpwstr>
      </vt:variant>
      <vt:variant>
        <vt:i4>1507387</vt:i4>
      </vt:variant>
      <vt:variant>
        <vt:i4>1556</vt:i4>
      </vt:variant>
      <vt:variant>
        <vt:i4>0</vt:i4>
      </vt:variant>
      <vt:variant>
        <vt:i4>5</vt:i4>
      </vt:variant>
      <vt:variant>
        <vt:lpwstr/>
      </vt:variant>
      <vt:variant>
        <vt:lpwstr>_Toc374447842</vt:lpwstr>
      </vt:variant>
      <vt:variant>
        <vt:i4>1507387</vt:i4>
      </vt:variant>
      <vt:variant>
        <vt:i4>1550</vt:i4>
      </vt:variant>
      <vt:variant>
        <vt:i4>0</vt:i4>
      </vt:variant>
      <vt:variant>
        <vt:i4>5</vt:i4>
      </vt:variant>
      <vt:variant>
        <vt:lpwstr/>
      </vt:variant>
      <vt:variant>
        <vt:lpwstr>_Toc374447841</vt:lpwstr>
      </vt:variant>
      <vt:variant>
        <vt:i4>1507387</vt:i4>
      </vt:variant>
      <vt:variant>
        <vt:i4>1544</vt:i4>
      </vt:variant>
      <vt:variant>
        <vt:i4>0</vt:i4>
      </vt:variant>
      <vt:variant>
        <vt:i4>5</vt:i4>
      </vt:variant>
      <vt:variant>
        <vt:lpwstr/>
      </vt:variant>
      <vt:variant>
        <vt:lpwstr>_Toc374447840</vt:lpwstr>
      </vt:variant>
      <vt:variant>
        <vt:i4>1048635</vt:i4>
      </vt:variant>
      <vt:variant>
        <vt:i4>1538</vt:i4>
      </vt:variant>
      <vt:variant>
        <vt:i4>0</vt:i4>
      </vt:variant>
      <vt:variant>
        <vt:i4>5</vt:i4>
      </vt:variant>
      <vt:variant>
        <vt:lpwstr/>
      </vt:variant>
      <vt:variant>
        <vt:lpwstr>_Toc374447839</vt:lpwstr>
      </vt:variant>
      <vt:variant>
        <vt:i4>1048635</vt:i4>
      </vt:variant>
      <vt:variant>
        <vt:i4>1532</vt:i4>
      </vt:variant>
      <vt:variant>
        <vt:i4>0</vt:i4>
      </vt:variant>
      <vt:variant>
        <vt:i4>5</vt:i4>
      </vt:variant>
      <vt:variant>
        <vt:lpwstr/>
      </vt:variant>
      <vt:variant>
        <vt:lpwstr>_Toc374447838</vt:lpwstr>
      </vt:variant>
      <vt:variant>
        <vt:i4>1048635</vt:i4>
      </vt:variant>
      <vt:variant>
        <vt:i4>1526</vt:i4>
      </vt:variant>
      <vt:variant>
        <vt:i4>0</vt:i4>
      </vt:variant>
      <vt:variant>
        <vt:i4>5</vt:i4>
      </vt:variant>
      <vt:variant>
        <vt:lpwstr/>
      </vt:variant>
      <vt:variant>
        <vt:lpwstr>_Toc374447837</vt:lpwstr>
      </vt:variant>
      <vt:variant>
        <vt:i4>1048635</vt:i4>
      </vt:variant>
      <vt:variant>
        <vt:i4>1520</vt:i4>
      </vt:variant>
      <vt:variant>
        <vt:i4>0</vt:i4>
      </vt:variant>
      <vt:variant>
        <vt:i4>5</vt:i4>
      </vt:variant>
      <vt:variant>
        <vt:lpwstr/>
      </vt:variant>
      <vt:variant>
        <vt:lpwstr>_Toc374447836</vt:lpwstr>
      </vt:variant>
      <vt:variant>
        <vt:i4>1048635</vt:i4>
      </vt:variant>
      <vt:variant>
        <vt:i4>1514</vt:i4>
      </vt:variant>
      <vt:variant>
        <vt:i4>0</vt:i4>
      </vt:variant>
      <vt:variant>
        <vt:i4>5</vt:i4>
      </vt:variant>
      <vt:variant>
        <vt:lpwstr/>
      </vt:variant>
      <vt:variant>
        <vt:lpwstr>_Toc374447835</vt:lpwstr>
      </vt:variant>
      <vt:variant>
        <vt:i4>1048635</vt:i4>
      </vt:variant>
      <vt:variant>
        <vt:i4>1508</vt:i4>
      </vt:variant>
      <vt:variant>
        <vt:i4>0</vt:i4>
      </vt:variant>
      <vt:variant>
        <vt:i4>5</vt:i4>
      </vt:variant>
      <vt:variant>
        <vt:lpwstr/>
      </vt:variant>
      <vt:variant>
        <vt:lpwstr>_Toc374447834</vt:lpwstr>
      </vt:variant>
      <vt:variant>
        <vt:i4>1048635</vt:i4>
      </vt:variant>
      <vt:variant>
        <vt:i4>1502</vt:i4>
      </vt:variant>
      <vt:variant>
        <vt:i4>0</vt:i4>
      </vt:variant>
      <vt:variant>
        <vt:i4>5</vt:i4>
      </vt:variant>
      <vt:variant>
        <vt:lpwstr/>
      </vt:variant>
      <vt:variant>
        <vt:lpwstr>_Toc374447833</vt:lpwstr>
      </vt:variant>
      <vt:variant>
        <vt:i4>1048635</vt:i4>
      </vt:variant>
      <vt:variant>
        <vt:i4>1496</vt:i4>
      </vt:variant>
      <vt:variant>
        <vt:i4>0</vt:i4>
      </vt:variant>
      <vt:variant>
        <vt:i4>5</vt:i4>
      </vt:variant>
      <vt:variant>
        <vt:lpwstr/>
      </vt:variant>
      <vt:variant>
        <vt:lpwstr>_Toc374447832</vt:lpwstr>
      </vt:variant>
      <vt:variant>
        <vt:i4>1048635</vt:i4>
      </vt:variant>
      <vt:variant>
        <vt:i4>1490</vt:i4>
      </vt:variant>
      <vt:variant>
        <vt:i4>0</vt:i4>
      </vt:variant>
      <vt:variant>
        <vt:i4>5</vt:i4>
      </vt:variant>
      <vt:variant>
        <vt:lpwstr/>
      </vt:variant>
      <vt:variant>
        <vt:lpwstr>_Toc374447831</vt:lpwstr>
      </vt:variant>
      <vt:variant>
        <vt:i4>1048635</vt:i4>
      </vt:variant>
      <vt:variant>
        <vt:i4>1484</vt:i4>
      </vt:variant>
      <vt:variant>
        <vt:i4>0</vt:i4>
      </vt:variant>
      <vt:variant>
        <vt:i4>5</vt:i4>
      </vt:variant>
      <vt:variant>
        <vt:lpwstr/>
      </vt:variant>
      <vt:variant>
        <vt:lpwstr>_Toc374447830</vt:lpwstr>
      </vt:variant>
      <vt:variant>
        <vt:i4>1114171</vt:i4>
      </vt:variant>
      <vt:variant>
        <vt:i4>1478</vt:i4>
      </vt:variant>
      <vt:variant>
        <vt:i4>0</vt:i4>
      </vt:variant>
      <vt:variant>
        <vt:i4>5</vt:i4>
      </vt:variant>
      <vt:variant>
        <vt:lpwstr/>
      </vt:variant>
      <vt:variant>
        <vt:lpwstr>_Toc374447829</vt:lpwstr>
      </vt:variant>
      <vt:variant>
        <vt:i4>1114171</vt:i4>
      </vt:variant>
      <vt:variant>
        <vt:i4>1472</vt:i4>
      </vt:variant>
      <vt:variant>
        <vt:i4>0</vt:i4>
      </vt:variant>
      <vt:variant>
        <vt:i4>5</vt:i4>
      </vt:variant>
      <vt:variant>
        <vt:lpwstr/>
      </vt:variant>
      <vt:variant>
        <vt:lpwstr>_Toc374447828</vt:lpwstr>
      </vt:variant>
      <vt:variant>
        <vt:i4>1114171</vt:i4>
      </vt:variant>
      <vt:variant>
        <vt:i4>1466</vt:i4>
      </vt:variant>
      <vt:variant>
        <vt:i4>0</vt:i4>
      </vt:variant>
      <vt:variant>
        <vt:i4>5</vt:i4>
      </vt:variant>
      <vt:variant>
        <vt:lpwstr/>
      </vt:variant>
      <vt:variant>
        <vt:lpwstr>_Toc374447827</vt:lpwstr>
      </vt:variant>
      <vt:variant>
        <vt:i4>1114171</vt:i4>
      </vt:variant>
      <vt:variant>
        <vt:i4>1460</vt:i4>
      </vt:variant>
      <vt:variant>
        <vt:i4>0</vt:i4>
      </vt:variant>
      <vt:variant>
        <vt:i4>5</vt:i4>
      </vt:variant>
      <vt:variant>
        <vt:lpwstr/>
      </vt:variant>
      <vt:variant>
        <vt:lpwstr>_Toc374447826</vt:lpwstr>
      </vt:variant>
      <vt:variant>
        <vt:i4>1114171</vt:i4>
      </vt:variant>
      <vt:variant>
        <vt:i4>1454</vt:i4>
      </vt:variant>
      <vt:variant>
        <vt:i4>0</vt:i4>
      </vt:variant>
      <vt:variant>
        <vt:i4>5</vt:i4>
      </vt:variant>
      <vt:variant>
        <vt:lpwstr/>
      </vt:variant>
      <vt:variant>
        <vt:lpwstr>_Toc374447825</vt:lpwstr>
      </vt:variant>
      <vt:variant>
        <vt:i4>1114171</vt:i4>
      </vt:variant>
      <vt:variant>
        <vt:i4>1448</vt:i4>
      </vt:variant>
      <vt:variant>
        <vt:i4>0</vt:i4>
      </vt:variant>
      <vt:variant>
        <vt:i4>5</vt:i4>
      </vt:variant>
      <vt:variant>
        <vt:lpwstr/>
      </vt:variant>
      <vt:variant>
        <vt:lpwstr>_Toc374447824</vt:lpwstr>
      </vt:variant>
      <vt:variant>
        <vt:i4>1114171</vt:i4>
      </vt:variant>
      <vt:variant>
        <vt:i4>1442</vt:i4>
      </vt:variant>
      <vt:variant>
        <vt:i4>0</vt:i4>
      </vt:variant>
      <vt:variant>
        <vt:i4>5</vt:i4>
      </vt:variant>
      <vt:variant>
        <vt:lpwstr/>
      </vt:variant>
      <vt:variant>
        <vt:lpwstr>_Toc374447823</vt:lpwstr>
      </vt:variant>
      <vt:variant>
        <vt:i4>1114171</vt:i4>
      </vt:variant>
      <vt:variant>
        <vt:i4>1436</vt:i4>
      </vt:variant>
      <vt:variant>
        <vt:i4>0</vt:i4>
      </vt:variant>
      <vt:variant>
        <vt:i4>5</vt:i4>
      </vt:variant>
      <vt:variant>
        <vt:lpwstr/>
      </vt:variant>
      <vt:variant>
        <vt:lpwstr>_Toc374447822</vt:lpwstr>
      </vt:variant>
      <vt:variant>
        <vt:i4>1114171</vt:i4>
      </vt:variant>
      <vt:variant>
        <vt:i4>1430</vt:i4>
      </vt:variant>
      <vt:variant>
        <vt:i4>0</vt:i4>
      </vt:variant>
      <vt:variant>
        <vt:i4>5</vt:i4>
      </vt:variant>
      <vt:variant>
        <vt:lpwstr/>
      </vt:variant>
      <vt:variant>
        <vt:lpwstr>_Toc374447821</vt:lpwstr>
      </vt:variant>
      <vt:variant>
        <vt:i4>1114171</vt:i4>
      </vt:variant>
      <vt:variant>
        <vt:i4>1424</vt:i4>
      </vt:variant>
      <vt:variant>
        <vt:i4>0</vt:i4>
      </vt:variant>
      <vt:variant>
        <vt:i4>5</vt:i4>
      </vt:variant>
      <vt:variant>
        <vt:lpwstr/>
      </vt:variant>
      <vt:variant>
        <vt:lpwstr>_Toc374447820</vt:lpwstr>
      </vt:variant>
      <vt:variant>
        <vt:i4>1179707</vt:i4>
      </vt:variant>
      <vt:variant>
        <vt:i4>1418</vt:i4>
      </vt:variant>
      <vt:variant>
        <vt:i4>0</vt:i4>
      </vt:variant>
      <vt:variant>
        <vt:i4>5</vt:i4>
      </vt:variant>
      <vt:variant>
        <vt:lpwstr/>
      </vt:variant>
      <vt:variant>
        <vt:lpwstr>_Toc374447819</vt:lpwstr>
      </vt:variant>
      <vt:variant>
        <vt:i4>1179707</vt:i4>
      </vt:variant>
      <vt:variant>
        <vt:i4>1412</vt:i4>
      </vt:variant>
      <vt:variant>
        <vt:i4>0</vt:i4>
      </vt:variant>
      <vt:variant>
        <vt:i4>5</vt:i4>
      </vt:variant>
      <vt:variant>
        <vt:lpwstr/>
      </vt:variant>
      <vt:variant>
        <vt:lpwstr>_Toc374447818</vt:lpwstr>
      </vt:variant>
      <vt:variant>
        <vt:i4>1179707</vt:i4>
      </vt:variant>
      <vt:variant>
        <vt:i4>1406</vt:i4>
      </vt:variant>
      <vt:variant>
        <vt:i4>0</vt:i4>
      </vt:variant>
      <vt:variant>
        <vt:i4>5</vt:i4>
      </vt:variant>
      <vt:variant>
        <vt:lpwstr/>
      </vt:variant>
      <vt:variant>
        <vt:lpwstr>_Toc374447817</vt:lpwstr>
      </vt:variant>
      <vt:variant>
        <vt:i4>1179707</vt:i4>
      </vt:variant>
      <vt:variant>
        <vt:i4>1400</vt:i4>
      </vt:variant>
      <vt:variant>
        <vt:i4>0</vt:i4>
      </vt:variant>
      <vt:variant>
        <vt:i4>5</vt:i4>
      </vt:variant>
      <vt:variant>
        <vt:lpwstr/>
      </vt:variant>
      <vt:variant>
        <vt:lpwstr>_Toc374447816</vt:lpwstr>
      </vt:variant>
      <vt:variant>
        <vt:i4>1179707</vt:i4>
      </vt:variant>
      <vt:variant>
        <vt:i4>1394</vt:i4>
      </vt:variant>
      <vt:variant>
        <vt:i4>0</vt:i4>
      </vt:variant>
      <vt:variant>
        <vt:i4>5</vt:i4>
      </vt:variant>
      <vt:variant>
        <vt:lpwstr/>
      </vt:variant>
      <vt:variant>
        <vt:lpwstr>_Toc374447815</vt:lpwstr>
      </vt:variant>
      <vt:variant>
        <vt:i4>1179707</vt:i4>
      </vt:variant>
      <vt:variant>
        <vt:i4>1388</vt:i4>
      </vt:variant>
      <vt:variant>
        <vt:i4>0</vt:i4>
      </vt:variant>
      <vt:variant>
        <vt:i4>5</vt:i4>
      </vt:variant>
      <vt:variant>
        <vt:lpwstr/>
      </vt:variant>
      <vt:variant>
        <vt:lpwstr>_Toc374447814</vt:lpwstr>
      </vt:variant>
      <vt:variant>
        <vt:i4>1179707</vt:i4>
      </vt:variant>
      <vt:variant>
        <vt:i4>1382</vt:i4>
      </vt:variant>
      <vt:variant>
        <vt:i4>0</vt:i4>
      </vt:variant>
      <vt:variant>
        <vt:i4>5</vt:i4>
      </vt:variant>
      <vt:variant>
        <vt:lpwstr/>
      </vt:variant>
      <vt:variant>
        <vt:lpwstr>_Toc374447813</vt:lpwstr>
      </vt:variant>
      <vt:variant>
        <vt:i4>1179707</vt:i4>
      </vt:variant>
      <vt:variant>
        <vt:i4>1376</vt:i4>
      </vt:variant>
      <vt:variant>
        <vt:i4>0</vt:i4>
      </vt:variant>
      <vt:variant>
        <vt:i4>5</vt:i4>
      </vt:variant>
      <vt:variant>
        <vt:lpwstr/>
      </vt:variant>
      <vt:variant>
        <vt:lpwstr>_Toc374447812</vt:lpwstr>
      </vt:variant>
      <vt:variant>
        <vt:i4>1179707</vt:i4>
      </vt:variant>
      <vt:variant>
        <vt:i4>1370</vt:i4>
      </vt:variant>
      <vt:variant>
        <vt:i4>0</vt:i4>
      </vt:variant>
      <vt:variant>
        <vt:i4>5</vt:i4>
      </vt:variant>
      <vt:variant>
        <vt:lpwstr/>
      </vt:variant>
      <vt:variant>
        <vt:lpwstr>_Toc374447811</vt:lpwstr>
      </vt:variant>
      <vt:variant>
        <vt:i4>1179707</vt:i4>
      </vt:variant>
      <vt:variant>
        <vt:i4>1364</vt:i4>
      </vt:variant>
      <vt:variant>
        <vt:i4>0</vt:i4>
      </vt:variant>
      <vt:variant>
        <vt:i4>5</vt:i4>
      </vt:variant>
      <vt:variant>
        <vt:lpwstr/>
      </vt:variant>
      <vt:variant>
        <vt:lpwstr>_Toc374447810</vt:lpwstr>
      </vt:variant>
      <vt:variant>
        <vt:i4>1245243</vt:i4>
      </vt:variant>
      <vt:variant>
        <vt:i4>1358</vt:i4>
      </vt:variant>
      <vt:variant>
        <vt:i4>0</vt:i4>
      </vt:variant>
      <vt:variant>
        <vt:i4>5</vt:i4>
      </vt:variant>
      <vt:variant>
        <vt:lpwstr/>
      </vt:variant>
      <vt:variant>
        <vt:lpwstr>_Toc374447809</vt:lpwstr>
      </vt:variant>
      <vt:variant>
        <vt:i4>1245243</vt:i4>
      </vt:variant>
      <vt:variant>
        <vt:i4>1352</vt:i4>
      </vt:variant>
      <vt:variant>
        <vt:i4>0</vt:i4>
      </vt:variant>
      <vt:variant>
        <vt:i4>5</vt:i4>
      </vt:variant>
      <vt:variant>
        <vt:lpwstr/>
      </vt:variant>
      <vt:variant>
        <vt:lpwstr>_Toc374447808</vt:lpwstr>
      </vt:variant>
      <vt:variant>
        <vt:i4>1245243</vt:i4>
      </vt:variant>
      <vt:variant>
        <vt:i4>1346</vt:i4>
      </vt:variant>
      <vt:variant>
        <vt:i4>0</vt:i4>
      </vt:variant>
      <vt:variant>
        <vt:i4>5</vt:i4>
      </vt:variant>
      <vt:variant>
        <vt:lpwstr/>
      </vt:variant>
      <vt:variant>
        <vt:lpwstr>_Toc374447807</vt:lpwstr>
      </vt:variant>
      <vt:variant>
        <vt:i4>1245243</vt:i4>
      </vt:variant>
      <vt:variant>
        <vt:i4>1340</vt:i4>
      </vt:variant>
      <vt:variant>
        <vt:i4>0</vt:i4>
      </vt:variant>
      <vt:variant>
        <vt:i4>5</vt:i4>
      </vt:variant>
      <vt:variant>
        <vt:lpwstr/>
      </vt:variant>
      <vt:variant>
        <vt:lpwstr>_Toc374447806</vt:lpwstr>
      </vt:variant>
      <vt:variant>
        <vt:i4>1245243</vt:i4>
      </vt:variant>
      <vt:variant>
        <vt:i4>1334</vt:i4>
      </vt:variant>
      <vt:variant>
        <vt:i4>0</vt:i4>
      </vt:variant>
      <vt:variant>
        <vt:i4>5</vt:i4>
      </vt:variant>
      <vt:variant>
        <vt:lpwstr/>
      </vt:variant>
      <vt:variant>
        <vt:lpwstr>_Toc374447805</vt:lpwstr>
      </vt:variant>
      <vt:variant>
        <vt:i4>1245243</vt:i4>
      </vt:variant>
      <vt:variant>
        <vt:i4>1328</vt:i4>
      </vt:variant>
      <vt:variant>
        <vt:i4>0</vt:i4>
      </vt:variant>
      <vt:variant>
        <vt:i4>5</vt:i4>
      </vt:variant>
      <vt:variant>
        <vt:lpwstr/>
      </vt:variant>
      <vt:variant>
        <vt:lpwstr>_Toc374447804</vt:lpwstr>
      </vt:variant>
      <vt:variant>
        <vt:i4>1245243</vt:i4>
      </vt:variant>
      <vt:variant>
        <vt:i4>1322</vt:i4>
      </vt:variant>
      <vt:variant>
        <vt:i4>0</vt:i4>
      </vt:variant>
      <vt:variant>
        <vt:i4>5</vt:i4>
      </vt:variant>
      <vt:variant>
        <vt:lpwstr/>
      </vt:variant>
      <vt:variant>
        <vt:lpwstr>_Toc374447803</vt:lpwstr>
      </vt:variant>
      <vt:variant>
        <vt:i4>1245243</vt:i4>
      </vt:variant>
      <vt:variant>
        <vt:i4>1316</vt:i4>
      </vt:variant>
      <vt:variant>
        <vt:i4>0</vt:i4>
      </vt:variant>
      <vt:variant>
        <vt:i4>5</vt:i4>
      </vt:variant>
      <vt:variant>
        <vt:lpwstr/>
      </vt:variant>
      <vt:variant>
        <vt:lpwstr>_Toc374447802</vt:lpwstr>
      </vt:variant>
      <vt:variant>
        <vt:i4>1245243</vt:i4>
      </vt:variant>
      <vt:variant>
        <vt:i4>1310</vt:i4>
      </vt:variant>
      <vt:variant>
        <vt:i4>0</vt:i4>
      </vt:variant>
      <vt:variant>
        <vt:i4>5</vt:i4>
      </vt:variant>
      <vt:variant>
        <vt:lpwstr/>
      </vt:variant>
      <vt:variant>
        <vt:lpwstr>_Toc374447801</vt:lpwstr>
      </vt:variant>
      <vt:variant>
        <vt:i4>1245243</vt:i4>
      </vt:variant>
      <vt:variant>
        <vt:i4>1304</vt:i4>
      </vt:variant>
      <vt:variant>
        <vt:i4>0</vt:i4>
      </vt:variant>
      <vt:variant>
        <vt:i4>5</vt:i4>
      </vt:variant>
      <vt:variant>
        <vt:lpwstr/>
      </vt:variant>
      <vt:variant>
        <vt:lpwstr>_Toc374447800</vt:lpwstr>
      </vt:variant>
      <vt:variant>
        <vt:i4>1703988</vt:i4>
      </vt:variant>
      <vt:variant>
        <vt:i4>1298</vt:i4>
      </vt:variant>
      <vt:variant>
        <vt:i4>0</vt:i4>
      </vt:variant>
      <vt:variant>
        <vt:i4>5</vt:i4>
      </vt:variant>
      <vt:variant>
        <vt:lpwstr/>
      </vt:variant>
      <vt:variant>
        <vt:lpwstr>_Toc374447799</vt:lpwstr>
      </vt:variant>
      <vt:variant>
        <vt:i4>1703988</vt:i4>
      </vt:variant>
      <vt:variant>
        <vt:i4>1292</vt:i4>
      </vt:variant>
      <vt:variant>
        <vt:i4>0</vt:i4>
      </vt:variant>
      <vt:variant>
        <vt:i4>5</vt:i4>
      </vt:variant>
      <vt:variant>
        <vt:lpwstr/>
      </vt:variant>
      <vt:variant>
        <vt:lpwstr>_Toc374447798</vt:lpwstr>
      </vt:variant>
      <vt:variant>
        <vt:i4>1703988</vt:i4>
      </vt:variant>
      <vt:variant>
        <vt:i4>1286</vt:i4>
      </vt:variant>
      <vt:variant>
        <vt:i4>0</vt:i4>
      </vt:variant>
      <vt:variant>
        <vt:i4>5</vt:i4>
      </vt:variant>
      <vt:variant>
        <vt:lpwstr/>
      </vt:variant>
      <vt:variant>
        <vt:lpwstr>_Toc374447797</vt:lpwstr>
      </vt:variant>
      <vt:variant>
        <vt:i4>1703988</vt:i4>
      </vt:variant>
      <vt:variant>
        <vt:i4>1280</vt:i4>
      </vt:variant>
      <vt:variant>
        <vt:i4>0</vt:i4>
      </vt:variant>
      <vt:variant>
        <vt:i4>5</vt:i4>
      </vt:variant>
      <vt:variant>
        <vt:lpwstr/>
      </vt:variant>
      <vt:variant>
        <vt:lpwstr>_Toc374447796</vt:lpwstr>
      </vt:variant>
      <vt:variant>
        <vt:i4>1703988</vt:i4>
      </vt:variant>
      <vt:variant>
        <vt:i4>1274</vt:i4>
      </vt:variant>
      <vt:variant>
        <vt:i4>0</vt:i4>
      </vt:variant>
      <vt:variant>
        <vt:i4>5</vt:i4>
      </vt:variant>
      <vt:variant>
        <vt:lpwstr/>
      </vt:variant>
      <vt:variant>
        <vt:lpwstr>_Toc374447795</vt:lpwstr>
      </vt:variant>
      <vt:variant>
        <vt:i4>1703988</vt:i4>
      </vt:variant>
      <vt:variant>
        <vt:i4>1268</vt:i4>
      </vt:variant>
      <vt:variant>
        <vt:i4>0</vt:i4>
      </vt:variant>
      <vt:variant>
        <vt:i4>5</vt:i4>
      </vt:variant>
      <vt:variant>
        <vt:lpwstr/>
      </vt:variant>
      <vt:variant>
        <vt:lpwstr>_Toc374447794</vt:lpwstr>
      </vt:variant>
      <vt:variant>
        <vt:i4>1703988</vt:i4>
      </vt:variant>
      <vt:variant>
        <vt:i4>1262</vt:i4>
      </vt:variant>
      <vt:variant>
        <vt:i4>0</vt:i4>
      </vt:variant>
      <vt:variant>
        <vt:i4>5</vt:i4>
      </vt:variant>
      <vt:variant>
        <vt:lpwstr/>
      </vt:variant>
      <vt:variant>
        <vt:lpwstr>_Toc374447793</vt:lpwstr>
      </vt:variant>
      <vt:variant>
        <vt:i4>1703988</vt:i4>
      </vt:variant>
      <vt:variant>
        <vt:i4>1256</vt:i4>
      </vt:variant>
      <vt:variant>
        <vt:i4>0</vt:i4>
      </vt:variant>
      <vt:variant>
        <vt:i4>5</vt:i4>
      </vt:variant>
      <vt:variant>
        <vt:lpwstr/>
      </vt:variant>
      <vt:variant>
        <vt:lpwstr>_Toc374447792</vt:lpwstr>
      </vt:variant>
      <vt:variant>
        <vt:i4>1703988</vt:i4>
      </vt:variant>
      <vt:variant>
        <vt:i4>1250</vt:i4>
      </vt:variant>
      <vt:variant>
        <vt:i4>0</vt:i4>
      </vt:variant>
      <vt:variant>
        <vt:i4>5</vt:i4>
      </vt:variant>
      <vt:variant>
        <vt:lpwstr/>
      </vt:variant>
      <vt:variant>
        <vt:lpwstr>_Toc374447791</vt:lpwstr>
      </vt:variant>
      <vt:variant>
        <vt:i4>1703988</vt:i4>
      </vt:variant>
      <vt:variant>
        <vt:i4>1244</vt:i4>
      </vt:variant>
      <vt:variant>
        <vt:i4>0</vt:i4>
      </vt:variant>
      <vt:variant>
        <vt:i4>5</vt:i4>
      </vt:variant>
      <vt:variant>
        <vt:lpwstr/>
      </vt:variant>
      <vt:variant>
        <vt:lpwstr>_Toc374447790</vt:lpwstr>
      </vt:variant>
      <vt:variant>
        <vt:i4>1769524</vt:i4>
      </vt:variant>
      <vt:variant>
        <vt:i4>1238</vt:i4>
      </vt:variant>
      <vt:variant>
        <vt:i4>0</vt:i4>
      </vt:variant>
      <vt:variant>
        <vt:i4>5</vt:i4>
      </vt:variant>
      <vt:variant>
        <vt:lpwstr/>
      </vt:variant>
      <vt:variant>
        <vt:lpwstr>_Toc374447789</vt:lpwstr>
      </vt:variant>
      <vt:variant>
        <vt:i4>1769524</vt:i4>
      </vt:variant>
      <vt:variant>
        <vt:i4>1232</vt:i4>
      </vt:variant>
      <vt:variant>
        <vt:i4>0</vt:i4>
      </vt:variant>
      <vt:variant>
        <vt:i4>5</vt:i4>
      </vt:variant>
      <vt:variant>
        <vt:lpwstr/>
      </vt:variant>
      <vt:variant>
        <vt:lpwstr>_Toc374447788</vt:lpwstr>
      </vt:variant>
      <vt:variant>
        <vt:i4>1769524</vt:i4>
      </vt:variant>
      <vt:variant>
        <vt:i4>1226</vt:i4>
      </vt:variant>
      <vt:variant>
        <vt:i4>0</vt:i4>
      </vt:variant>
      <vt:variant>
        <vt:i4>5</vt:i4>
      </vt:variant>
      <vt:variant>
        <vt:lpwstr/>
      </vt:variant>
      <vt:variant>
        <vt:lpwstr>_Toc374447787</vt:lpwstr>
      </vt:variant>
      <vt:variant>
        <vt:i4>1769524</vt:i4>
      </vt:variant>
      <vt:variant>
        <vt:i4>1220</vt:i4>
      </vt:variant>
      <vt:variant>
        <vt:i4>0</vt:i4>
      </vt:variant>
      <vt:variant>
        <vt:i4>5</vt:i4>
      </vt:variant>
      <vt:variant>
        <vt:lpwstr/>
      </vt:variant>
      <vt:variant>
        <vt:lpwstr>_Toc374447786</vt:lpwstr>
      </vt:variant>
      <vt:variant>
        <vt:i4>1769524</vt:i4>
      </vt:variant>
      <vt:variant>
        <vt:i4>1214</vt:i4>
      </vt:variant>
      <vt:variant>
        <vt:i4>0</vt:i4>
      </vt:variant>
      <vt:variant>
        <vt:i4>5</vt:i4>
      </vt:variant>
      <vt:variant>
        <vt:lpwstr/>
      </vt:variant>
      <vt:variant>
        <vt:lpwstr>_Toc374447785</vt:lpwstr>
      </vt:variant>
      <vt:variant>
        <vt:i4>1769524</vt:i4>
      </vt:variant>
      <vt:variant>
        <vt:i4>1208</vt:i4>
      </vt:variant>
      <vt:variant>
        <vt:i4>0</vt:i4>
      </vt:variant>
      <vt:variant>
        <vt:i4>5</vt:i4>
      </vt:variant>
      <vt:variant>
        <vt:lpwstr/>
      </vt:variant>
      <vt:variant>
        <vt:lpwstr>_Toc374447784</vt:lpwstr>
      </vt:variant>
      <vt:variant>
        <vt:i4>1769524</vt:i4>
      </vt:variant>
      <vt:variant>
        <vt:i4>1202</vt:i4>
      </vt:variant>
      <vt:variant>
        <vt:i4>0</vt:i4>
      </vt:variant>
      <vt:variant>
        <vt:i4>5</vt:i4>
      </vt:variant>
      <vt:variant>
        <vt:lpwstr/>
      </vt:variant>
      <vt:variant>
        <vt:lpwstr>_Toc374447783</vt:lpwstr>
      </vt:variant>
      <vt:variant>
        <vt:i4>1769524</vt:i4>
      </vt:variant>
      <vt:variant>
        <vt:i4>1196</vt:i4>
      </vt:variant>
      <vt:variant>
        <vt:i4>0</vt:i4>
      </vt:variant>
      <vt:variant>
        <vt:i4>5</vt:i4>
      </vt:variant>
      <vt:variant>
        <vt:lpwstr/>
      </vt:variant>
      <vt:variant>
        <vt:lpwstr>_Toc374447782</vt:lpwstr>
      </vt:variant>
      <vt:variant>
        <vt:i4>1769524</vt:i4>
      </vt:variant>
      <vt:variant>
        <vt:i4>1190</vt:i4>
      </vt:variant>
      <vt:variant>
        <vt:i4>0</vt:i4>
      </vt:variant>
      <vt:variant>
        <vt:i4>5</vt:i4>
      </vt:variant>
      <vt:variant>
        <vt:lpwstr/>
      </vt:variant>
      <vt:variant>
        <vt:lpwstr>_Toc374447781</vt:lpwstr>
      </vt:variant>
      <vt:variant>
        <vt:i4>1769524</vt:i4>
      </vt:variant>
      <vt:variant>
        <vt:i4>1184</vt:i4>
      </vt:variant>
      <vt:variant>
        <vt:i4>0</vt:i4>
      </vt:variant>
      <vt:variant>
        <vt:i4>5</vt:i4>
      </vt:variant>
      <vt:variant>
        <vt:lpwstr/>
      </vt:variant>
      <vt:variant>
        <vt:lpwstr>_Toc374447780</vt:lpwstr>
      </vt:variant>
      <vt:variant>
        <vt:i4>1310772</vt:i4>
      </vt:variant>
      <vt:variant>
        <vt:i4>1178</vt:i4>
      </vt:variant>
      <vt:variant>
        <vt:i4>0</vt:i4>
      </vt:variant>
      <vt:variant>
        <vt:i4>5</vt:i4>
      </vt:variant>
      <vt:variant>
        <vt:lpwstr/>
      </vt:variant>
      <vt:variant>
        <vt:lpwstr>_Toc374447779</vt:lpwstr>
      </vt:variant>
      <vt:variant>
        <vt:i4>1310772</vt:i4>
      </vt:variant>
      <vt:variant>
        <vt:i4>1172</vt:i4>
      </vt:variant>
      <vt:variant>
        <vt:i4>0</vt:i4>
      </vt:variant>
      <vt:variant>
        <vt:i4>5</vt:i4>
      </vt:variant>
      <vt:variant>
        <vt:lpwstr/>
      </vt:variant>
      <vt:variant>
        <vt:lpwstr>_Toc374447778</vt:lpwstr>
      </vt:variant>
      <vt:variant>
        <vt:i4>1310772</vt:i4>
      </vt:variant>
      <vt:variant>
        <vt:i4>1166</vt:i4>
      </vt:variant>
      <vt:variant>
        <vt:i4>0</vt:i4>
      </vt:variant>
      <vt:variant>
        <vt:i4>5</vt:i4>
      </vt:variant>
      <vt:variant>
        <vt:lpwstr/>
      </vt:variant>
      <vt:variant>
        <vt:lpwstr>_Toc374447777</vt:lpwstr>
      </vt:variant>
      <vt:variant>
        <vt:i4>1310772</vt:i4>
      </vt:variant>
      <vt:variant>
        <vt:i4>1160</vt:i4>
      </vt:variant>
      <vt:variant>
        <vt:i4>0</vt:i4>
      </vt:variant>
      <vt:variant>
        <vt:i4>5</vt:i4>
      </vt:variant>
      <vt:variant>
        <vt:lpwstr/>
      </vt:variant>
      <vt:variant>
        <vt:lpwstr>_Toc374447776</vt:lpwstr>
      </vt:variant>
      <vt:variant>
        <vt:i4>1310772</vt:i4>
      </vt:variant>
      <vt:variant>
        <vt:i4>1154</vt:i4>
      </vt:variant>
      <vt:variant>
        <vt:i4>0</vt:i4>
      </vt:variant>
      <vt:variant>
        <vt:i4>5</vt:i4>
      </vt:variant>
      <vt:variant>
        <vt:lpwstr/>
      </vt:variant>
      <vt:variant>
        <vt:lpwstr>_Toc374447775</vt:lpwstr>
      </vt:variant>
      <vt:variant>
        <vt:i4>1310772</vt:i4>
      </vt:variant>
      <vt:variant>
        <vt:i4>1148</vt:i4>
      </vt:variant>
      <vt:variant>
        <vt:i4>0</vt:i4>
      </vt:variant>
      <vt:variant>
        <vt:i4>5</vt:i4>
      </vt:variant>
      <vt:variant>
        <vt:lpwstr/>
      </vt:variant>
      <vt:variant>
        <vt:lpwstr>_Toc374447774</vt:lpwstr>
      </vt:variant>
      <vt:variant>
        <vt:i4>1310772</vt:i4>
      </vt:variant>
      <vt:variant>
        <vt:i4>1142</vt:i4>
      </vt:variant>
      <vt:variant>
        <vt:i4>0</vt:i4>
      </vt:variant>
      <vt:variant>
        <vt:i4>5</vt:i4>
      </vt:variant>
      <vt:variant>
        <vt:lpwstr/>
      </vt:variant>
      <vt:variant>
        <vt:lpwstr>_Toc374447773</vt:lpwstr>
      </vt:variant>
      <vt:variant>
        <vt:i4>1310772</vt:i4>
      </vt:variant>
      <vt:variant>
        <vt:i4>1136</vt:i4>
      </vt:variant>
      <vt:variant>
        <vt:i4>0</vt:i4>
      </vt:variant>
      <vt:variant>
        <vt:i4>5</vt:i4>
      </vt:variant>
      <vt:variant>
        <vt:lpwstr/>
      </vt:variant>
      <vt:variant>
        <vt:lpwstr>_Toc374447772</vt:lpwstr>
      </vt:variant>
      <vt:variant>
        <vt:i4>1310772</vt:i4>
      </vt:variant>
      <vt:variant>
        <vt:i4>1130</vt:i4>
      </vt:variant>
      <vt:variant>
        <vt:i4>0</vt:i4>
      </vt:variant>
      <vt:variant>
        <vt:i4>5</vt:i4>
      </vt:variant>
      <vt:variant>
        <vt:lpwstr/>
      </vt:variant>
      <vt:variant>
        <vt:lpwstr>_Toc374447771</vt:lpwstr>
      </vt:variant>
      <vt:variant>
        <vt:i4>1310772</vt:i4>
      </vt:variant>
      <vt:variant>
        <vt:i4>1124</vt:i4>
      </vt:variant>
      <vt:variant>
        <vt:i4>0</vt:i4>
      </vt:variant>
      <vt:variant>
        <vt:i4>5</vt:i4>
      </vt:variant>
      <vt:variant>
        <vt:lpwstr/>
      </vt:variant>
      <vt:variant>
        <vt:lpwstr>_Toc374447770</vt:lpwstr>
      </vt:variant>
      <vt:variant>
        <vt:i4>1376308</vt:i4>
      </vt:variant>
      <vt:variant>
        <vt:i4>1118</vt:i4>
      </vt:variant>
      <vt:variant>
        <vt:i4>0</vt:i4>
      </vt:variant>
      <vt:variant>
        <vt:i4>5</vt:i4>
      </vt:variant>
      <vt:variant>
        <vt:lpwstr/>
      </vt:variant>
      <vt:variant>
        <vt:lpwstr>_Toc374447769</vt:lpwstr>
      </vt:variant>
      <vt:variant>
        <vt:i4>1376308</vt:i4>
      </vt:variant>
      <vt:variant>
        <vt:i4>1112</vt:i4>
      </vt:variant>
      <vt:variant>
        <vt:i4>0</vt:i4>
      </vt:variant>
      <vt:variant>
        <vt:i4>5</vt:i4>
      </vt:variant>
      <vt:variant>
        <vt:lpwstr/>
      </vt:variant>
      <vt:variant>
        <vt:lpwstr>_Toc374447768</vt:lpwstr>
      </vt:variant>
      <vt:variant>
        <vt:i4>1376308</vt:i4>
      </vt:variant>
      <vt:variant>
        <vt:i4>1106</vt:i4>
      </vt:variant>
      <vt:variant>
        <vt:i4>0</vt:i4>
      </vt:variant>
      <vt:variant>
        <vt:i4>5</vt:i4>
      </vt:variant>
      <vt:variant>
        <vt:lpwstr/>
      </vt:variant>
      <vt:variant>
        <vt:lpwstr>_Toc374447767</vt:lpwstr>
      </vt:variant>
      <vt:variant>
        <vt:i4>1376308</vt:i4>
      </vt:variant>
      <vt:variant>
        <vt:i4>1100</vt:i4>
      </vt:variant>
      <vt:variant>
        <vt:i4>0</vt:i4>
      </vt:variant>
      <vt:variant>
        <vt:i4>5</vt:i4>
      </vt:variant>
      <vt:variant>
        <vt:lpwstr/>
      </vt:variant>
      <vt:variant>
        <vt:lpwstr>_Toc374447766</vt:lpwstr>
      </vt:variant>
      <vt:variant>
        <vt:i4>1376308</vt:i4>
      </vt:variant>
      <vt:variant>
        <vt:i4>1094</vt:i4>
      </vt:variant>
      <vt:variant>
        <vt:i4>0</vt:i4>
      </vt:variant>
      <vt:variant>
        <vt:i4>5</vt:i4>
      </vt:variant>
      <vt:variant>
        <vt:lpwstr/>
      </vt:variant>
      <vt:variant>
        <vt:lpwstr>_Toc374447765</vt:lpwstr>
      </vt:variant>
      <vt:variant>
        <vt:i4>1376308</vt:i4>
      </vt:variant>
      <vt:variant>
        <vt:i4>1088</vt:i4>
      </vt:variant>
      <vt:variant>
        <vt:i4>0</vt:i4>
      </vt:variant>
      <vt:variant>
        <vt:i4>5</vt:i4>
      </vt:variant>
      <vt:variant>
        <vt:lpwstr/>
      </vt:variant>
      <vt:variant>
        <vt:lpwstr>_Toc374447764</vt:lpwstr>
      </vt:variant>
      <vt:variant>
        <vt:i4>1376308</vt:i4>
      </vt:variant>
      <vt:variant>
        <vt:i4>1082</vt:i4>
      </vt:variant>
      <vt:variant>
        <vt:i4>0</vt:i4>
      </vt:variant>
      <vt:variant>
        <vt:i4>5</vt:i4>
      </vt:variant>
      <vt:variant>
        <vt:lpwstr/>
      </vt:variant>
      <vt:variant>
        <vt:lpwstr>_Toc374447763</vt:lpwstr>
      </vt:variant>
      <vt:variant>
        <vt:i4>1376308</vt:i4>
      </vt:variant>
      <vt:variant>
        <vt:i4>1076</vt:i4>
      </vt:variant>
      <vt:variant>
        <vt:i4>0</vt:i4>
      </vt:variant>
      <vt:variant>
        <vt:i4>5</vt:i4>
      </vt:variant>
      <vt:variant>
        <vt:lpwstr/>
      </vt:variant>
      <vt:variant>
        <vt:lpwstr>_Toc374447762</vt:lpwstr>
      </vt:variant>
      <vt:variant>
        <vt:i4>1376308</vt:i4>
      </vt:variant>
      <vt:variant>
        <vt:i4>1070</vt:i4>
      </vt:variant>
      <vt:variant>
        <vt:i4>0</vt:i4>
      </vt:variant>
      <vt:variant>
        <vt:i4>5</vt:i4>
      </vt:variant>
      <vt:variant>
        <vt:lpwstr/>
      </vt:variant>
      <vt:variant>
        <vt:lpwstr>_Toc374447761</vt:lpwstr>
      </vt:variant>
      <vt:variant>
        <vt:i4>1376308</vt:i4>
      </vt:variant>
      <vt:variant>
        <vt:i4>1064</vt:i4>
      </vt:variant>
      <vt:variant>
        <vt:i4>0</vt:i4>
      </vt:variant>
      <vt:variant>
        <vt:i4>5</vt:i4>
      </vt:variant>
      <vt:variant>
        <vt:lpwstr/>
      </vt:variant>
      <vt:variant>
        <vt:lpwstr>_Toc374447760</vt:lpwstr>
      </vt:variant>
      <vt:variant>
        <vt:i4>1441844</vt:i4>
      </vt:variant>
      <vt:variant>
        <vt:i4>1058</vt:i4>
      </vt:variant>
      <vt:variant>
        <vt:i4>0</vt:i4>
      </vt:variant>
      <vt:variant>
        <vt:i4>5</vt:i4>
      </vt:variant>
      <vt:variant>
        <vt:lpwstr/>
      </vt:variant>
      <vt:variant>
        <vt:lpwstr>_Toc374447759</vt:lpwstr>
      </vt:variant>
      <vt:variant>
        <vt:i4>1441844</vt:i4>
      </vt:variant>
      <vt:variant>
        <vt:i4>1052</vt:i4>
      </vt:variant>
      <vt:variant>
        <vt:i4>0</vt:i4>
      </vt:variant>
      <vt:variant>
        <vt:i4>5</vt:i4>
      </vt:variant>
      <vt:variant>
        <vt:lpwstr/>
      </vt:variant>
      <vt:variant>
        <vt:lpwstr>_Toc374447758</vt:lpwstr>
      </vt:variant>
      <vt:variant>
        <vt:i4>1441844</vt:i4>
      </vt:variant>
      <vt:variant>
        <vt:i4>1046</vt:i4>
      </vt:variant>
      <vt:variant>
        <vt:i4>0</vt:i4>
      </vt:variant>
      <vt:variant>
        <vt:i4>5</vt:i4>
      </vt:variant>
      <vt:variant>
        <vt:lpwstr/>
      </vt:variant>
      <vt:variant>
        <vt:lpwstr>_Toc374447757</vt:lpwstr>
      </vt:variant>
      <vt:variant>
        <vt:i4>1441844</vt:i4>
      </vt:variant>
      <vt:variant>
        <vt:i4>1040</vt:i4>
      </vt:variant>
      <vt:variant>
        <vt:i4>0</vt:i4>
      </vt:variant>
      <vt:variant>
        <vt:i4>5</vt:i4>
      </vt:variant>
      <vt:variant>
        <vt:lpwstr/>
      </vt:variant>
      <vt:variant>
        <vt:lpwstr>_Toc374447756</vt:lpwstr>
      </vt:variant>
      <vt:variant>
        <vt:i4>1441844</vt:i4>
      </vt:variant>
      <vt:variant>
        <vt:i4>1034</vt:i4>
      </vt:variant>
      <vt:variant>
        <vt:i4>0</vt:i4>
      </vt:variant>
      <vt:variant>
        <vt:i4>5</vt:i4>
      </vt:variant>
      <vt:variant>
        <vt:lpwstr/>
      </vt:variant>
      <vt:variant>
        <vt:lpwstr>_Toc374447755</vt:lpwstr>
      </vt:variant>
      <vt:variant>
        <vt:i4>1441844</vt:i4>
      </vt:variant>
      <vt:variant>
        <vt:i4>1028</vt:i4>
      </vt:variant>
      <vt:variant>
        <vt:i4>0</vt:i4>
      </vt:variant>
      <vt:variant>
        <vt:i4>5</vt:i4>
      </vt:variant>
      <vt:variant>
        <vt:lpwstr/>
      </vt:variant>
      <vt:variant>
        <vt:lpwstr>_Toc374447754</vt:lpwstr>
      </vt:variant>
      <vt:variant>
        <vt:i4>1441844</vt:i4>
      </vt:variant>
      <vt:variant>
        <vt:i4>1022</vt:i4>
      </vt:variant>
      <vt:variant>
        <vt:i4>0</vt:i4>
      </vt:variant>
      <vt:variant>
        <vt:i4>5</vt:i4>
      </vt:variant>
      <vt:variant>
        <vt:lpwstr/>
      </vt:variant>
      <vt:variant>
        <vt:lpwstr>_Toc374447753</vt:lpwstr>
      </vt:variant>
      <vt:variant>
        <vt:i4>1441844</vt:i4>
      </vt:variant>
      <vt:variant>
        <vt:i4>1016</vt:i4>
      </vt:variant>
      <vt:variant>
        <vt:i4>0</vt:i4>
      </vt:variant>
      <vt:variant>
        <vt:i4>5</vt:i4>
      </vt:variant>
      <vt:variant>
        <vt:lpwstr/>
      </vt:variant>
      <vt:variant>
        <vt:lpwstr>_Toc374447752</vt:lpwstr>
      </vt:variant>
      <vt:variant>
        <vt:i4>1441844</vt:i4>
      </vt:variant>
      <vt:variant>
        <vt:i4>1010</vt:i4>
      </vt:variant>
      <vt:variant>
        <vt:i4>0</vt:i4>
      </vt:variant>
      <vt:variant>
        <vt:i4>5</vt:i4>
      </vt:variant>
      <vt:variant>
        <vt:lpwstr/>
      </vt:variant>
      <vt:variant>
        <vt:lpwstr>_Toc374447751</vt:lpwstr>
      </vt:variant>
      <vt:variant>
        <vt:i4>1441844</vt:i4>
      </vt:variant>
      <vt:variant>
        <vt:i4>1004</vt:i4>
      </vt:variant>
      <vt:variant>
        <vt:i4>0</vt:i4>
      </vt:variant>
      <vt:variant>
        <vt:i4>5</vt:i4>
      </vt:variant>
      <vt:variant>
        <vt:lpwstr/>
      </vt:variant>
      <vt:variant>
        <vt:lpwstr>_Toc374447750</vt:lpwstr>
      </vt:variant>
      <vt:variant>
        <vt:i4>1507380</vt:i4>
      </vt:variant>
      <vt:variant>
        <vt:i4>998</vt:i4>
      </vt:variant>
      <vt:variant>
        <vt:i4>0</vt:i4>
      </vt:variant>
      <vt:variant>
        <vt:i4>5</vt:i4>
      </vt:variant>
      <vt:variant>
        <vt:lpwstr/>
      </vt:variant>
      <vt:variant>
        <vt:lpwstr>_Toc374447749</vt:lpwstr>
      </vt:variant>
      <vt:variant>
        <vt:i4>1507380</vt:i4>
      </vt:variant>
      <vt:variant>
        <vt:i4>992</vt:i4>
      </vt:variant>
      <vt:variant>
        <vt:i4>0</vt:i4>
      </vt:variant>
      <vt:variant>
        <vt:i4>5</vt:i4>
      </vt:variant>
      <vt:variant>
        <vt:lpwstr/>
      </vt:variant>
      <vt:variant>
        <vt:lpwstr>_Toc374447748</vt:lpwstr>
      </vt:variant>
      <vt:variant>
        <vt:i4>1507380</vt:i4>
      </vt:variant>
      <vt:variant>
        <vt:i4>986</vt:i4>
      </vt:variant>
      <vt:variant>
        <vt:i4>0</vt:i4>
      </vt:variant>
      <vt:variant>
        <vt:i4>5</vt:i4>
      </vt:variant>
      <vt:variant>
        <vt:lpwstr/>
      </vt:variant>
      <vt:variant>
        <vt:lpwstr>_Toc374447747</vt:lpwstr>
      </vt:variant>
      <vt:variant>
        <vt:i4>1507380</vt:i4>
      </vt:variant>
      <vt:variant>
        <vt:i4>980</vt:i4>
      </vt:variant>
      <vt:variant>
        <vt:i4>0</vt:i4>
      </vt:variant>
      <vt:variant>
        <vt:i4>5</vt:i4>
      </vt:variant>
      <vt:variant>
        <vt:lpwstr/>
      </vt:variant>
      <vt:variant>
        <vt:lpwstr>_Toc374447746</vt:lpwstr>
      </vt:variant>
      <vt:variant>
        <vt:i4>1507380</vt:i4>
      </vt:variant>
      <vt:variant>
        <vt:i4>974</vt:i4>
      </vt:variant>
      <vt:variant>
        <vt:i4>0</vt:i4>
      </vt:variant>
      <vt:variant>
        <vt:i4>5</vt:i4>
      </vt:variant>
      <vt:variant>
        <vt:lpwstr/>
      </vt:variant>
      <vt:variant>
        <vt:lpwstr>_Toc374447745</vt:lpwstr>
      </vt:variant>
      <vt:variant>
        <vt:i4>1507380</vt:i4>
      </vt:variant>
      <vt:variant>
        <vt:i4>968</vt:i4>
      </vt:variant>
      <vt:variant>
        <vt:i4>0</vt:i4>
      </vt:variant>
      <vt:variant>
        <vt:i4>5</vt:i4>
      </vt:variant>
      <vt:variant>
        <vt:lpwstr/>
      </vt:variant>
      <vt:variant>
        <vt:lpwstr>_Toc374447744</vt:lpwstr>
      </vt:variant>
      <vt:variant>
        <vt:i4>1507380</vt:i4>
      </vt:variant>
      <vt:variant>
        <vt:i4>962</vt:i4>
      </vt:variant>
      <vt:variant>
        <vt:i4>0</vt:i4>
      </vt:variant>
      <vt:variant>
        <vt:i4>5</vt:i4>
      </vt:variant>
      <vt:variant>
        <vt:lpwstr/>
      </vt:variant>
      <vt:variant>
        <vt:lpwstr>_Toc374447743</vt:lpwstr>
      </vt:variant>
      <vt:variant>
        <vt:i4>1507380</vt:i4>
      </vt:variant>
      <vt:variant>
        <vt:i4>956</vt:i4>
      </vt:variant>
      <vt:variant>
        <vt:i4>0</vt:i4>
      </vt:variant>
      <vt:variant>
        <vt:i4>5</vt:i4>
      </vt:variant>
      <vt:variant>
        <vt:lpwstr/>
      </vt:variant>
      <vt:variant>
        <vt:lpwstr>_Toc374447742</vt:lpwstr>
      </vt:variant>
      <vt:variant>
        <vt:i4>1507380</vt:i4>
      </vt:variant>
      <vt:variant>
        <vt:i4>950</vt:i4>
      </vt:variant>
      <vt:variant>
        <vt:i4>0</vt:i4>
      </vt:variant>
      <vt:variant>
        <vt:i4>5</vt:i4>
      </vt:variant>
      <vt:variant>
        <vt:lpwstr/>
      </vt:variant>
      <vt:variant>
        <vt:lpwstr>_Toc374447741</vt:lpwstr>
      </vt:variant>
      <vt:variant>
        <vt:i4>1507380</vt:i4>
      </vt:variant>
      <vt:variant>
        <vt:i4>944</vt:i4>
      </vt:variant>
      <vt:variant>
        <vt:i4>0</vt:i4>
      </vt:variant>
      <vt:variant>
        <vt:i4>5</vt:i4>
      </vt:variant>
      <vt:variant>
        <vt:lpwstr/>
      </vt:variant>
      <vt:variant>
        <vt:lpwstr>_Toc374447740</vt:lpwstr>
      </vt:variant>
      <vt:variant>
        <vt:i4>1048628</vt:i4>
      </vt:variant>
      <vt:variant>
        <vt:i4>938</vt:i4>
      </vt:variant>
      <vt:variant>
        <vt:i4>0</vt:i4>
      </vt:variant>
      <vt:variant>
        <vt:i4>5</vt:i4>
      </vt:variant>
      <vt:variant>
        <vt:lpwstr/>
      </vt:variant>
      <vt:variant>
        <vt:lpwstr>_Toc374447739</vt:lpwstr>
      </vt:variant>
      <vt:variant>
        <vt:i4>1048628</vt:i4>
      </vt:variant>
      <vt:variant>
        <vt:i4>932</vt:i4>
      </vt:variant>
      <vt:variant>
        <vt:i4>0</vt:i4>
      </vt:variant>
      <vt:variant>
        <vt:i4>5</vt:i4>
      </vt:variant>
      <vt:variant>
        <vt:lpwstr/>
      </vt:variant>
      <vt:variant>
        <vt:lpwstr>_Toc374447738</vt:lpwstr>
      </vt:variant>
      <vt:variant>
        <vt:i4>1048628</vt:i4>
      </vt:variant>
      <vt:variant>
        <vt:i4>926</vt:i4>
      </vt:variant>
      <vt:variant>
        <vt:i4>0</vt:i4>
      </vt:variant>
      <vt:variant>
        <vt:i4>5</vt:i4>
      </vt:variant>
      <vt:variant>
        <vt:lpwstr/>
      </vt:variant>
      <vt:variant>
        <vt:lpwstr>_Toc374447737</vt:lpwstr>
      </vt:variant>
      <vt:variant>
        <vt:i4>1048628</vt:i4>
      </vt:variant>
      <vt:variant>
        <vt:i4>920</vt:i4>
      </vt:variant>
      <vt:variant>
        <vt:i4>0</vt:i4>
      </vt:variant>
      <vt:variant>
        <vt:i4>5</vt:i4>
      </vt:variant>
      <vt:variant>
        <vt:lpwstr/>
      </vt:variant>
      <vt:variant>
        <vt:lpwstr>_Toc374447736</vt:lpwstr>
      </vt:variant>
      <vt:variant>
        <vt:i4>1048628</vt:i4>
      </vt:variant>
      <vt:variant>
        <vt:i4>914</vt:i4>
      </vt:variant>
      <vt:variant>
        <vt:i4>0</vt:i4>
      </vt:variant>
      <vt:variant>
        <vt:i4>5</vt:i4>
      </vt:variant>
      <vt:variant>
        <vt:lpwstr/>
      </vt:variant>
      <vt:variant>
        <vt:lpwstr>_Toc374447735</vt:lpwstr>
      </vt:variant>
      <vt:variant>
        <vt:i4>3473515</vt:i4>
      </vt:variant>
      <vt:variant>
        <vt:i4>909</vt:i4>
      </vt:variant>
      <vt:variant>
        <vt:i4>0</vt:i4>
      </vt:variant>
      <vt:variant>
        <vt:i4>5</vt:i4>
      </vt:variant>
      <vt:variant>
        <vt:lpwstr>http://www.google.hr/url?sa=t&amp;rct=j&amp;q=&amp;esrc=s&amp;frm=1&amp;source=web&amp;cd=1&amp;cad=rja&amp;ved=0CCoQFjAA&amp;url=http%3A%2F%2Fen.wikipedia.org%2Fwiki%2FRevealed_comparative_advantage&amp;ei=MwUuUpu1GIKPtAah2YGYCA&amp;usg=AFQjCNH6aDIcf3yel0VPslFnEYHRR19WUg&amp;sig2=s64WIROFElAS1Ewp-Ptf4w&amp;bvm=bv.51773540,d.Yms</vt:lpwstr>
      </vt:variant>
      <vt:variant>
        <vt:lpwstr/>
      </vt:variant>
      <vt:variant>
        <vt:i4>5832831</vt:i4>
      </vt:variant>
      <vt:variant>
        <vt:i4>906</vt:i4>
      </vt:variant>
      <vt:variant>
        <vt:i4>0</vt:i4>
      </vt:variant>
      <vt:variant>
        <vt:i4>5</vt:i4>
      </vt:variant>
      <vt:variant>
        <vt:lpwstr>https://www.google.hr/url?sa=t&amp;rct=j&amp;q=&amp;esrc=s&amp;source=web&amp;cd=1&amp;ved=0CCcQFjAA&amp;url=http%3A%2F%2Fen.wikipedia.org%2Fwiki%2FCommonwealth_of_Independent_States&amp;ei=S6wnUv_nIsXHsgbdx4GYDg&amp;usg=AFQjCNEpcq0hvRtaBFOMFwKhU0dEPDqjNg&amp;sig2=t-_Yp1wFtYzJIKFlGU6ZrA&amp;bvm=bv.51773540,d.Yms</vt:lpwstr>
      </vt:variant>
      <vt:variant>
        <vt:lpwstr/>
      </vt:variant>
      <vt:variant>
        <vt:i4>5898323</vt:i4>
      </vt:variant>
      <vt:variant>
        <vt:i4>903</vt:i4>
      </vt:variant>
      <vt:variant>
        <vt:i4>0</vt:i4>
      </vt:variant>
      <vt:variant>
        <vt:i4>5</vt:i4>
      </vt:variant>
      <vt:variant>
        <vt:lpwstr>http://www.google.hr/url?sa=t&amp;rct=j&amp;q=&amp;esrc=s&amp;frm=1&amp;source=web&amp;cd=5&amp;ved=0CFAQFjAE&amp;url=http%3A%2F%2Fwww.cefta.int%2F&amp;ei=wAwqUuHwOYLeswbd5IAo&amp;usg=AFQjCNFI5BTq51V5eANizNb0jWCVGRlIEQ&amp;sig2=hFiFiYVxQXpGgMnl67v7PQ&amp;bvm=bv.51773540,d.Yms</vt:lpwstr>
      </vt:variant>
      <vt:variant>
        <vt:lpwstr/>
      </vt:variant>
      <vt:variant>
        <vt:i4>2031671</vt:i4>
      </vt:variant>
      <vt:variant>
        <vt:i4>896</vt:i4>
      </vt:variant>
      <vt:variant>
        <vt:i4>0</vt:i4>
      </vt:variant>
      <vt:variant>
        <vt:i4>5</vt:i4>
      </vt:variant>
      <vt:variant>
        <vt:lpwstr/>
      </vt:variant>
      <vt:variant>
        <vt:lpwstr>_Toc374448433</vt:lpwstr>
      </vt:variant>
      <vt:variant>
        <vt:i4>2031671</vt:i4>
      </vt:variant>
      <vt:variant>
        <vt:i4>890</vt:i4>
      </vt:variant>
      <vt:variant>
        <vt:i4>0</vt:i4>
      </vt:variant>
      <vt:variant>
        <vt:i4>5</vt:i4>
      </vt:variant>
      <vt:variant>
        <vt:lpwstr/>
      </vt:variant>
      <vt:variant>
        <vt:lpwstr>_Toc374448432</vt:lpwstr>
      </vt:variant>
      <vt:variant>
        <vt:i4>2031671</vt:i4>
      </vt:variant>
      <vt:variant>
        <vt:i4>884</vt:i4>
      </vt:variant>
      <vt:variant>
        <vt:i4>0</vt:i4>
      </vt:variant>
      <vt:variant>
        <vt:i4>5</vt:i4>
      </vt:variant>
      <vt:variant>
        <vt:lpwstr/>
      </vt:variant>
      <vt:variant>
        <vt:lpwstr>_Toc374448431</vt:lpwstr>
      </vt:variant>
      <vt:variant>
        <vt:i4>2031671</vt:i4>
      </vt:variant>
      <vt:variant>
        <vt:i4>878</vt:i4>
      </vt:variant>
      <vt:variant>
        <vt:i4>0</vt:i4>
      </vt:variant>
      <vt:variant>
        <vt:i4>5</vt:i4>
      </vt:variant>
      <vt:variant>
        <vt:lpwstr/>
      </vt:variant>
      <vt:variant>
        <vt:lpwstr>_Toc374448430</vt:lpwstr>
      </vt:variant>
      <vt:variant>
        <vt:i4>1966135</vt:i4>
      </vt:variant>
      <vt:variant>
        <vt:i4>872</vt:i4>
      </vt:variant>
      <vt:variant>
        <vt:i4>0</vt:i4>
      </vt:variant>
      <vt:variant>
        <vt:i4>5</vt:i4>
      </vt:variant>
      <vt:variant>
        <vt:lpwstr/>
      </vt:variant>
      <vt:variant>
        <vt:lpwstr>_Toc374448429</vt:lpwstr>
      </vt:variant>
      <vt:variant>
        <vt:i4>1966135</vt:i4>
      </vt:variant>
      <vt:variant>
        <vt:i4>866</vt:i4>
      </vt:variant>
      <vt:variant>
        <vt:i4>0</vt:i4>
      </vt:variant>
      <vt:variant>
        <vt:i4>5</vt:i4>
      </vt:variant>
      <vt:variant>
        <vt:lpwstr/>
      </vt:variant>
      <vt:variant>
        <vt:lpwstr>_Toc374448428</vt:lpwstr>
      </vt:variant>
      <vt:variant>
        <vt:i4>1966135</vt:i4>
      </vt:variant>
      <vt:variant>
        <vt:i4>860</vt:i4>
      </vt:variant>
      <vt:variant>
        <vt:i4>0</vt:i4>
      </vt:variant>
      <vt:variant>
        <vt:i4>5</vt:i4>
      </vt:variant>
      <vt:variant>
        <vt:lpwstr/>
      </vt:variant>
      <vt:variant>
        <vt:lpwstr>_Toc374448427</vt:lpwstr>
      </vt:variant>
      <vt:variant>
        <vt:i4>1966135</vt:i4>
      </vt:variant>
      <vt:variant>
        <vt:i4>854</vt:i4>
      </vt:variant>
      <vt:variant>
        <vt:i4>0</vt:i4>
      </vt:variant>
      <vt:variant>
        <vt:i4>5</vt:i4>
      </vt:variant>
      <vt:variant>
        <vt:lpwstr/>
      </vt:variant>
      <vt:variant>
        <vt:lpwstr>_Toc374448426</vt:lpwstr>
      </vt:variant>
      <vt:variant>
        <vt:i4>1966135</vt:i4>
      </vt:variant>
      <vt:variant>
        <vt:i4>848</vt:i4>
      </vt:variant>
      <vt:variant>
        <vt:i4>0</vt:i4>
      </vt:variant>
      <vt:variant>
        <vt:i4>5</vt:i4>
      </vt:variant>
      <vt:variant>
        <vt:lpwstr/>
      </vt:variant>
      <vt:variant>
        <vt:lpwstr>_Toc374448425</vt:lpwstr>
      </vt:variant>
      <vt:variant>
        <vt:i4>1966135</vt:i4>
      </vt:variant>
      <vt:variant>
        <vt:i4>842</vt:i4>
      </vt:variant>
      <vt:variant>
        <vt:i4>0</vt:i4>
      </vt:variant>
      <vt:variant>
        <vt:i4>5</vt:i4>
      </vt:variant>
      <vt:variant>
        <vt:lpwstr/>
      </vt:variant>
      <vt:variant>
        <vt:lpwstr>_Toc374448424</vt:lpwstr>
      </vt:variant>
      <vt:variant>
        <vt:i4>1966135</vt:i4>
      </vt:variant>
      <vt:variant>
        <vt:i4>836</vt:i4>
      </vt:variant>
      <vt:variant>
        <vt:i4>0</vt:i4>
      </vt:variant>
      <vt:variant>
        <vt:i4>5</vt:i4>
      </vt:variant>
      <vt:variant>
        <vt:lpwstr/>
      </vt:variant>
      <vt:variant>
        <vt:lpwstr>_Toc374448423</vt:lpwstr>
      </vt:variant>
      <vt:variant>
        <vt:i4>1966135</vt:i4>
      </vt:variant>
      <vt:variant>
        <vt:i4>830</vt:i4>
      </vt:variant>
      <vt:variant>
        <vt:i4>0</vt:i4>
      </vt:variant>
      <vt:variant>
        <vt:i4>5</vt:i4>
      </vt:variant>
      <vt:variant>
        <vt:lpwstr/>
      </vt:variant>
      <vt:variant>
        <vt:lpwstr>_Toc374448422</vt:lpwstr>
      </vt:variant>
      <vt:variant>
        <vt:i4>1966135</vt:i4>
      </vt:variant>
      <vt:variant>
        <vt:i4>824</vt:i4>
      </vt:variant>
      <vt:variant>
        <vt:i4>0</vt:i4>
      </vt:variant>
      <vt:variant>
        <vt:i4>5</vt:i4>
      </vt:variant>
      <vt:variant>
        <vt:lpwstr/>
      </vt:variant>
      <vt:variant>
        <vt:lpwstr>_Toc374448421</vt:lpwstr>
      </vt:variant>
      <vt:variant>
        <vt:i4>1966135</vt:i4>
      </vt:variant>
      <vt:variant>
        <vt:i4>818</vt:i4>
      </vt:variant>
      <vt:variant>
        <vt:i4>0</vt:i4>
      </vt:variant>
      <vt:variant>
        <vt:i4>5</vt:i4>
      </vt:variant>
      <vt:variant>
        <vt:lpwstr/>
      </vt:variant>
      <vt:variant>
        <vt:lpwstr>_Toc374448420</vt:lpwstr>
      </vt:variant>
      <vt:variant>
        <vt:i4>1900599</vt:i4>
      </vt:variant>
      <vt:variant>
        <vt:i4>812</vt:i4>
      </vt:variant>
      <vt:variant>
        <vt:i4>0</vt:i4>
      </vt:variant>
      <vt:variant>
        <vt:i4>5</vt:i4>
      </vt:variant>
      <vt:variant>
        <vt:lpwstr/>
      </vt:variant>
      <vt:variant>
        <vt:lpwstr>_Toc374448419</vt:lpwstr>
      </vt:variant>
      <vt:variant>
        <vt:i4>1900599</vt:i4>
      </vt:variant>
      <vt:variant>
        <vt:i4>806</vt:i4>
      </vt:variant>
      <vt:variant>
        <vt:i4>0</vt:i4>
      </vt:variant>
      <vt:variant>
        <vt:i4>5</vt:i4>
      </vt:variant>
      <vt:variant>
        <vt:lpwstr/>
      </vt:variant>
      <vt:variant>
        <vt:lpwstr>_Toc374448418</vt:lpwstr>
      </vt:variant>
      <vt:variant>
        <vt:i4>1900599</vt:i4>
      </vt:variant>
      <vt:variant>
        <vt:i4>800</vt:i4>
      </vt:variant>
      <vt:variant>
        <vt:i4>0</vt:i4>
      </vt:variant>
      <vt:variant>
        <vt:i4>5</vt:i4>
      </vt:variant>
      <vt:variant>
        <vt:lpwstr/>
      </vt:variant>
      <vt:variant>
        <vt:lpwstr>_Toc374448417</vt:lpwstr>
      </vt:variant>
      <vt:variant>
        <vt:i4>1900599</vt:i4>
      </vt:variant>
      <vt:variant>
        <vt:i4>794</vt:i4>
      </vt:variant>
      <vt:variant>
        <vt:i4>0</vt:i4>
      </vt:variant>
      <vt:variant>
        <vt:i4>5</vt:i4>
      </vt:variant>
      <vt:variant>
        <vt:lpwstr/>
      </vt:variant>
      <vt:variant>
        <vt:lpwstr>_Toc374448416</vt:lpwstr>
      </vt:variant>
      <vt:variant>
        <vt:i4>1900599</vt:i4>
      </vt:variant>
      <vt:variant>
        <vt:i4>788</vt:i4>
      </vt:variant>
      <vt:variant>
        <vt:i4>0</vt:i4>
      </vt:variant>
      <vt:variant>
        <vt:i4>5</vt:i4>
      </vt:variant>
      <vt:variant>
        <vt:lpwstr/>
      </vt:variant>
      <vt:variant>
        <vt:lpwstr>_Toc374448415</vt:lpwstr>
      </vt:variant>
      <vt:variant>
        <vt:i4>1900599</vt:i4>
      </vt:variant>
      <vt:variant>
        <vt:i4>782</vt:i4>
      </vt:variant>
      <vt:variant>
        <vt:i4>0</vt:i4>
      </vt:variant>
      <vt:variant>
        <vt:i4>5</vt:i4>
      </vt:variant>
      <vt:variant>
        <vt:lpwstr/>
      </vt:variant>
      <vt:variant>
        <vt:lpwstr>_Toc374448414</vt:lpwstr>
      </vt:variant>
      <vt:variant>
        <vt:i4>1900599</vt:i4>
      </vt:variant>
      <vt:variant>
        <vt:i4>776</vt:i4>
      </vt:variant>
      <vt:variant>
        <vt:i4>0</vt:i4>
      </vt:variant>
      <vt:variant>
        <vt:i4>5</vt:i4>
      </vt:variant>
      <vt:variant>
        <vt:lpwstr/>
      </vt:variant>
      <vt:variant>
        <vt:lpwstr>_Toc374448413</vt:lpwstr>
      </vt:variant>
      <vt:variant>
        <vt:i4>1900599</vt:i4>
      </vt:variant>
      <vt:variant>
        <vt:i4>770</vt:i4>
      </vt:variant>
      <vt:variant>
        <vt:i4>0</vt:i4>
      </vt:variant>
      <vt:variant>
        <vt:i4>5</vt:i4>
      </vt:variant>
      <vt:variant>
        <vt:lpwstr/>
      </vt:variant>
      <vt:variant>
        <vt:lpwstr>_Toc374448412</vt:lpwstr>
      </vt:variant>
      <vt:variant>
        <vt:i4>1900599</vt:i4>
      </vt:variant>
      <vt:variant>
        <vt:i4>764</vt:i4>
      </vt:variant>
      <vt:variant>
        <vt:i4>0</vt:i4>
      </vt:variant>
      <vt:variant>
        <vt:i4>5</vt:i4>
      </vt:variant>
      <vt:variant>
        <vt:lpwstr/>
      </vt:variant>
      <vt:variant>
        <vt:lpwstr>_Toc374448411</vt:lpwstr>
      </vt:variant>
      <vt:variant>
        <vt:i4>1900599</vt:i4>
      </vt:variant>
      <vt:variant>
        <vt:i4>758</vt:i4>
      </vt:variant>
      <vt:variant>
        <vt:i4>0</vt:i4>
      </vt:variant>
      <vt:variant>
        <vt:i4>5</vt:i4>
      </vt:variant>
      <vt:variant>
        <vt:lpwstr/>
      </vt:variant>
      <vt:variant>
        <vt:lpwstr>_Toc374448410</vt:lpwstr>
      </vt:variant>
      <vt:variant>
        <vt:i4>1835063</vt:i4>
      </vt:variant>
      <vt:variant>
        <vt:i4>752</vt:i4>
      </vt:variant>
      <vt:variant>
        <vt:i4>0</vt:i4>
      </vt:variant>
      <vt:variant>
        <vt:i4>5</vt:i4>
      </vt:variant>
      <vt:variant>
        <vt:lpwstr/>
      </vt:variant>
      <vt:variant>
        <vt:lpwstr>_Toc374448409</vt:lpwstr>
      </vt:variant>
      <vt:variant>
        <vt:i4>1835063</vt:i4>
      </vt:variant>
      <vt:variant>
        <vt:i4>746</vt:i4>
      </vt:variant>
      <vt:variant>
        <vt:i4>0</vt:i4>
      </vt:variant>
      <vt:variant>
        <vt:i4>5</vt:i4>
      </vt:variant>
      <vt:variant>
        <vt:lpwstr/>
      </vt:variant>
      <vt:variant>
        <vt:lpwstr>_Toc374448408</vt:lpwstr>
      </vt:variant>
      <vt:variant>
        <vt:i4>1835063</vt:i4>
      </vt:variant>
      <vt:variant>
        <vt:i4>740</vt:i4>
      </vt:variant>
      <vt:variant>
        <vt:i4>0</vt:i4>
      </vt:variant>
      <vt:variant>
        <vt:i4>5</vt:i4>
      </vt:variant>
      <vt:variant>
        <vt:lpwstr/>
      </vt:variant>
      <vt:variant>
        <vt:lpwstr>_Toc374448407</vt:lpwstr>
      </vt:variant>
      <vt:variant>
        <vt:i4>1835063</vt:i4>
      </vt:variant>
      <vt:variant>
        <vt:i4>734</vt:i4>
      </vt:variant>
      <vt:variant>
        <vt:i4>0</vt:i4>
      </vt:variant>
      <vt:variant>
        <vt:i4>5</vt:i4>
      </vt:variant>
      <vt:variant>
        <vt:lpwstr/>
      </vt:variant>
      <vt:variant>
        <vt:lpwstr>_Toc374448406</vt:lpwstr>
      </vt:variant>
      <vt:variant>
        <vt:i4>1835063</vt:i4>
      </vt:variant>
      <vt:variant>
        <vt:i4>728</vt:i4>
      </vt:variant>
      <vt:variant>
        <vt:i4>0</vt:i4>
      </vt:variant>
      <vt:variant>
        <vt:i4>5</vt:i4>
      </vt:variant>
      <vt:variant>
        <vt:lpwstr/>
      </vt:variant>
      <vt:variant>
        <vt:lpwstr>_Toc374448405</vt:lpwstr>
      </vt:variant>
      <vt:variant>
        <vt:i4>1835063</vt:i4>
      </vt:variant>
      <vt:variant>
        <vt:i4>722</vt:i4>
      </vt:variant>
      <vt:variant>
        <vt:i4>0</vt:i4>
      </vt:variant>
      <vt:variant>
        <vt:i4>5</vt:i4>
      </vt:variant>
      <vt:variant>
        <vt:lpwstr/>
      </vt:variant>
      <vt:variant>
        <vt:lpwstr>_Toc374448404</vt:lpwstr>
      </vt:variant>
      <vt:variant>
        <vt:i4>1835063</vt:i4>
      </vt:variant>
      <vt:variant>
        <vt:i4>716</vt:i4>
      </vt:variant>
      <vt:variant>
        <vt:i4>0</vt:i4>
      </vt:variant>
      <vt:variant>
        <vt:i4>5</vt:i4>
      </vt:variant>
      <vt:variant>
        <vt:lpwstr/>
      </vt:variant>
      <vt:variant>
        <vt:lpwstr>_Toc374448403</vt:lpwstr>
      </vt:variant>
      <vt:variant>
        <vt:i4>1835063</vt:i4>
      </vt:variant>
      <vt:variant>
        <vt:i4>710</vt:i4>
      </vt:variant>
      <vt:variant>
        <vt:i4>0</vt:i4>
      </vt:variant>
      <vt:variant>
        <vt:i4>5</vt:i4>
      </vt:variant>
      <vt:variant>
        <vt:lpwstr/>
      </vt:variant>
      <vt:variant>
        <vt:lpwstr>_Toc374448402</vt:lpwstr>
      </vt:variant>
      <vt:variant>
        <vt:i4>1835063</vt:i4>
      </vt:variant>
      <vt:variant>
        <vt:i4>704</vt:i4>
      </vt:variant>
      <vt:variant>
        <vt:i4>0</vt:i4>
      </vt:variant>
      <vt:variant>
        <vt:i4>5</vt:i4>
      </vt:variant>
      <vt:variant>
        <vt:lpwstr/>
      </vt:variant>
      <vt:variant>
        <vt:lpwstr>_Toc374448401</vt:lpwstr>
      </vt:variant>
      <vt:variant>
        <vt:i4>1835063</vt:i4>
      </vt:variant>
      <vt:variant>
        <vt:i4>698</vt:i4>
      </vt:variant>
      <vt:variant>
        <vt:i4>0</vt:i4>
      </vt:variant>
      <vt:variant>
        <vt:i4>5</vt:i4>
      </vt:variant>
      <vt:variant>
        <vt:lpwstr/>
      </vt:variant>
      <vt:variant>
        <vt:lpwstr>_Toc374448400</vt:lpwstr>
      </vt:variant>
      <vt:variant>
        <vt:i4>1376304</vt:i4>
      </vt:variant>
      <vt:variant>
        <vt:i4>692</vt:i4>
      </vt:variant>
      <vt:variant>
        <vt:i4>0</vt:i4>
      </vt:variant>
      <vt:variant>
        <vt:i4>5</vt:i4>
      </vt:variant>
      <vt:variant>
        <vt:lpwstr/>
      </vt:variant>
      <vt:variant>
        <vt:lpwstr>_Toc374448399</vt:lpwstr>
      </vt:variant>
      <vt:variant>
        <vt:i4>1376304</vt:i4>
      </vt:variant>
      <vt:variant>
        <vt:i4>686</vt:i4>
      </vt:variant>
      <vt:variant>
        <vt:i4>0</vt:i4>
      </vt:variant>
      <vt:variant>
        <vt:i4>5</vt:i4>
      </vt:variant>
      <vt:variant>
        <vt:lpwstr/>
      </vt:variant>
      <vt:variant>
        <vt:lpwstr>_Toc374448398</vt:lpwstr>
      </vt:variant>
      <vt:variant>
        <vt:i4>1376304</vt:i4>
      </vt:variant>
      <vt:variant>
        <vt:i4>680</vt:i4>
      </vt:variant>
      <vt:variant>
        <vt:i4>0</vt:i4>
      </vt:variant>
      <vt:variant>
        <vt:i4>5</vt:i4>
      </vt:variant>
      <vt:variant>
        <vt:lpwstr/>
      </vt:variant>
      <vt:variant>
        <vt:lpwstr>_Toc374448397</vt:lpwstr>
      </vt:variant>
      <vt:variant>
        <vt:i4>1376304</vt:i4>
      </vt:variant>
      <vt:variant>
        <vt:i4>674</vt:i4>
      </vt:variant>
      <vt:variant>
        <vt:i4>0</vt:i4>
      </vt:variant>
      <vt:variant>
        <vt:i4>5</vt:i4>
      </vt:variant>
      <vt:variant>
        <vt:lpwstr/>
      </vt:variant>
      <vt:variant>
        <vt:lpwstr>_Toc374448396</vt:lpwstr>
      </vt:variant>
      <vt:variant>
        <vt:i4>1376304</vt:i4>
      </vt:variant>
      <vt:variant>
        <vt:i4>668</vt:i4>
      </vt:variant>
      <vt:variant>
        <vt:i4>0</vt:i4>
      </vt:variant>
      <vt:variant>
        <vt:i4>5</vt:i4>
      </vt:variant>
      <vt:variant>
        <vt:lpwstr/>
      </vt:variant>
      <vt:variant>
        <vt:lpwstr>_Toc374448395</vt:lpwstr>
      </vt:variant>
      <vt:variant>
        <vt:i4>1376304</vt:i4>
      </vt:variant>
      <vt:variant>
        <vt:i4>662</vt:i4>
      </vt:variant>
      <vt:variant>
        <vt:i4>0</vt:i4>
      </vt:variant>
      <vt:variant>
        <vt:i4>5</vt:i4>
      </vt:variant>
      <vt:variant>
        <vt:lpwstr/>
      </vt:variant>
      <vt:variant>
        <vt:lpwstr>_Toc374448394</vt:lpwstr>
      </vt:variant>
      <vt:variant>
        <vt:i4>1376304</vt:i4>
      </vt:variant>
      <vt:variant>
        <vt:i4>656</vt:i4>
      </vt:variant>
      <vt:variant>
        <vt:i4>0</vt:i4>
      </vt:variant>
      <vt:variant>
        <vt:i4>5</vt:i4>
      </vt:variant>
      <vt:variant>
        <vt:lpwstr/>
      </vt:variant>
      <vt:variant>
        <vt:lpwstr>_Toc374448393</vt:lpwstr>
      </vt:variant>
      <vt:variant>
        <vt:i4>1376304</vt:i4>
      </vt:variant>
      <vt:variant>
        <vt:i4>650</vt:i4>
      </vt:variant>
      <vt:variant>
        <vt:i4>0</vt:i4>
      </vt:variant>
      <vt:variant>
        <vt:i4>5</vt:i4>
      </vt:variant>
      <vt:variant>
        <vt:lpwstr/>
      </vt:variant>
      <vt:variant>
        <vt:lpwstr>_Toc374448392</vt:lpwstr>
      </vt:variant>
      <vt:variant>
        <vt:i4>1376304</vt:i4>
      </vt:variant>
      <vt:variant>
        <vt:i4>644</vt:i4>
      </vt:variant>
      <vt:variant>
        <vt:i4>0</vt:i4>
      </vt:variant>
      <vt:variant>
        <vt:i4>5</vt:i4>
      </vt:variant>
      <vt:variant>
        <vt:lpwstr/>
      </vt:variant>
      <vt:variant>
        <vt:lpwstr>_Toc374448391</vt:lpwstr>
      </vt:variant>
      <vt:variant>
        <vt:i4>1376304</vt:i4>
      </vt:variant>
      <vt:variant>
        <vt:i4>638</vt:i4>
      </vt:variant>
      <vt:variant>
        <vt:i4>0</vt:i4>
      </vt:variant>
      <vt:variant>
        <vt:i4>5</vt:i4>
      </vt:variant>
      <vt:variant>
        <vt:lpwstr/>
      </vt:variant>
      <vt:variant>
        <vt:lpwstr>_Toc374448390</vt:lpwstr>
      </vt:variant>
      <vt:variant>
        <vt:i4>1310768</vt:i4>
      </vt:variant>
      <vt:variant>
        <vt:i4>632</vt:i4>
      </vt:variant>
      <vt:variant>
        <vt:i4>0</vt:i4>
      </vt:variant>
      <vt:variant>
        <vt:i4>5</vt:i4>
      </vt:variant>
      <vt:variant>
        <vt:lpwstr/>
      </vt:variant>
      <vt:variant>
        <vt:lpwstr>_Toc374448389</vt:lpwstr>
      </vt:variant>
      <vt:variant>
        <vt:i4>1310768</vt:i4>
      </vt:variant>
      <vt:variant>
        <vt:i4>626</vt:i4>
      </vt:variant>
      <vt:variant>
        <vt:i4>0</vt:i4>
      </vt:variant>
      <vt:variant>
        <vt:i4>5</vt:i4>
      </vt:variant>
      <vt:variant>
        <vt:lpwstr/>
      </vt:variant>
      <vt:variant>
        <vt:lpwstr>_Toc374448388</vt:lpwstr>
      </vt:variant>
      <vt:variant>
        <vt:i4>1310768</vt:i4>
      </vt:variant>
      <vt:variant>
        <vt:i4>620</vt:i4>
      </vt:variant>
      <vt:variant>
        <vt:i4>0</vt:i4>
      </vt:variant>
      <vt:variant>
        <vt:i4>5</vt:i4>
      </vt:variant>
      <vt:variant>
        <vt:lpwstr/>
      </vt:variant>
      <vt:variant>
        <vt:lpwstr>_Toc374448387</vt:lpwstr>
      </vt:variant>
      <vt:variant>
        <vt:i4>1310768</vt:i4>
      </vt:variant>
      <vt:variant>
        <vt:i4>614</vt:i4>
      </vt:variant>
      <vt:variant>
        <vt:i4>0</vt:i4>
      </vt:variant>
      <vt:variant>
        <vt:i4>5</vt:i4>
      </vt:variant>
      <vt:variant>
        <vt:lpwstr/>
      </vt:variant>
      <vt:variant>
        <vt:lpwstr>_Toc374448386</vt:lpwstr>
      </vt:variant>
      <vt:variant>
        <vt:i4>1310768</vt:i4>
      </vt:variant>
      <vt:variant>
        <vt:i4>608</vt:i4>
      </vt:variant>
      <vt:variant>
        <vt:i4>0</vt:i4>
      </vt:variant>
      <vt:variant>
        <vt:i4>5</vt:i4>
      </vt:variant>
      <vt:variant>
        <vt:lpwstr/>
      </vt:variant>
      <vt:variant>
        <vt:lpwstr>_Toc374448385</vt:lpwstr>
      </vt:variant>
      <vt:variant>
        <vt:i4>1310768</vt:i4>
      </vt:variant>
      <vt:variant>
        <vt:i4>602</vt:i4>
      </vt:variant>
      <vt:variant>
        <vt:i4>0</vt:i4>
      </vt:variant>
      <vt:variant>
        <vt:i4>5</vt:i4>
      </vt:variant>
      <vt:variant>
        <vt:lpwstr/>
      </vt:variant>
      <vt:variant>
        <vt:lpwstr>_Toc374448384</vt:lpwstr>
      </vt:variant>
      <vt:variant>
        <vt:i4>1310768</vt:i4>
      </vt:variant>
      <vt:variant>
        <vt:i4>596</vt:i4>
      </vt:variant>
      <vt:variant>
        <vt:i4>0</vt:i4>
      </vt:variant>
      <vt:variant>
        <vt:i4>5</vt:i4>
      </vt:variant>
      <vt:variant>
        <vt:lpwstr/>
      </vt:variant>
      <vt:variant>
        <vt:lpwstr>_Toc374448383</vt:lpwstr>
      </vt:variant>
      <vt:variant>
        <vt:i4>1310768</vt:i4>
      </vt:variant>
      <vt:variant>
        <vt:i4>590</vt:i4>
      </vt:variant>
      <vt:variant>
        <vt:i4>0</vt:i4>
      </vt:variant>
      <vt:variant>
        <vt:i4>5</vt:i4>
      </vt:variant>
      <vt:variant>
        <vt:lpwstr/>
      </vt:variant>
      <vt:variant>
        <vt:lpwstr>_Toc374448382</vt:lpwstr>
      </vt:variant>
      <vt:variant>
        <vt:i4>1310768</vt:i4>
      </vt:variant>
      <vt:variant>
        <vt:i4>584</vt:i4>
      </vt:variant>
      <vt:variant>
        <vt:i4>0</vt:i4>
      </vt:variant>
      <vt:variant>
        <vt:i4>5</vt:i4>
      </vt:variant>
      <vt:variant>
        <vt:lpwstr/>
      </vt:variant>
      <vt:variant>
        <vt:lpwstr>_Toc374448381</vt:lpwstr>
      </vt:variant>
      <vt:variant>
        <vt:i4>1310768</vt:i4>
      </vt:variant>
      <vt:variant>
        <vt:i4>578</vt:i4>
      </vt:variant>
      <vt:variant>
        <vt:i4>0</vt:i4>
      </vt:variant>
      <vt:variant>
        <vt:i4>5</vt:i4>
      </vt:variant>
      <vt:variant>
        <vt:lpwstr/>
      </vt:variant>
      <vt:variant>
        <vt:lpwstr>_Toc374448380</vt:lpwstr>
      </vt:variant>
      <vt:variant>
        <vt:i4>1769520</vt:i4>
      </vt:variant>
      <vt:variant>
        <vt:i4>572</vt:i4>
      </vt:variant>
      <vt:variant>
        <vt:i4>0</vt:i4>
      </vt:variant>
      <vt:variant>
        <vt:i4>5</vt:i4>
      </vt:variant>
      <vt:variant>
        <vt:lpwstr/>
      </vt:variant>
      <vt:variant>
        <vt:lpwstr>_Toc374448379</vt:lpwstr>
      </vt:variant>
      <vt:variant>
        <vt:i4>1769520</vt:i4>
      </vt:variant>
      <vt:variant>
        <vt:i4>566</vt:i4>
      </vt:variant>
      <vt:variant>
        <vt:i4>0</vt:i4>
      </vt:variant>
      <vt:variant>
        <vt:i4>5</vt:i4>
      </vt:variant>
      <vt:variant>
        <vt:lpwstr/>
      </vt:variant>
      <vt:variant>
        <vt:lpwstr>_Toc374448378</vt:lpwstr>
      </vt:variant>
      <vt:variant>
        <vt:i4>1769520</vt:i4>
      </vt:variant>
      <vt:variant>
        <vt:i4>560</vt:i4>
      </vt:variant>
      <vt:variant>
        <vt:i4>0</vt:i4>
      </vt:variant>
      <vt:variant>
        <vt:i4>5</vt:i4>
      </vt:variant>
      <vt:variant>
        <vt:lpwstr/>
      </vt:variant>
      <vt:variant>
        <vt:lpwstr>_Toc374448377</vt:lpwstr>
      </vt:variant>
      <vt:variant>
        <vt:i4>1769520</vt:i4>
      </vt:variant>
      <vt:variant>
        <vt:i4>554</vt:i4>
      </vt:variant>
      <vt:variant>
        <vt:i4>0</vt:i4>
      </vt:variant>
      <vt:variant>
        <vt:i4>5</vt:i4>
      </vt:variant>
      <vt:variant>
        <vt:lpwstr/>
      </vt:variant>
      <vt:variant>
        <vt:lpwstr>_Toc374448376</vt:lpwstr>
      </vt:variant>
      <vt:variant>
        <vt:i4>1769520</vt:i4>
      </vt:variant>
      <vt:variant>
        <vt:i4>548</vt:i4>
      </vt:variant>
      <vt:variant>
        <vt:i4>0</vt:i4>
      </vt:variant>
      <vt:variant>
        <vt:i4>5</vt:i4>
      </vt:variant>
      <vt:variant>
        <vt:lpwstr/>
      </vt:variant>
      <vt:variant>
        <vt:lpwstr>_Toc374448375</vt:lpwstr>
      </vt:variant>
      <vt:variant>
        <vt:i4>1769520</vt:i4>
      </vt:variant>
      <vt:variant>
        <vt:i4>542</vt:i4>
      </vt:variant>
      <vt:variant>
        <vt:i4>0</vt:i4>
      </vt:variant>
      <vt:variant>
        <vt:i4>5</vt:i4>
      </vt:variant>
      <vt:variant>
        <vt:lpwstr/>
      </vt:variant>
      <vt:variant>
        <vt:lpwstr>_Toc374448374</vt:lpwstr>
      </vt:variant>
      <vt:variant>
        <vt:i4>1769520</vt:i4>
      </vt:variant>
      <vt:variant>
        <vt:i4>536</vt:i4>
      </vt:variant>
      <vt:variant>
        <vt:i4>0</vt:i4>
      </vt:variant>
      <vt:variant>
        <vt:i4>5</vt:i4>
      </vt:variant>
      <vt:variant>
        <vt:lpwstr/>
      </vt:variant>
      <vt:variant>
        <vt:lpwstr>_Toc374448373</vt:lpwstr>
      </vt:variant>
      <vt:variant>
        <vt:i4>1769520</vt:i4>
      </vt:variant>
      <vt:variant>
        <vt:i4>530</vt:i4>
      </vt:variant>
      <vt:variant>
        <vt:i4>0</vt:i4>
      </vt:variant>
      <vt:variant>
        <vt:i4>5</vt:i4>
      </vt:variant>
      <vt:variant>
        <vt:lpwstr/>
      </vt:variant>
      <vt:variant>
        <vt:lpwstr>_Toc374448372</vt:lpwstr>
      </vt:variant>
      <vt:variant>
        <vt:i4>1769520</vt:i4>
      </vt:variant>
      <vt:variant>
        <vt:i4>524</vt:i4>
      </vt:variant>
      <vt:variant>
        <vt:i4>0</vt:i4>
      </vt:variant>
      <vt:variant>
        <vt:i4>5</vt:i4>
      </vt:variant>
      <vt:variant>
        <vt:lpwstr/>
      </vt:variant>
      <vt:variant>
        <vt:lpwstr>_Toc374448371</vt:lpwstr>
      </vt:variant>
      <vt:variant>
        <vt:i4>1769520</vt:i4>
      </vt:variant>
      <vt:variant>
        <vt:i4>518</vt:i4>
      </vt:variant>
      <vt:variant>
        <vt:i4>0</vt:i4>
      </vt:variant>
      <vt:variant>
        <vt:i4>5</vt:i4>
      </vt:variant>
      <vt:variant>
        <vt:lpwstr/>
      </vt:variant>
      <vt:variant>
        <vt:lpwstr>_Toc374448370</vt:lpwstr>
      </vt:variant>
      <vt:variant>
        <vt:i4>1703984</vt:i4>
      </vt:variant>
      <vt:variant>
        <vt:i4>512</vt:i4>
      </vt:variant>
      <vt:variant>
        <vt:i4>0</vt:i4>
      </vt:variant>
      <vt:variant>
        <vt:i4>5</vt:i4>
      </vt:variant>
      <vt:variant>
        <vt:lpwstr/>
      </vt:variant>
      <vt:variant>
        <vt:lpwstr>_Toc374448369</vt:lpwstr>
      </vt:variant>
      <vt:variant>
        <vt:i4>1703984</vt:i4>
      </vt:variant>
      <vt:variant>
        <vt:i4>506</vt:i4>
      </vt:variant>
      <vt:variant>
        <vt:i4>0</vt:i4>
      </vt:variant>
      <vt:variant>
        <vt:i4>5</vt:i4>
      </vt:variant>
      <vt:variant>
        <vt:lpwstr/>
      </vt:variant>
      <vt:variant>
        <vt:lpwstr>_Toc374448368</vt:lpwstr>
      </vt:variant>
      <vt:variant>
        <vt:i4>1703984</vt:i4>
      </vt:variant>
      <vt:variant>
        <vt:i4>500</vt:i4>
      </vt:variant>
      <vt:variant>
        <vt:i4>0</vt:i4>
      </vt:variant>
      <vt:variant>
        <vt:i4>5</vt:i4>
      </vt:variant>
      <vt:variant>
        <vt:lpwstr/>
      </vt:variant>
      <vt:variant>
        <vt:lpwstr>_Toc374448367</vt:lpwstr>
      </vt:variant>
      <vt:variant>
        <vt:i4>1703984</vt:i4>
      </vt:variant>
      <vt:variant>
        <vt:i4>494</vt:i4>
      </vt:variant>
      <vt:variant>
        <vt:i4>0</vt:i4>
      </vt:variant>
      <vt:variant>
        <vt:i4>5</vt:i4>
      </vt:variant>
      <vt:variant>
        <vt:lpwstr/>
      </vt:variant>
      <vt:variant>
        <vt:lpwstr>_Toc374448366</vt:lpwstr>
      </vt:variant>
      <vt:variant>
        <vt:i4>1703984</vt:i4>
      </vt:variant>
      <vt:variant>
        <vt:i4>488</vt:i4>
      </vt:variant>
      <vt:variant>
        <vt:i4>0</vt:i4>
      </vt:variant>
      <vt:variant>
        <vt:i4>5</vt:i4>
      </vt:variant>
      <vt:variant>
        <vt:lpwstr/>
      </vt:variant>
      <vt:variant>
        <vt:lpwstr>_Toc374448365</vt:lpwstr>
      </vt:variant>
      <vt:variant>
        <vt:i4>1703984</vt:i4>
      </vt:variant>
      <vt:variant>
        <vt:i4>482</vt:i4>
      </vt:variant>
      <vt:variant>
        <vt:i4>0</vt:i4>
      </vt:variant>
      <vt:variant>
        <vt:i4>5</vt:i4>
      </vt:variant>
      <vt:variant>
        <vt:lpwstr/>
      </vt:variant>
      <vt:variant>
        <vt:lpwstr>_Toc374448364</vt:lpwstr>
      </vt:variant>
      <vt:variant>
        <vt:i4>1703984</vt:i4>
      </vt:variant>
      <vt:variant>
        <vt:i4>476</vt:i4>
      </vt:variant>
      <vt:variant>
        <vt:i4>0</vt:i4>
      </vt:variant>
      <vt:variant>
        <vt:i4>5</vt:i4>
      </vt:variant>
      <vt:variant>
        <vt:lpwstr/>
      </vt:variant>
      <vt:variant>
        <vt:lpwstr>_Toc374448363</vt:lpwstr>
      </vt:variant>
      <vt:variant>
        <vt:i4>1703984</vt:i4>
      </vt:variant>
      <vt:variant>
        <vt:i4>470</vt:i4>
      </vt:variant>
      <vt:variant>
        <vt:i4>0</vt:i4>
      </vt:variant>
      <vt:variant>
        <vt:i4>5</vt:i4>
      </vt:variant>
      <vt:variant>
        <vt:lpwstr/>
      </vt:variant>
      <vt:variant>
        <vt:lpwstr>_Toc374448362</vt:lpwstr>
      </vt:variant>
      <vt:variant>
        <vt:i4>1703984</vt:i4>
      </vt:variant>
      <vt:variant>
        <vt:i4>464</vt:i4>
      </vt:variant>
      <vt:variant>
        <vt:i4>0</vt:i4>
      </vt:variant>
      <vt:variant>
        <vt:i4>5</vt:i4>
      </vt:variant>
      <vt:variant>
        <vt:lpwstr/>
      </vt:variant>
      <vt:variant>
        <vt:lpwstr>_Toc374448361</vt:lpwstr>
      </vt:variant>
      <vt:variant>
        <vt:i4>1703984</vt:i4>
      </vt:variant>
      <vt:variant>
        <vt:i4>458</vt:i4>
      </vt:variant>
      <vt:variant>
        <vt:i4>0</vt:i4>
      </vt:variant>
      <vt:variant>
        <vt:i4>5</vt:i4>
      </vt:variant>
      <vt:variant>
        <vt:lpwstr/>
      </vt:variant>
      <vt:variant>
        <vt:lpwstr>_Toc374448360</vt:lpwstr>
      </vt:variant>
      <vt:variant>
        <vt:i4>1638448</vt:i4>
      </vt:variant>
      <vt:variant>
        <vt:i4>452</vt:i4>
      </vt:variant>
      <vt:variant>
        <vt:i4>0</vt:i4>
      </vt:variant>
      <vt:variant>
        <vt:i4>5</vt:i4>
      </vt:variant>
      <vt:variant>
        <vt:lpwstr/>
      </vt:variant>
      <vt:variant>
        <vt:lpwstr>_Toc374448359</vt:lpwstr>
      </vt:variant>
      <vt:variant>
        <vt:i4>1638448</vt:i4>
      </vt:variant>
      <vt:variant>
        <vt:i4>446</vt:i4>
      </vt:variant>
      <vt:variant>
        <vt:i4>0</vt:i4>
      </vt:variant>
      <vt:variant>
        <vt:i4>5</vt:i4>
      </vt:variant>
      <vt:variant>
        <vt:lpwstr/>
      </vt:variant>
      <vt:variant>
        <vt:lpwstr>_Toc374448358</vt:lpwstr>
      </vt:variant>
      <vt:variant>
        <vt:i4>1638448</vt:i4>
      </vt:variant>
      <vt:variant>
        <vt:i4>440</vt:i4>
      </vt:variant>
      <vt:variant>
        <vt:i4>0</vt:i4>
      </vt:variant>
      <vt:variant>
        <vt:i4>5</vt:i4>
      </vt:variant>
      <vt:variant>
        <vt:lpwstr/>
      </vt:variant>
      <vt:variant>
        <vt:lpwstr>_Toc374448357</vt:lpwstr>
      </vt:variant>
      <vt:variant>
        <vt:i4>1638448</vt:i4>
      </vt:variant>
      <vt:variant>
        <vt:i4>434</vt:i4>
      </vt:variant>
      <vt:variant>
        <vt:i4>0</vt:i4>
      </vt:variant>
      <vt:variant>
        <vt:i4>5</vt:i4>
      </vt:variant>
      <vt:variant>
        <vt:lpwstr/>
      </vt:variant>
      <vt:variant>
        <vt:lpwstr>_Toc374448356</vt:lpwstr>
      </vt:variant>
      <vt:variant>
        <vt:i4>1638448</vt:i4>
      </vt:variant>
      <vt:variant>
        <vt:i4>428</vt:i4>
      </vt:variant>
      <vt:variant>
        <vt:i4>0</vt:i4>
      </vt:variant>
      <vt:variant>
        <vt:i4>5</vt:i4>
      </vt:variant>
      <vt:variant>
        <vt:lpwstr/>
      </vt:variant>
      <vt:variant>
        <vt:lpwstr>_Toc374448355</vt:lpwstr>
      </vt:variant>
      <vt:variant>
        <vt:i4>1638448</vt:i4>
      </vt:variant>
      <vt:variant>
        <vt:i4>422</vt:i4>
      </vt:variant>
      <vt:variant>
        <vt:i4>0</vt:i4>
      </vt:variant>
      <vt:variant>
        <vt:i4>5</vt:i4>
      </vt:variant>
      <vt:variant>
        <vt:lpwstr/>
      </vt:variant>
      <vt:variant>
        <vt:lpwstr>_Toc374448354</vt:lpwstr>
      </vt:variant>
      <vt:variant>
        <vt:i4>1638448</vt:i4>
      </vt:variant>
      <vt:variant>
        <vt:i4>416</vt:i4>
      </vt:variant>
      <vt:variant>
        <vt:i4>0</vt:i4>
      </vt:variant>
      <vt:variant>
        <vt:i4>5</vt:i4>
      </vt:variant>
      <vt:variant>
        <vt:lpwstr/>
      </vt:variant>
      <vt:variant>
        <vt:lpwstr>_Toc374448353</vt:lpwstr>
      </vt:variant>
      <vt:variant>
        <vt:i4>1638448</vt:i4>
      </vt:variant>
      <vt:variant>
        <vt:i4>410</vt:i4>
      </vt:variant>
      <vt:variant>
        <vt:i4>0</vt:i4>
      </vt:variant>
      <vt:variant>
        <vt:i4>5</vt:i4>
      </vt:variant>
      <vt:variant>
        <vt:lpwstr/>
      </vt:variant>
      <vt:variant>
        <vt:lpwstr>_Toc374448352</vt:lpwstr>
      </vt:variant>
      <vt:variant>
        <vt:i4>1638448</vt:i4>
      </vt:variant>
      <vt:variant>
        <vt:i4>404</vt:i4>
      </vt:variant>
      <vt:variant>
        <vt:i4>0</vt:i4>
      </vt:variant>
      <vt:variant>
        <vt:i4>5</vt:i4>
      </vt:variant>
      <vt:variant>
        <vt:lpwstr/>
      </vt:variant>
      <vt:variant>
        <vt:lpwstr>_Toc374448351</vt:lpwstr>
      </vt:variant>
      <vt:variant>
        <vt:i4>1638448</vt:i4>
      </vt:variant>
      <vt:variant>
        <vt:i4>398</vt:i4>
      </vt:variant>
      <vt:variant>
        <vt:i4>0</vt:i4>
      </vt:variant>
      <vt:variant>
        <vt:i4>5</vt:i4>
      </vt:variant>
      <vt:variant>
        <vt:lpwstr/>
      </vt:variant>
      <vt:variant>
        <vt:lpwstr>_Toc374448350</vt:lpwstr>
      </vt:variant>
      <vt:variant>
        <vt:i4>1572912</vt:i4>
      </vt:variant>
      <vt:variant>
        <vt:i4>392</vt:i4>
      </vt:variant>
      <vt:variant>
        <vt:i4>0</vt:i4>
      </vt:variant>
      <vt:variant>
        <vt:i4>5</vt:i4>
      </vt:variant>
      <vt:variant>
        <vt:lpwstr/>
      </vt:variant>
      <vt:variant>
        <vt:lpwstr>_Toc374448349</vt:lpwstr>
      </vt:variant>
      <vt:variant>
        <vt:i4>1572912</vt:i4>
      </vt:variant>
      <vt:variant>
        <vt:i4>386</vt:i4>
      </vt:variant>
      <vt:variant>
        <vt:i4>0</vt:i4>
      </vt:variant>
      <vt:variant>
        <vt:i4>5</vt:i4>
      </vt:variant>
      <vt:variant>
        <vt:lpwstr/>
      </vt:variant>
      <vt:variant>
        <vt:lpwstr>_Toc374448348</vt:lpwstr>
      </vt:variant>
      <vt:variant>
        <vt:i4>1572912</vt:i4>
      </vt:variant>
      <vt:variant>
        <vt:i4>380</vt:i4>
      </vt:variant>
      <vt:variant>
        <vt:i4>0</vt:i4>
      </vt:variant>
      <vt:variant>
        <vt:i4>5</vt:i4>
      </vt:variant>
      <vt:variant>
        <vt:lpwstr/>
      </vt:variant>
      <vt:variant>
        <vt:lpwstr>_Toc374448347</vt:lpwstr>
      </vt:variant>
      <vt:variant>
        <vt:i4>1572912</vt:i4>
      </vt:variant>
      <vt:variant>
        <vt:i4>374</vt:i4>
      </vt:variant>
      <vt:variant>
        <vt:i4>0</vt:i4>
      </vt:variant>
      <vt:variant>
        <vt:i4>5</vt:i4>
      </vt:variant>
      <vt:variant>
        <vt:lpwstr/>
      </vt:variant>
      <vt:variant>
        <vt:lpwstr>_Toc374448346</vt:lpwstr>
      </vt:variant>
      <vt:variant>
        <vt:i4>1572912</vt:i4>
      </vt:variant>
      <vt:variant>
        <vt:i4>368</vt:i4>
      </vt:variant>
      <vt:variant>
        <vt:i4>0</vt:i4>
      </vt:variant>
      <vt:variant>
        <vt:i4>5</vt:i4>
      </vt:variant>
      <vt:variant>
        <vt:lpwstr/>
      </vt:variant>
      <vt:variant>
        <vt:lpwstr>_Toc374448345</vt:lpwstr>
      </vt:variant>
      <vt:variant>
        <vt:i4>1572912</vt:i4>
      </vt:variant>
      <vt:variant>
        <vt:i4>362</vt:i4>
      </vt:variant>
      <vt:variant>
        <vt:i4>0</vt:i4>
      </vt:variant>
      <vt:variant>
        <vt:i4>5</vt:i4>
      </vt:variant>
      <vt:variant>
        <vt:lpwstr/>
      </vt:variant>
      <vt:variant>
        <vt:lpwstr>_Toc374448344</vt:lpwstr>
      </vt:variant>
      <vt:variant>
        <vt:i4>1572912</vt:i4>
      </vt:variant>
      <vt:variant>
        <vt:i4>356</vt:i4>
      </vt:variant>
      <vt:variant>
        <vt:i4>0</vt:i4>
      </vt:variant>
      <vt:variant>
        <vt:i4>5</vt:i4>
      </vt:variant>
      <vt:variant>
        <vt:lpwstr/>
      </vt:variant>
      <vt:variant>
        <vt:lpwstr>_Toc374448343</vt:lpwstr>
      </vt:variant>
      <vt:variant>
        <vt:i4>1572912</vt:i4>
      </vt:variant>
      <vt:variant>
        <vt:i4>350</vt:i4>
      </vt:variant>
      <vt:variant>
        <vt:i4>0</vt:i4>
      </vt:variant>
      <vt:variant>
        <vt:i4>5</vt:i4>
      </vt:variant>
      <vt:variant>
        <vt:lpwstr/>
      </vt:variant>
      <vt:variant>
        <vt:lpwstr>_Toc374448342</vt:lpwstr>
      </vt:variant>
      <vt:variant>
        <vt:i4>1572912</vt:i4>
      </vt:variant>
      <vt:variant>
        <vt:i4>344</vt:i4>
      </vt:variant>
      <vt:variant>
        <vt:i4>0</vt:i4>
      </vt:variant>
      <vt:variant>
        <vt:i4>5</vt:i4>
      </vt:variant>
      <vt:variant>
        <vt:lpwstr/>
      </vt:variant>
      <vt:variant>
        <vt:lpwstr>_Toc374448341</vt:lpwstr>
      </vt:variant>
      <vt:variant>
        <vt:i4>1572912</vt:i4>
      </vt:variant>
      <vt:variant>
        <vt:i4>338</vt:i4>
      </vt:variant>
      <vt:variant>
        <vt:i4>0</vt:i4>
      </vt:variant>
      <vt:variant>
        <vt:i4>5</vt:i4>
      </vt:variant>
      <vt:variant>
        <vt:lpwstr/>
      </vt:variant>
      <vt:variant>
        <vt:lpwstr>_Toc374448340</vt:lpwstr>
      </vt:variant>
      <vt:variant>
        <vt:i4>2031664</vt:i4>
      </vt:variant>
      <vt:variant>
        <vt:i4>332</vt:i4>
      </vt:variant>
      <vt:variant>
        <vt:i4>0</vt:i4>
      </vt:variant>
      <vt:variant>
        <vt:i4>5</vt:i4>
      </vt:variant>
      <vt:variant>
        <vt:lpwstr/>
      </vt:variant>
      <vt:variant>
        <vt:lpwstr>_Toc374448339</vt:lpwstr>
      </vt:variant>
      <vt:variant>
        <vt:i4>2031664</vt:i4>
      </vt:variant>
      <vt:variant>
        <vt:i4>326</vt:i4>
      </vt:variant>
      <vt:variant>
        <vt:i4>0</vt:i4>
      </vt:variant>
      <vt:variant>
        <vt:i4>5</vt:i4>
      </vt:variant>
      <vt:variant>
        <vt:lpwstr/>
      </vt:variant>
      <vt:variant>
        <vt:lpwstr>_Toc374448338</vt:lpwstr>
      </vt:variant>
      <vt:variant>
        <vt:i4>2031664</vt:i4>
      </vt:variant>
      <vt:variant>
        <vt:i4>320</vt:i4>
      </vt:variant>
      <vt:variant>
        <vt:i4>0</vt:i4>
      </vt:variant>
      <vt:variant>
        <vt:i4>5</vt:i4>
      </vt:variant>
      <vt:variant>
        <vt:lpwstr/>
      </vt:variant>
      <vt:variant>
        <vt:lpwstr>_Toc374448337</vt:lpwstr>
      </vt:variant>
      <vt:variant>
        <vt:i4>2031664</vt:i4>
      </vt:variant>
      <vt:variant>
        <vt:i4>314</vt:i4>
      </vt:variant>
      <vt:variant>
        <vt:i4>0</vt:i4>
      </vt:variant>
      <vt:variant>
        <vt:i4>5</vt:i4>
      </vt:variant>
      <vt:variant>
        <vt:lpwstr/>
      </vt:variant>
      <vt:variant>
        <vt:lpwstr>_Toc374448336</vt:lpwstr>
      </vt:variant>
      <vt:variant>
        <vt:i4>2031664</vt:i4>
      </vt:variant>
      <vt:variant>
        <vt:i4>308</vt:i4>
      </vt:variant>
      <vt:variant>
        <vt:i4>0</vt:i4>
      </vt:variant>
      <vt:variant>
        <vt:i4>5</vt:i4>
      </vt:variant>
      <vt:variant>
        <vt:lpwstr/>
      </vt:variant>
      <vt:variant>
        <vt:lpwstr>_Toc374448335</vt:lpwstr>
      </vt:variant>
      <vt:variant>
        <vt:i4>2031664</vt:i4>
      </vt:variant>
      <vt:variant>
        <vt:i4>302</vt:i4>
      </vt:variant>
      <vt:variant>
        <vt:i4>0</vt:i4>
      </vt:variant>
      <vt:variant>
        <vt:i4>5</vt:i4>
      </vt:variant>
      <vt:variant>
        <vt:lpwstr/>
      </vt:variant>
      <vt:variant>
        <vt:lpwstr>_Toc374448334</vt:lpwstr>
      </vt:variant>
      <vt:variant>
        <vt:i4>2031664</vt:i4>
      </vt:variant>
      <vt:variant>
        <vt:i4>296</vt:i4>
      </vt:variant>
      <vt:variant>
        <vt:i4>0</vt:i4>
      </vt:variant>
      <vt:variant>
        <vt:i4>5</vt:i4>
      </vt:variant>
      <vt:variant>
        <vt:lpwstr/>
      </vt:variant>
      <vt:variant>
        <vt:lpwstr>_Toc374448333</vt:lpwstr>
      </vt:variant>
      <vt:variant>
        <vt:i4>2031664</vt:i4>
      </vt:variant>
      <vt:variant>
        <vt:i4>290</vt:i4>
      </vt:variant>
      <vt:variant>
        <vt:i4>0</vt:i4>
      </vt:variant>
      <vt:variant>
        <vt:i4>5</vt:i4>
      </vt:variant>
      <vt:variant>
        <vt:lpwstr/>
      </vt:variant>
      <vt:variant>
        <vt:lpwstr>_Toc374448332</vt:lpwstr>
      </vt:variant>
      <vt:variant>
        <vt:i4>2031664</vt:i4>
      </vt:variant>
      <vt:variant>
        <vt:i4>284</vt:i4>
      </vt:variant>
      <vt:variant>
        <vt:i4>0</vt:i4>
      </vt:variant>
      <vt:variant>
        <vt:i4>5</vt:i4>
      </vt:variant>
      <vt:variant>
        <vt:lpwstr/>
      </vt:variant>
      <vt:variant>
        <vt:lpwstr>_Toc374448331</vt:lpwstr>
      </vt:variant>
      <vt:variant>
        <vt:i4>2031664</vt:i4>
      </vt:variant>
      <vt:variant>
        <vt:i4>278</vt:i4>
      </vt:variant>
      <vt:variant>
        <vt:i4>0</vt:i4>
      </vt:variant>
      <vt:variant>
        <vt:i4>5</vt:i4>
      </vt:variant>
      <vt:variant>
        <vt:lpwstr/>
      </vt:variant>
      <vt:variant>
        <vt:lpwstr>_Toc374448330</vt:lpwstr>
      </vt:variant>
      <vt:variant>
        <vt:i4>1966128</vt:i4>
      </vt:variant>
      <vt:variant>
        <vt:i4>272</vt:i4>
      </vt:variant>
      <vt:variant>
        <vt:i4>0</vt:i4>
      </vt:variant>
      <vt:variant>
        <vt:i4>5</vt:i4>
      </vt:variant>
      <vt:variant>
        <vt:lpwstr/>
      </vt:variant>
      <vt:variant>
        <vt:lpwstr>_Toc374448329</vt:lpwstr>
      </vt:variant>
      <vt:variant>
        <vt:i4>1966128</vt:i4>
      </vt:variant>
      <vt:variant>
        <vt:i4>266</vt:i4>
      </vt:variant>
      <vt:variant>
        <vt:i4>0</vt:i4>
      </vt:variant>
      <vt:variant>
        <vt:i4>5</vt:i4>
      </vt:variant>
      <vt:variant>
        <vt:lpwstr/>
      </vt:variant>
      <vt:variant>
        <vt:lpwstr>_Toc374448328</vt:lpwstr>
      </vt:variant>
      <vt:variant>
        <vt:i4>1966128</vt:i4>
      </vt:variant>
      <vt:variant>
        <vt:i4>260</vt:i4>
      </vt:variant>
      <vt:variant>
        <vt:i4>0</vt:i4>
      </vt:variant>
      <vt:variant>
        <vt:i4>5</vt:i4>
      </vt:variant>
      <vt:variant>
        <vt:lpwstr/>
      </vt:variant>
      <vt:variant>
        <vt:lpwstr>_Toc374448327</vt:lpwstr>
      </vt:variant>
      <vt:variant>
        <vt:i4>1966128</vt:i4>
      </vt:variant>
      <vt:variant>
        <vt:i4>254</vt:i4>
      </vt:variant>
      <vt:variant>
        <vt:i4>0</vt:i4>
      </vt:variant>
      <vt:variant>
        <vt:i4>5</vt:i4>
      </vt:variant>
      <vt:variant>
        <vt:lpwstr/>
      </vt:variant>
      <vt:variant>
        <vt:lpwstr>_Toc374448326</vt:lpwstr>
      </vt:variant>
      <vt:variant>
        <vt:i4>1966128</vt:i4>
      </vt:variant>
      <vt:variant>
        <vt:i4>248</vt:i4>
      </vt:variant>
      <vt:variant>
        <vt:i4>0</vt:i4>
      </vt:variant>
      <vt:variant>
        <vt:i4>5</vt:i4>
      </vt:variant>
      <vt:variant>
        <vt:lpwstr/>
      </vt:variant>
      <vt:variant>
        <vt:lpwstr>_Toc374448325</vt:lpwstr>
      </vt:variant>
      <vt:variant>
        <vt:i4>1966128</vt:i4>
      </vt:variant>
      <vt:variant>
        <vt:i4>242</vt:i4>
      </vt:variant>
      <vt:variant>
        <vt:i4>0</vt:i4>
      </vt:variant>
      <vt:variant>
        <vt:i4>5</vt:i4>
      </vt:variant>
      <vt:variant>
        <vt:lpwstr/>
      </vt:variant>
      <vt:variant>
        <vt:lpwstr>_Toc374448324</vt:lpwstr>
      </vt:variant>
      <vt:variant>
        <vt:i4>1966128</vt:i4>
      </vt:variant>
      <vt:variant>
        <vt:i4>236</vt:i4>
      </vt:variant>
      <vt:variant>
        <vt:i4>0</vt:i4>
      </vt:variant>
      <vt:variant>
        <vt:i4>5</vt:i4>
      </vt:variant>
      <vt:variant>
        <vt:lpwstr/>
      </vt:variant>
      <vt:variant>
        <vt:lpwstr>_Toc374448323</vt:lpwstr>
      </vt:variant>
      <vt:variant>
        <vt:i4>1966128</vt:i4>
      </vt:variant>
      <vt:variant>
        <vt:i4>230</vt:i4>
      </vt:variant>
      <vt:variant>
        <vt:i4>0</vt:i4>
      </vt:variant>
      <vt:variant>
        <vt:i4>5</vt:i4>
      </vt:variant>
      <vt:variant>
        <vt:lpwstr/>
      </vt:variant>
      <vt:variant>
        <vt:lpwstr>_Toc374448322</vt:lpwstr>
      </vt:variant>
      <vt:variant>
        <vt:i4>1966128</vt:i4>
      </vt:variant>
      <vt:variant>
        <vt:i4>224</vt:i4>
      </vt:variant>
      <vt:variant>
        <vt:i4>0</vt:i4>
      </vt:variant>
      <vt:variant>
        <vt:i4>5</vt:i4>
      </vt:variant>
      <vt:variant>
        <vt:lpwstr/>
      </vt:variant>
      <vt:variant>
        <vt:lpwstr>_Toc374448321</vt:lpwstr>
      </vt:variant>
      <vt:variant>
        <vt:i4>1966128</vt:i4>
      </vt:variant>
      <vt:variant>
        <vt:i4>218</vt:i4>
      </vt:variant>
      <vt:variant>
        <vt:i4>0</vt:i4>
      </vt:variant>
      <vt:variant>
        <vt:i4>5</vt:i4>
      </vt:variant>
      <vt:variant>
        <vt:lpwstr/>
      </vt:variant>
      <vt:variant>
        <vt:lpwstr>_Toc374448320</vt:lpwstr>
      </vt:variant>
      <vt:variant>
        <vt:i4>1900592</vt:i4>
      </vt:variant>
      <vt:variant>
        <vt:i4>212</vt:i4>
      </vt:variant>
      <vt:variant>
        <vt:i4>0</vt:i4>
      </vt:variant>
      <vt:variant>
        <vt:i4>5</vt:i4>
      </vt:variant>
      <vt:variant>
        <vt:lpwstr/>
      </vt:variant>
      <vt:variant>
        <vt:lpwstr>_Toc374448319</vt:lpwstr>
      </vt:variant>
      <vt:variant>
        <vt:i4>1900592</vt:i4>
      </vt:variant>
      <vt:variant>
        <vt:i4>206</vt:i4>
      </vt:variant>
      <vt:variant>
        <vt:i4>0</vt:i4>
      </vt:variant>
      <vt:variant>
        <vt:i4>5</vt:i4>
      </vt:variant>
      <vt:variant>
        <vt:lpwstr/>
      </vt:variant>
      <vt:variant>
        <vt:lpwstr>_Toc374448318</vt:lpwstr>
      </vt:variant>
      <vt:variant>
        <vt:i4>1900592</vt:i4>
      </vt:variant>
      <vt:variant>
        <vt:i4>200</vt:i4>
      </vt:variant>
      <vt:variant>
        <vt:i4>0</vt:i4>
      </vt:variant>
      <vt:variant>
        <vt:i4>5</vt:i4>
      </vt:variant>
      <vt:variant>
        <vt:lpwstr/>
      </vt:variant>
      <vt:variant>
        <vt:lpwstr>_Toc374448317</vt:lpwstr>
      </vt:variant>
      <vt:variant>
        <vt:i4>1900592</vt:i4>
      </vt:variant>
      <vt:variant>
        <vt:i4>194</vt:i4>
      </vt:variant>
      <vt:variant>
        <vt:i4>0</vt:i4>
      </vt:variant>
      <vt:variant>
        <vt:i4>5</vt:i4>
      </vt:variant>
      <vt:variant>
        <vt:lpwstr/>
      </vt:variant>
      <vt:variant>
        <vt:lpwstr>_Toc374448316</vt:lpwstr>
      </vt:variant>
      <vt:variant>
        <vt:i4>1900592</vt:i4>
      </vt:variant>
      <vt:variant>
        <vt:i4>188</vt:i4>
      </vt:variant>
      <vt:variant>
        <vt:i4>0</vt:i4>
      </vt:variant>
      <vt:variant>
        <vt:i4>5</vt:i4>
      </vt:variant>
      <vt:variant>
        <vt:lpwstr/>
      </vt:variant>
      <vt:variant>
        <vt:lpwstr>_Toc374448315</vt:lpwstr>
      </vt:variant>
      <vt:variant>
        <vt:i4>1900592</vt:i4>
      </vt:variant>
      <vt:variant>
        <vt:i4>182</vt:i4>
      </vt:variant>
      <vt:variant>
        <vt:i4>0</vt:i4>
      </vt:variant>
      <vt:variant>
        <vt:i4>5</vt:i4>
      </vt:variant>
      <vt:variant>
        <vt:lpwstr/>
      </vt:variant>
      <vt:variant>
        <vt:lpwstr>_Toc374448314</vt:lpwstr>
      </vt:variant>
      <vt:variant>
        <vt:i4>1900592</vt:i4>
      </vt:variant>
      <vt:variant>
        <vt:i4>176</vt:i4>
      </vt:variant>
      <vt:variant>
        <vt:i4>0</vt:i4>
      </vt:variant>
      <vt:variant>
        <vt:i4>5</vt:i4>
      </vt:variant>
      <vt:variant>
        <vt:lpwstr/>
      </vt:variant>
      <vt:variant>
        <vt:lpwstr>_Toc374448313</vt:lpwstr>
      </vt:variant>
      <vt:variant>
        <vt:i4>1900592</vt:i4>
      </vt:variant>
      <vt:variant>
        <vt:i4>170</vt:i4>
      </vt:variant>
      <vt:variant>
        <vt:i4>0</vt:i4>
      </vt:variant>
      <vt:variant>
        <vt:i4>5</vt:i4>
      </vt:variant>
      <vt:variant>
        <vt:lpwstr/>
      </vt:variant>
      <vt:variant>
        <vt:lpwstr>_Toc374448312</vt:lpwstr>
      </vt:variant>
      <vt:variant>
        <vt:i4>1900592</vt:i4>
      </vt:variant>
      <vt:variant>
        <vt:i4>164</vt:i4>
      </vt:variant>
      <vt:variant>
        <vt:i4>0</vt:i4>
      </vt:variant>
      <vt:variant>
        <vt:i4>5</vt:i4>
      </vt:variant>
      <vt:variant>
        <vt:lpwstr/>
      </vt:variant>
      <vt:variant>
        <vt:lpwstr>_Toc374448311</vt:lpwstr>
      </vt:variant>
      <vt:variant>
        <vt:i4>1900592</vt:i4>
      </vt:variant>
      <vt:variant>
        <vt:i4>158</vt:i4>
      </vt:variant>
      <vt:variant>
        <vt:i4>0</vt:i4>
      </vt:variant>
      <vt:variant>
        <vt:i4>5</vt:i4>
      </vt:variant>
      <vt:variant>
        <vt:lpwstr/>
      </vt:variant>
      <vt:variant>
        <vt:lpwstr>_Toc374448310</vt:lpwstr>
      </vt:variant>
      <vt:variant>
        <vt:i4>1835056</vt:i4>
      </vt:variant>
      <vt:variant>
        <vt:i4>152</vt:i4>
      </vt:variant>
      <vt:variant>
        <vt:i4>0</vt:i4>
      </vt:variant>
      <vt:variant>
        <vt:i4>5</vt:i4>
      </vt:variant>
      <vt:variant>
        <vt:lpwstr/>
      </vt:variant>
      <vt:variant>
        <vt:lpwstr>_Toc374448309</vt:lpwstr>
      </vt:variant>
      <vt:variant>
        <vt:i4>1835056</vt:i4>
      </vt:variant>
      <vt:variant>
        <vt:i4>146</vt:i4>
      </vt:variant>
      <vt:variant>
        <vt:i4>0</vt:i4>
      </vt:variant>
      <vt:variant>
        <vt:i4>5</vt:i4>
      </vt:variant>
      <vt:variant>
        <vt:lpwstr/>
      </vt:variant>
      <vt:variant>
        <vt:lpwstr>_Toc374448308</vt:lpwstr>
      </vt:variant>
      <vt:variant>
        <vt:i4>1835056</vt:i4>
      </vt:variant>
      <vt:variant>
        <vt:i4>140</vt:i4>
      </vt:variant>
      <vt:variant>
        <vt:i4>0</vt:i4>
      </vt:variant>
      <vt:variant>
        <vt:i4>5</vt:i4>
      </vt:variant>
      <vt:variant>
        <vt:lpwstr/>
      </vt:variant>
      <vt:variant>
        <vt:lpwstr>_Toc374448307</vt:lpwstr>
      </vt:variant>
      <vt:variant>
        <vt:i4>1835056</vt:i4>
      </vt:variant>
      <vt:variant>
        <vt:i4>134</vt:i4>
      </vt:variant>
      <vt:variant>
        <vt:i4>0</vt:i4>
      </vt:variant>
      <vt:variant>
        <vt:i4>5</vt:i4>
      </vt:variant>
      <vt:variant>
        <vt:lpwstr/>
      </vt:variant>
      <vt:variant>
        <vt:lpwstr>_Toc374448306</vt:lpwstr>
      </vt:variant>
      <vt:variant>
        <vt:i4>1835056</vt:i4>
      </vt:variant>
      <vt:variant>
        <vt:i4>128</vt:i4>
      </vt:variant>
      <vt:variant>
        <vt:i4>0</vt:i4>
      </vt:variant>
      <vt:variant>
        <vt:i4>5</vt:i4>
      </vt:variant>
      <vt:variant>
        <vt:lpwstr/>
      </vt:variant>
      <vt:variant>
        <vt:lpwstr>_Toc374448305</vt:lpwstr>
      </vt:variant>
      <vt:variant>
        <vt:i4>1835056</vt:i4>
      </vt:variant>
      <vt:variant>
        <vt:i4>122</vt:i4>
      </vt:variant>
      <vt:variant>
        <vt:i4>0</vt:i4>
      </vt:variant>
      <vt:variant>
        <vt:i4>5</vt:i4>
      </vt:variant>
      <vt:variant>
        <vt:lpwstr/>
      </vt:variant>
      <vt:variant>
        <vt:lpwstr>_Toc374448304</vt:lpwstr>
      </vt:variant>
      <vt:variant>
        <vt:i4>1835056</vt:i4>
      </vt:variant>
      <vt:variant>
        <vt:i4>116</vt:i4>
      </vt:variant>
      <vt:variant>
        <vt:i4>0</vt:i4>
      </vt:variant>
      <vt:variant>
        <vt:i4>5</vt:i4>
      </vt:variant>
      <vt:variant>
        <vt:lpwstr/>
      </vt:variant>
      <vt:variant>
        <vt:lpwstr>_Toc374448303</vt:lpwstr>
      </vt:variant>
      <vt:variant>
        <vt:i4>1835056</vt:i4>
      </vt:variant>
      <vt:variant>
        <vt:i4>110</vt:i4>
      </vt:variant>
      <vt:variant>
        <vt:i4>0</vt:i4>
      </vt:variant>
      <vt:variant>
        <vt:i4>5</vt:i4>
      </vt:variant>
      <vt:variant>
        <vt:lpwstr/>
      </vt:variant>
      <vt:variant>
        <vt:lpwstr>_Toc374448302</vt:lpwstr>
      </vt:variant>
      <vt:variant>
        <vt:i4>1835056</vt:i4>
      </vt:variant>
      <vt:variant>
        <vt:i4>104</vt:i4>
      </vt:variant>
      <vt:variant>
        <vt:i4>0</vt:i4>
      </vt:variant>
      <vt:variant>
        <vt:i4>5</vt:i4>
      </vt:variant>
      <vt:variant>
        <vt:lpwstr/>
      </vt:variant>
      <vt:variant>
        <vt:lpwstr>_Toc374448301</vt:lpwstr>
      </vt:variant>
      <vt:variant>
        <vt:i4>1835056</vt:i4>
      </vt:variant>
      <vt:variant>
        <vt:i4>98</vt:i4>
      </vt:variant>
      <vt:variant>
        <vt:i4>0</vt:i4>
      </vt:variant>
      <vt:variant>
        <vt:i4>5</vt:i4>
      </vt:variant>
      <vt:variant>
        <vt:lpwstr/>
      </vt:variant>
      <vt:variant>
        <vt:lpwstr>_Toc374448300</vt:lpwstr>
      </vt:variant>
      <vt:variant>
        <vt:i4>1376305</vt:i4>
      </vt:variant>
      <vt:variant>
        <vt:i4>92</vt:i4>
      </vt:variant>
      <vt:variant>
        <vt:i4>0</vt:i4>
      </vt:variant>
      <vt:variant>
        <vt:i4>5</vt:i4>
      </vt:variant>
      <vt:variant>
        <vt:lpwstr/>
      </vt:variant>
      <vt:variant>
        <vt:lpwstr>_Toc374448299</vt:lpwstr>
      </vt:variant>
      <vt:variant>
        <vt:i4>1376305</vt:i4>
      </vt:variant>
      <vt:variant>
        <vt:i4>86</vt:i4>
      </vt:variant>
      <vt:variant>
        <vt:i4>0</vt:i4>
      </vt:variant>
      <vt:variant>
        <vt:i4>5</vt:i4>
      </vt:variant>
      <vt:variant>
        <vt:lpwstr/>
      </vt:variant>
      <vt:variant>
        <vt:lpwstr>_Toc374448298</vt:lpwstr>
      </vt:variant>
      <vt:variant>
        <vt:i4>1376305</vt:i4>
      </vt:variant>
      <vt:variant>
        <vt:i4>80</vt:i4>
      </vt:variant>
      <vt:variant>
        <vt:i4>0</vt:i4>
      </vt:variant>
      <vt:variant>
        <vt:i4>5</vt:i4>
      </vt:variant>
      <vt:variant>
        <vt:lpwstr/>
      </vt:variant>
      <vt:variant>
        <vt:lpwstr>_Toc374448297</vt:lpwstr>
      </vt:variant>
      <vt:variant>
        <vt:i4>1376305</vt:i4>
      </vt:variant>
      <vt:variant>
        <vt:i4>74</vt:i4>
      </vt:variant>
      <vt:variant>
        <vt:i4>0</vt:i4>
      </vt:variant>
      <vt:variant>
        <vt:i4>5</vt:i4>
      </vt:variant>
      <vt:variant>
        <vt:lpwstr/>
      </vt:variant>
      <vt:variant>
        <vt:lpwstr>_Toc374448296</vt:lpwstr>
      </vt:variant>
      <vt:variant>
        <vt:i4>1376305</vt:i4>
      </vt:variant>
      <vt:variant>
        <vt:i4>68</vt:i4>
      </vt:variant>
      <vt:variant>
        <vt:i4>0</vt:i4>
      </vt:variant>
      <vt:variant>
        <vt:i4>5</vt:i4>
      </vt:variant>
      <vt:variant>
        <vt:lpwstr/>
      </vt:variant>
      <vt:variant>
        <vt:lpwstr>_Toc374448295</vt:lpwstr>
      </vt:variant>
      <vt:variant>
        <vt:i4>1376305</vt:i4>
      </vt:variant>
      <vt:variant>
        <vt:i4>62</vt:i4>
      </vt:variant>
      <vt:variant>
        <vt:i4>0</vt:i4>
      </vt:variant>
      <vt:variant>
        <vt:i4>5</vt:i4>
      </vt:variant>
      <vt:variant>
        <vt:lpwstr/>
      </vt:variant>
      <vt:variant>
        <vt:lpwstr>_Toc374448294</vt:lpwstr>
      </vt:variant>
      <vt:variant>
        <vt:i4>1376305</vt:i4>
      </vt:variant>
      <vt:variant>
        <vt:i4>56</vt:i4>
      </vt:variant>
      <vt:variant>
        <vt:i4>0</vt:i4>
      </vt:variant>
      <vt:variant>
        <vt:i4>5</vt:i4>
      </vt:variant>
      <vt:variant>
        <vt:lpwstr/>
      </vt:variant>
      <vt:variant>
        <vt:lpwstr>_Toc374448293</vt:lpwstr>
      </vt:variant>
      <vt:variant>
        <vt:i4>1376305</vt:i4>
      </vt:variant>
      <vt:variant>
        <vt:i4>50</vt:i4>
      </vt:variant>
      <vt:variant>
        <vt:i4>0</vt:i4>
      </vt:variant>
      <vt:variant>
        <vt:i4>5</vt:i4>
      </vt:variant>
      <vt:variant>
        <vt:lpwstr/>
      </vt:variant>
      <vt:variant>
        <vt:lpwstr>_Toc374448292</vt:lpwstr>
      </vt:variant>
      <vt:variant>
        <vt:i4>1376305</vt:i4>
      </vt:variant>
      <vt:variant>
        <vt:i4>44</vt:i4>
      </vt:variant>
      <vt:variant>
        <vt:i4>0</vt:i4>
      </vt:variant>
      <vt:variant>
        <vt:i4>5</vt:i4>
      </vt:variant>
      <vt:variant>
        <vt:lpwstr/>
      </vt:variant>
      <vt:variant>
        <vt:lpwstr>_Toc374448291</vt:lpwstr>
      </vt:variant>
      <vt:variant>
        <vt:i4>1376305</vt:i4>
      </vt:variant>
      <vt:variant>
        <vt:i4>38</vt:i4>
      </vt:variant>
      <vt:variant>
        <vt:i4>0</vt:i4>
      </vt:variant>
      <vt:variant>
        <vt:i4>5</vt:i4>
      </vt:variant>
      <vt:variant>
        <vt:lpwstr/>
      </vt:variant>
      <vt:variant>
        <vt:lpwstr>_Toc374448290</vt:lpwstr>
      </vt:variant>
      <vt:variant>
        <vt:i4>1310769</vt:i4>
      </vt:variant>
      <vt:variant>
        <vt:i4>32</vt:i4>
      </vt:variant>
      <vt:variant>
        <vt:i4>0</vt:i4>
      </vt:variant>
      <vt:variant>
        <vt:i4>5</vt:i4>
      </vt:variant>
      <vt:variant>
        <vt:lpwstr/>
      </vt:variant>
      <vt:variant>
        <vt:lpwstr>_Toc374448289</vt:lpwstr>
      </vt:variant>
      <vt:variant>
        <vt:i4>1310769</vt:i4>
      </vt:variant>
      <vt:variant>
        <vt:i4>26</vt:i4>
      </vt:variant>
      <vt:variant>
        <vt:i4>0</vt:i4>
      </vt:variant>
      <vt:variant>
        <vt:i4>5</vt:i4>
      </vt:variant>
      <vt:variant>
        <vt:lpwstr/>
      </vt:variant>
      <vt:variant>
        <vt:lpwstr>_Toc374448288</vt:lpwstr>
      </vt:variant>
      <vt:variant>
        <vt:i4>1310769</vt:i4>
      </vt:variant>
      <vt:variant>
        <vt:i4>20</vt:i4>
      </vt:variant>
      <vt:variant>
        <vt:i4>0</vt:i4>
      </vt:variant>
      <vt:variant>
        <vt:i4>5</vt:i4>
      </vt:variant>
      <vt:variant>
        <vt:lpwstr/>
      </vt:variant>
      <vt:variant>
        <vt:lpwstr>_Toc374448287</vt:lpwstr>
      </vt:variant>
      <vt:variant>
        <vt:i4>1310769</vt:i4>
      </vt:variant>
      <vt:variant>
        <vt:i4>14</vt:i4>
      </vt:variant>
      <vt:variant>
        <vt:i4>0</vt:i4>
      </vt:variant>
      <vt:variant>
        <vt:i4>5</vt:i4>
      </vt:variant>
      <vt:variant>
        <vt:lpwstr/>
      </vt:variant>
      <vt:variant>
        <vt:lpwstr>_Toc374448286</vt:lpwstr>
      </vt:variant>
      <vt:variant>
        <vt:i4>1310769</vt:i4>
      </vt:variant>
      <vt:variant>
        <vt:i4>8</vt:i4>
      </vt:variant>
      <vt:variant>
        <vt:i4>0</vt:i4>
      </vt:variant>
      <vt:variant>
        <vt:i4>5</vt:i4>
      </vt:variant>
      <vt:variant>
        <vt:lpwstr/>
      </vt:variant>
      <vt:variant>
        <vt:lpwstr>_Toc374448285</vt:lpwstr>
      </vt:variant>
      <vt:variant>
        <vt:i4>1310769</vt:i4>
      </vt:variant>
      <vt:variant>
        <vt:i4>2</vt:i4>
      </vt:variant>
      <vt:variant>
        <vt:i4>0</vt:i4>
      </vt:variant>
      <vt:variant>
        <vt:i4>5</vt:i4>
      </vt:variant>
      <vt:variant>
        <vt:lpwstr/>
      </vt:variant>
      <vt:variant>
        <vt:lpwstr>_Toc374448284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Industrijska strategija Republike Hrvatske 2014. – 2020.</dc:title>
  <dc:creator>Ministarstvo gospodarstva</dc:creator>
  <cp:lastModifiedBy>Suzana Pasanec Prepotić</cp:lastModifiedBy>
  <cp:revision>5</cp:revision>
  <cp:lastPrinted>2017-01-17T11:49:00Z</cp:lastPrinted>
  <dcterms:created xsi:type="dcterms:W3CDTF">2017-01-17T11:29:00Z</dcterms:created>
  <dcterms:modified xsi:type="dcterms:W3CDTF">2017-01-17T11:53:00Z</dcterms:modified>
</cp:coreProperties>
</file>